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22" w:rsidRPr="005137A1" w:rsidRDefault="00923722" w:rsidP="005137A1">
      <w:pPr>
        <w:jc w:val="both"/>
        <w:rPr>
          <w:rFonts w:ascii="Times New Roman" w:hAnsi="Times New Roman" w:cs="Times New Roman"/>
          <w:sz w:val="24"/>
          <w:szCs w:val="24"/>
        </w:rPr>
      </w:pPr>
      <w:r w:rsidRPr="005137A1">
        <w:rPr>
          <w:rFonts w:ascii="Times New Roman" w:hAnsi="Times New Roman" w:cs="Times New Roman"/>
          <w:sz w:val="24"/>
          <w:szCs w:val="24"/>
        </w:rPr>
        <w:t>TRUST LIQUIDATORIO</w:t>
      </w:r>
      <w:r w:rsidR="005137A1" w:rsidRPr="005137A1">
        <w:rPr>
          <w:rFonts w:ascii="Times New Roman" w:hAnsi="Times New Roman" w:cs="Times New Roman"/>
          <w:sz w:val="24"/>
          <w:szCs w:val="24"/>
        </w:rPr>
        <w:t xml:space="preserve"> – Cass. </w:t>
      </w:r>
      <w:proofErr w:type="spellStart"/>
      <w:r w:rsidR="005137A1" w:rsidRPr="005137A1">
        <w:rPr>
          <w:rFonts w:ascii="Times New Roman" w:hAnsi="Times New Roman" w:cs="Times New Roman"/>
          <w:sz w:val="24"/>
          <w:szCs w:val="24"/>
        </w:rPr>
        <w:t>Civ</w:t>
      </w:r>
      <w:proofErr w:type="spellEnd"/>
      <w:r w:rsidR="005137A1" w:rsidRPr="005137A1">
        <w:rPr>
          <w:rFonts w:ascii="Times New Roman" w:hAnsi="Times New Roman" w:cs="Times New Roman"/>
          <w:sz w:val="24"/>
          <w:szCs w:val="24"/>
        </w:rPr>
        <w:t>., 9 maggio 2014, n.ro 10105</w:t>
      </w:r>
    </w:p>
    <w:p w:rsidR="009A7260" w:rsidRDefault="00923722" w:rsidP="005137A1">
      <w:pPr>
        <w:jc w:val="both"/>
        <w:rPr>
          <w:rFonts w:ascii="Times New Roman" w:hAnsi="Times New Roman" w:cs="Times New Roman"/>
          <w:i/>
          <w:sz w:val="24"/>
          <w:szCs w:val="24"/>
        </w:rPr>
      </w:pPr>
      <w:r w:rsidRPr="005137A1">
        <w:rPr>
          <w:rFonts w:ascii="Times New Roman" w:hAnsi="Times New Roman" w:cs="Times New Roman"/>
          <w:sz w:val="24"/>
          <w:szCs w:val="24"/>
        </w:rPr>
        <w:t xml:space="preserve">Nel panorama dei negozi fiduciari, una fattispecie di interesse pratico nonché teorico è costituita dalla figura del </w:t>
      </w:r>
      <w:r w:rsidRPr="005137A1">
        <w:rPr>
          <w:rFonts w:ascii="Times New Roman" w:hAnsi="Times New Roman" w:cs="Times New Roman"/>
          <w:i/>
          <w:sz w:val="24"/>
          <w:szCs w:val="24"/>
        </w:rPr>
        <w:t>trust.</w:t>
      </w:r>
    </w:p>
    <w:p w:rsidR="00BA49AF" w:rsidRPr="005137A1" w:rsidRDefault="00923722" w:rsidP="005137A1">
      <w:pPr>
        <w:jc w:val="both"/>
        <w:rPr>
          <w:rFonts w:ascii="Times New Roman" w:hAnsi="Times New Roman" w:cs="Times New Roman"/>
          <w:sz w:val="24"/>
          <w:szCs w:val="24"/>
        </w:rPr>
      </w:pPr>
      <w:r w:rsidRPr="005137A1">
        <w:rPr>
          <w:rFonts w:ascii="Times New Roman" w:hAnsi="Times New Roman" w:cs="Times New Roman"/>
          <w:sz w:val="24"/>
          <w:szCs w:val="24"/>
        </w:rPr>
        <w:t>Si tratta di un istituto di origine anglosassone che ha trovato adozione nel nostro ordinamento grazie al recepimento della Convenzione dell’Aja del 1° luglio 1985, relativa alla legge sui “Trust” ed al loro riconoscimento (L. 16 ottobre 1989, n.ro 364)</w:t>
      </w:r>
      <w:r w:rsidR="00BA49AF" w:rsidRPr="005137A1">
        <w:rPr>
          <w:rFonts w:ascii="Times New Roman" w:hAnsi="Times New Roman" w:cs="Times New Roman"/>
          <w:sz w:val="24"/>
          <w:szCs w:val="24"/>
        </w:rPr>
        <w:t>.</w:t>
      </w:r>
    </w:p>
    <w:p w:rsidR="00BA49AF" w:rsidRPr="005137A1" w:rsidRDefault="00BA49AF" w:rsidP="005137A1">
      <w:pPr>
        <w:jc w:val="both"/>
        <w:rPr>
          <w:rFonts w:ascii="Times New Roman" w:hAnsi="Times New Roman" w:cs="Times New Roman"/>
          <w:sz w:val="24"/>
          <w:szCs w:val="24"/>
        </w:rPr>
      </w:pPr>
      <w:r w:rsidRPr="005137A1">
        <w:rPr>
          <w:rFonts w:ascii="Times New Roman" w:hAnsi="Times New Roman" w:cs="Times New Roman"/>
          <w:sz w:val="24"/>
          <w:szCs w:val="24"/>
        </w:rPr>
        <w:t xml:space="preserve">Attraverso lo strumento del </w:t>
      </w:r>
      <w:r w:rsidRPr="005137A1">
        <w:rPr>
          <w:rFonts w:ascii="Times New Roman" w:hAnsi="Times New Roman" w:cs="Times New Roman"/>
          <w:i/>
          <w:sz w:val="24"/>
          <w:szCs w:val="24"/>
        </w:rPr>
        <w:t xml:space="preserve">trust, </w:t>
      </w:r>
      <w:r w:rsidRPr="005137A1">
        <w:rPr>
          <w:rFonts w:ascii="Times New Roman" w:hAnsi="Times New Roman" w:cs="Times New Roman"/>
          <w:sz w:val="24"/>
          <w:szCs w:val="24"/>
        </w:rPr>
        <w:t>il soggetto che lo istituisce, detto “</w:t>
      </w:r>
      <w:proofErr w:type="spellStart"/>
      <w:r w:rsidRPr="009A7260">
        <w:rPr>
          <w:rFonts w:ascii="Times New Roman" w:hAnsi="Times New Roman" w:cs="Times New Roman"/>
          <w:i/>
          <w:sz w:val="24"/>
          <w:szCs w:val="24"/>
        </w:rPr>
        <w:t>settlor</w:t>
      </w:r>
      <w:proofErr w:type="spellEnd"/>
      <w:r w:rsidRPr="005137A1">
        <w:rPr>
          <w:rFonts w:ascii="Times New Roman" w:hAnsi="Times New Roman" w:cs="Times New Roman"/>
          <w:sz w:val="24"/>
          <w:szCs w:val="24"/>
        </w:rPr>
        <w:t xml:space="preserve">” o “disponente” pone </w:t>
      </w:r>
      <w:r w:rsidRPr="002E47DB">
        <w:rPr>
          <w:rFonts w:ascii="Times New Roman" w:hAnsi="Times New Roman" w:cs="Times New Roman"/>
          <w:sz w:val="24"/>
          <w:szCs w:val="24"/>
        </w:rPr>
        <w:t xml:space="preserve">dei beni </w:t>
      </w:r>
      <w:r w:rsidR="002E47DB">
        <w:rPr>
          <w:rFonts w:ascii="Times New Roman" w:hAnsi="Times New Roman" w:cs="Times New Roman"/>
          <w:i/>
          <w:sz w:val="24"/>
          <w:szCs w:val="24"/>
        </w:rPr>
        <w:t>“</w:t>
      </w:r>
      <w:r w:rsidR="009A7260">
        <w:rPr>
          <w:rFonts w:ascii="Times New Roman" w:hAnsi="Times New Roman" w:cs="Times New Roman"/>
          <w:i/>
          <w:sz w:val="24"/>
          <w:szCs w:val="24"/>
        </w:rPr>
        <w:t>sotto</w:t>
      </w:r>
      <w:r w:rsidRPr="005137A1">
        <w:rPr>
          <w:rFonts w:ascii="Times New Roman" w:hAnsi="Times New Roman" w:cs="Times New Roman"/>
          <w:i/>
          <w:sz w:val="24"/>
          <w:szCs w:val="24"/>
        </w:rPr>
        <w:t xml:space="preserve"> il controllo di un </w:t>
      </w:r>
      <w:proofErr w:type="spellStart"/>
      <w:r w:rsidRPr="005137A1">
        <w:rPr>
          <w:rFonts w:ascii="Times New Roman" w:hAnsi="Times New Roman" w:cs="Times New Roman"/>
          <w:i/>
          <w:sz w:val="24"/>
          <w:szCs w:val="24"/>
        </w:rPr>
        <w:t>trustee</w:t>
      </w:r>
      <w:proofErr w:type="spellEnd"/>
      <w:r w:rsidRPr="005137A1">
        <w:rPr>
          <w:rFonts w:ascii="Times New Roman" w:hAnsi="Times New Roman" w:cs="Times New Roman"/>
          <w:i/>
          <w:sz w:val="24"/>
          <w:szCs w:val="24"/>
        </w:rPr>
        <w:t xml:space="preserve"> nell'interesse di un beneficiario o per un fine specifico” </w:t>
      </w:r>
      <w:r w:rsidRPr="005137A1">
        <w:rPr>
          <w:rFonts w:ascii="Times New Roman" w:hAnsi="Times New Roman" w:cs="Times New Roman"/>
          <w:sz w:val="24"/>
          <w:szCs w:val="24"/>
        </w:rPr>
        <w:t xml:space="preserve">(così recita l’art. 2 della Convenzione). Il </w:t>
      </w:r>
      <w:proofErr w:type="spellStart"/>
      <w:r w:rsidRPr="005137A1">
        <w:rPr>
          <w:rFonts w:ascii="Times New Roman" w:hAnsi="Times New Roman" w:cs="Times New Roman"/>
          <w:i/>
          <w:sz w:val="24"/>
          <w:szCs w:val="24"/>
        </w:rPr>
        <w:t>trustee</w:t>
      </w:r>
      <w:proofErr w:type="spellEnd"/>
      <w:r w:rsidR="002E47DB">
        <w:rPr>
          <w:rFonts w:ascii="Times New Roman" w:hAnsi="Times New Roman" w:cs="Times New Roman"/>
          <w:i/>
          <w:sz w:val="24"/>
          <w:szCs w:val="24"/>
        </w:rPr>
        <w:t xml:space="preserve">, </w:t>
      </w:r>
      <w:r w:rsidR="002E47DB">
        <w:rPr>
          <w:rFonts w:ascii="Times New Roman" w:hAnsi="Times New Roman" w:cs="Times New Roman"/>
          <w:sz w:val="24"/>
          <w:szCs w:val="24"/>
        </w:rPr>
        <w:t>dunque,</w:t>
      </w:r>
      <w:r w:rsidRPr="005137A1">
        <w:rPr>
          <w:rFonts w:ascii="Times New Roman" w:hAnsi="Times New Roman" w:cs="Times New Roman"/>
          <w:i/>
          <w:sz w:val="24"/>
          <w:szCs w:val="24"/>
        </w:rPr>
        <w:t xml:space="preserve"> </w:t>
      </w:r>
      <w:r w:rsidRPr="005137A1">
        <w:rPr>
          <w:rFonts w:ascii="Times New Roman" w:hAnsi="Times New Roman" w:cs="Times New Roman"/>
          <w:sz w:val="24"/>
          <w:szCs w:val="24"/>
        </w:rPr>
        <w:t xml:space="preserve">è il soggetto a cui viene “affidata” l’amministrazione dei beni di cui acquista la proprietà vincolata agli scopi del </w:t>
      </w:r>
      <w:r w:rsidRPr="005137A1">
        <w:rPr>
          <w:rFonts w:ascii="Times New Roman" w:hAnsi="Times New Roman" w:cs="Times New Roman"/>
          <w:i/>
          <w:sz w:val="24"/>
          <w:szCs w:val="24"/>
        </w:rPr>
        <w:t xml:space="preserve">trust. </w:t>
      </w:r>
      <w:r w:rsidRPr="005137A1">
        <w:rPr>
          <w:rFonts w:ascii="Times New Roman" w:hAnsi="Times New Roman" w:cs="Times New Roman"/>
          <w:sz w:val="24"/>
          <w:szCs w:val="24"/>
        </w:rPr>
        <w:t xml:space="preserve">Le finalità cui può essere diretto il </w:t>
      </w:r>
      <w:r w:rsidRPr="005137A1">
        <w:rPr>
          <w:rFonts w:ascii="Times New Roman" w:hAnsi="Times New Roman" w:cs="Times New Roman"/>
          <w:i/>
          <w:sz w:val="24"/>
          <w:szCs w:val="24"/>
        </w:rPr>
        <w:t xml:space="preserve">trust </w:t>
      </w:r>
      <w:r w:rsidRPr="005137A1">
        <w:rPr>
          <w:rFonts w:ascii="Times New Roman" w:hAnsi="Times New Roman" w:cs="Times New Roman"/>
          <w:sz w:val="24"/>
          <w:szCs w:val="24"/>
        </w:rPr>
        <w:t>sono molteplici</w:t>
      </w:r>
      <w:r w:rsidR="00C662CC" w:rsidRPr="005137A1">
        <w:rPr>
          <w:rFonts w:ascii="Times New Roman" w:hAnsi="Times New Roman" w:cs="Times New Roman"/>
          <w:sz w:val="24"/>
          <w:szCs w:val="24"/>
        </w:rPr>
        <w:t>: come mezzo per la tutela di soggetti incapaci, o</w:t>
      </w:r>
      <w:r w:rsidR="002E47DB">
        <w:rPr>
          <w:rFonts w:ascii="Times New Roman" w:hAnsi="Times New Roman" w:cs="Times New Roman"/>
          <w:sz w:val="24"/>
          <w:szCs w:val="24"/>
        </w:rPr>
        <w:t>, in ambito societario,</w:t>
      </w:r>
      <w:r w:rsidR="00C662CC" w:rsidRPr="005137A1">
        <w:rPr>
          <w:rFonts w:ascii="Times New Roman" w:hAnsi="Times New Roman" w:cs="Times New Roman"/>
          <w:sz w:val="24"/>
          <w:szCs w:val="24"/>
        </w:rPr>
        <w:t xml:space="preserve"> come strumento per tutelare l’integrità di patrimoni ed impresi o per superare fasi patologiche nella vita delle aziende. L’effetto principale del </w:t>
      </w:r>
      <w:r w:rsidR="00C662CC" w:rsidRPr="005137A1">
        <w:rPr>
          <w:rFonts w:ascii="Times New Roman" w:hAnsi="Times New Roman" w:cs="Times New Roman"/>
          <w:i/>
          <w:sz w:val="24"/>
          <w:szCs w:val="24"/>
        </w:rPr>
        <w:t xml:space="preserve">trust, </w:t>
      </w:r>
      <w:r w:rsidR="00C662CC" w:rsidRPr="005137A1">
        <w:rPr>
          <w:rFonts w:ascii="Times New Roman" w:hAnsi="Times New Roman" w:cs="Times New Roman"/>
          <w:sz w:val="24"/>
          <w:szCs w:val="24"/>
        </w:rPr>
        <w:t xml:space="preserve">infatti, è rappresentato dalla segregazione in cui viene a trovarsi il patrimonio costituito in </w:t>
      </w:r>
      <w:r w:rsidR="00C662CC" w:rsidRPr="005137A1">
        <w:rPr>
          <w:rFonts w:ascii="Times New Roman" w:hAnsi="Times New Roman" w:cs="Times New Roman"/>
          <w:i/>
          <w:sz w:val="24"/>
          <w:szCs w:val="24"/>
        </w:rPr>
        <w:t xml:space="preserve">trust, </w:t>
      </w:r>
      <w:r w:rsidR="00C662CC" w:rsidRPr="005137A1">
        <w:rPr>
          <w:rFonts w:ascii="Times New Roman" w:hAnsi="Times New Roman" w:cs="Times New Roman"/>
          <w:sz w:val="24"/>
          <w:szCs w:val="24"/>
        </w:rPr>
        <w:t xml:space="preserve">rendendolo immune da qualsiasi azione da parte dei creditori del </w:t>
      </w:r>
      <w:proofErr w:type="spellStart"/>
      <w:r w:rsidR="00C662CC" w:rsidRPr="005137A1">
        <w:rPr>
          <w:rFonts w:ascii="Times New Roman" w:hAnsi="Times New Roman" w:cs="Times New Roman"/>
          <w:i/>
          <w:sz w:val="24"/>
          <w:szCs w:val="24"/>
        </w:rPr>
        <w:t>trustee</w:t>
      </w:r>
      <w:proofErr w:type="spellEnd"/>
      <w:r w:rsidR="00C662CC" w:rsidRPr="005137A1">
        <w:rPr>
          <w:rFonts w:ascii="Times New Roman" w:hAnsi="Times New Roman" w:cs="Times New Roman"/>
          <w:i/>
          <w:sz w:val="24"/>
          <w:szCs w:val="24"/>
        </w:rPr>
        <w:t xml:space="preserve"> </w:t>
      </w:r>
      <w:r w:rsidR="00C662CC" w:rsidRPr="005137A1">
        <w:rPr>
          <w:rFonts w:ascii="Times New Roman" w:hAnsi="Times New Roman" w:cs="Times New Roman"/>
          <w:sz w:val="24"/>
          <w:szCs w:val="24"/>
        </w:rPr>
        <w:t xml:space="preserve">e del </w:t>
      </w:r>
      <w:proofErr w:type="spellStart"/>
      <w:r w:rsidR="00C662CC" w:rsidRPr="005137A1">
        <w:rPr>
          <w:rFonts w:ascii="Times New Roman" w:hAnsi="Times New Roman" w:cs="Times New Roman"/>
          <w:i/>
          <w:sz w:val="24"/>
          <w:szCs w:val="24"/>
        </w:rPr>
        <w:t>settlor</w:t>
      </w:r>
      <w:proofErr w:type="spellEnd"/>
      <w:r w:rsidR="00C662CC" w:rsidRPr="005137A1">
        <w:rPr>
          <w:rFonts w:ascii="Times New Roman" w:hAnsi="Times New Roman" w:cs="Times New Roman"/>
          <w:i/>
          <w:sz w:val="24"/>
          <w:szCs w:val="24"/>
        </w:rPr>
        <w:t xml:space="preserve"> </w:t>
      </w:r>
      <w:r w:rsidR="00C662CC" w:rsidRPr="005137A1">
        <w:rPr>
          <w:rFonts w:ascii="Times New Roman" w:hAnsi="Times New Roman" w:cs="Times New Roman"/>
          <w:sz w:val="24"/>
          <w:szCs w:val="24"/>
        </w:rPr>
        <w:t>(c.d. “effetto segregativo”).</w:t>
      </w:r>
    </w:p>
    <w:p w:rsidR="00C662CC" w:rsidRDefault="00C662CC" w:rsidP="005137A1">
      <w:pPr>
        <w:jc w:val="both"/>
        <w:rPr>
          <w:rFonts w:ascii="Times New Roman" w:hAnsi="Times New Roman" w:cs="Times New Roman"/>
          <w:sz w:val="24"/>
          <w:szCs w:val="24"/>
        </w:rPr>
      </w:pPr>
      <w:r w:rsidRPr="005137A1">
        <w:rPr>
          <w:rFonts w:ascii="Times New Roman" w:hAnsi="Times New Roman" w:cs="Times New Roman"/>
          <w:sz w:val="24"/>
          <w:szCs w:val="24"/>
        </w:rPr>
        <w:t>Proprio questa sua attitudine</w:t>
      </w:r>
      <w:r w:rsidR="00BA49AF" w:rsidRPr="005137A1">
        <w:rPr>
          <w:rFonts w:ascii="Times New Roman" w:hAnsi="Times New Roman" w:cs="Times New Roman"/>
          <w:sz w:val="24"/>
          <w:szCs w:val="24"/>
        </w:rPr>
        <w:t xml:space="preserve"> a segregare e ad imprimere un vincolo di destinazione al patrimonio ad esso imputato</w:t>
      </w:r>
      <w:r w:rsidRPr="005137A1">
        <w:rPr>
          <w:rFonts w:ascii="Times New Roman" w:hAnsi="Times New Roman" w:cs="Times New Roman"/>
          <w:sz w:val="24"/>
          <w:szCs w:val="24"/>
        </w:rPr>
        <w:t xml:space="preserve"> ha certamente contribuito alla diffusione del </w:t>
      </w:r>
      <w:r w:rsidRPr="005137A1">
        <w:rPr>
          <w:rFonts w:ascii="Times New Roman" w:hAnsi="Times New Roman" w:cs="Times New Roman"/>
          <w:i/>
          <w:sz w:val="24"/>
          <w:szCs w:val="24"/>
        </w:rPr>
        <w:t>trust</w:t>
      </w:r>
      <w:r w:rsidR="00BA49AF" w:rsidRPr="005137A1">
        <w:rPr>
          <w:rFonts w:ascii="Times New Roman" w:hAnsi="Times New Roman" w:cs="Times New Roman"/>
          <w:sz w:val="24"/>
          <w:szCs w:val="24"/>
        </w:rPr>
        <w:t xml:space="preserve"> nell</w:t>
      </w:r>
      <w:r w:rsidRPr="005137A1">
        <w:rPr>
          <w:rFonts w:ascii="Times New Roman" w:hAnsi="Times New Roman" w:cs="Times New Roman"/>
          <w:sz w:val="24"/>
          <w:szCs w:val="24"/>
        </w:rPr>
        <w:t>’ambito dell</w:t>
      </w:r>
      <w:r w:rsidR="00BA49AF" w:rsidRPr="005137A1">
        <w:rPr>
          <w:rFonts w:ascii="Times New Roman" w:hAnsi="Times New Roman" w:cs="Times New Roman"/>
          <w:sz w:val="24"/>
          <w:szCs w:val="24"/>
        </w:rPr>
        <w:t xml:space="preserve">e procedure di liquidazione societaria </w:t>
      </w:r>
      <w:r w:rsidR="002E47DB">
        <w:rPr>
          <w:rFonts w:ascii="Times New Roman" w:hAnsi="Times New Roman" w:cs="Times New Roman"/>
          <w:sz w:val="24"/>
          <w:szCs w:val="24"/>
        </w:rPr>
        <w:t>ed alla sua conformazione quale possibile</w:t>
      </w:r>
      <w:r w:rsidR="00BA49AF" w:rsidRPr="005137A1">
        <w:rPr>
          <w:rFonts w:ascii="Times New Roman" w:hAnsi="Times New Roman" w:cs="Times New Roman"/>
          <w:sz w:val="24"/>
          <w:szCs w:val="24"/>
        </w:rPr>
        <w:t xml:space="preserve"> supporto di procedure concorsuali</w:t>
      </w:r>
      <w:r w:rsidRPr="005137A1">
        <w:rPr>
          <w:rFonts w:ascii="Times New Roman" w:hAnsi="Times New Roman" w:cs="Times New Roman"/>
          <w:sz w:val="24"/>
          <w:szCs w:val="24"/>
        </w:rPr>
        <w:t xml:space="preserve"> e, più in generale, </w:t>
      </w:r>
      <w:r w:rsidR="002E47DB">
        <w:rPr>
          <w:rFonts w:ascii="Times New Roman" w:hAnsi="Times New Roman" w:cs="Times New Roman"/>
          <w:sz w:val="24"/>
          <w:szCs w:val="24"/>
        </w:rPr>
        <w:t>come</w:t>
      </w:r>
      <w:r w:rsidRPr="005137A1">
        <w:rPr>
          <w:rFonts w:ascii="Times New Roman" w:hAnsi="Times New Roman" w:cs="Times New Roman"/>
          <w:sz w:val="24"/>
          <w:szCs w:val="24"/>
        </w:rPr>
        <w:t xml:space="preserve"> strumento per la liquidazione dei beni.</w:t>
      </w:r>
    </w:p>
    <w:p w:rsidR="00F36BE8" w:rsidRDefault="002E47DB" w:rsidP="00647309">
      <w:pPr>
        <w:pStyle w:val="NormaleWeb"/>
        <w:shd w:val="clear" w:color="auto" w:fill="FFFFFF"/>
        <w:spacing w:before="0" w:beforeAutospacing="0" w:after="0" w:afterAutospacing="0"/>
        <w:jc w:val="both"/>
        <w:textAlignment w:val="baseline"/>
        <w:rPr>
          <w:color w:val="0C0C0F"/>
        </w:rPr>
      </w:pPr>
      <w:r w:rsidRPr="002E47DB">
        <w:rPr>
          <w:color w:val="0C0C0F"/>
        </w:rPr>
        <w:t>Dal punto di vista strutturale, il </w:t>
      </w:r>
      <w:r w:rsidRPr="002E47DB">
        <w:rPr>
          <w:rStyle w:val="Enfasicorsivo"/>
          <w:color w:val="0C0C0F"/>
          <w:bdr w:val="none" w:sz="0" w:space="0" w:color="auto" w:frame="1"/>
        </w:rPr>
        <w:t>trust</w:t>
      </w:r>
      <w:r w:rsidRPr="002E47DB">
        <w:rPr>
          <w:color w:val="0C0C0F"/>
        </w:rPr>
        <w:t> liquidatorio</w:t>
      </w:r>
      <w:r w:rsidR="00647309">
        <w:rPr>
          <w:color w:val="0C0C0F"/>
        </w:rPr>
        <w:t xml:space="preserve"> viene </w:t>
      </w:r>
      <w:r w:rsidRPr="002E47DB">
        <w:rPr>
          <w:color w:val="0C0C0F"/>
        </w:rPr>
        <w:t>costituito</w:t>
      </w:r>
      <w:r w:rsidR="00647309">
        <w:rPr>
          <w:color w:val="0C0C0F"/>
        </w:rPr>
        <w:t xml:space="preserve"> </w:t>
      </w:r>
      <w:r w:rsidR="00647309" w:rsidRPr="005137A1">
        <w:t xml:space="preserve">in favore dei creditori dell’impresa che assumono la qualità di beneficiari </w:t>
      </w:r>
      <w:r w:rsidR="00647309" w:rsidRPr="005137A1">
        <w:rPr>
          <w:i/>
        </w:rPr>
        <w:t>ipso iure</w:t>
      </w:r>
      <w:r w:rsidR="00647309">
        <w:rPr>
          <w:color w:val="0C0C0F"/>
        </w:rPr>
        <w:t>.</w:t>
      </w:r>
    </w:p>
    <w:p w:rsidR="00141DEF" w:rsidRPr="005137A1" w:rsidRDefault="00141DEF" w:rsidP="00647309">
      <w:pPr>
        <w:pStyle w:val="NormaleWeb"/>
        <w:shd w:val="clear" w:color="auto" w:fill="FFFFFF"/>
        <w:spacing w:before="0" w:beforeAutospacing="0" w:after="0" w:afterAutospacing="0"/>
        <w:jc w:val="both"/>
        <w:textAlignment w:val="baseline"/>
      </w:pPr>
      <w:r w:rsidRPr="005137A1">
        <w:t xml:space="preserve"> </w:t>
      </w:r>
    </w:p>
    <w:p w:rsidR="001104BB" w:rsidRPr="005137A1" w:rsidRDefault="00141DEF" w:rsidP="002E47DB">
      <w:pPr>
        <w:jc w:val="both"/>
        <w:rPr>
          <w:rFonts w:ascii="Times New Roman" w:hAnsi="Times New Roman" w:cs="Times New Roman"/>
          <w:sz w:val="24"/>
          <w:szCs w:val="24"/>
        </w:rPr>
      </w:pPr>
      <w:r w:rsidRPr="005137A1">
        <w:rPr>
          <w:rFonts w:ascii="Times New Roman" w:hAnsi="Times New Roman" w:cs="Times New Roman"/>
          <w:sz w:val="24"/>
          <w:szCs w:val="24"/>
        </w:rPr>
        <w:t xml:space="preserve">L’istituto </w:t>
      </w:r>
      <w:r w:rsidR="00C662CC" w:rsidRPr="005137A1">
        <w:rPr>
          <w:rFonts w:ascii="Times New Roman" w:hAnsi="Times New Roman" w:cs="Times New Roman"/>
          <w:sz w:val="24"/>
          <w:szCs w:val="24"/>
        </w:rPr>
        <w:t>è stato oggetto di numerosi di numerosi recenti provvedimenti giurisdizionali</w:t>
      </w:r>
      <w:r w:rsidR="005F389F">
        <w:rPr>
          <w:rStyle w:val="Rimandonotaapidipagina"/>
          <w:rFonts w:ascii="Times New Roman" w:hAnsi="Times New Roman" w:cs="Times New Roman"/>
          <w:sz w:val="24"/>
          <w:szCs w:val="24"/>
        </w:rPr>
        <w:footnoteReference w:id="1"/>
      </w:r>
      <w:r w:rsidR="00C662CC" w:rsidRPr="005137A1">
        <w:rPr>
          <w:rFonts w:ascii="Times New Roman" w:hAnsi="Times New Roman" w:cs="Times New Roman"/>
          <w:sz w:val="24"/>
          <w:szCs w:val="24"/>
        </w:rPr>
        <w:t xml:space="preserve"> e di divergenti opinioni dottrinali</w:t>
      </w:r>
      <w:r w:rsidR="005F389F">
        <w:rPr>
          <w:rStyle w:val="Rimandonotaapidipagina"/>
          <w:rFonts w:ascii="Times New Roman" w:hAnsi="Times New Roman" w:cs="Times New Roman"/>
          <w:sz w:val="24"/>
          <w:szCs w:val="24"/>
        </w:rPr>
        <w:footnoteReference w:id="2"/>
      </w:r>
      <w:r w:rsidR="005E60DA" w:rsidRPr="005137A1">
        <w:rPr>
          <w:rFonts w:ascii="Times New Roman" w:hAnsi="Times New Roman" w:cs="Times New Roman"/>
          <w:sz w:val="24"/>
          <w:szCs w:val="24"/>
        </w:rPr>
        <w:t xml:space="preserve"> a causa del difficile rapporto dell’istituto </w:t>
      </w:r>
      <w:r w:rsidR="005E60DA" w:rsidRPr="005137A1">
        <w:rPr>
          <w:rFonts w:ascii="Times New Roman" w:hAnsi="Times New Roman" w:cs="Times New Roman"/>
          <w:i/>
          <w:sz w:val="24"/>
          <w:szCs w:val="24"/>
        </w:rPr>
        <w:t xml:space="preserve">de quo </w:t>
      </w:r>
      <w:r w:rsidR="005E60DA" w:rsidRPr="005137A1">
        <w:rPr>
          <w:rFonts w:ascii="Times New Roman" w:hAnsi="Times New Roman" w:cs="Times New Roman"/>
          <w:sz w:val="24"/>
          <w:szCs w:val="24"/>
        </w:rPr>
        <w:t>con le norme dell’ordinamento interno in tema di liquidazione concorsuale</w:t>
      </w:r>
      <w:r w:rsidRPr="005137A1">
        <w:rPr>
          <w:rFonts w:ascii="Times New Roman" w:hAnsi="Times New Roman" w:cs="Times New Roman"/>
          <w:sz w:val="24"/>
          <w:szCs w:val="24"/>
        </w:rPr>
        <w:t xml:space="preserve">: esso, infatti, qualora abbia ad oggetto l’intero complesso aziendale, non può mai </w:t>
      </w:r>
      <w:r w:rsidR="001104BB" w:rsidRPr="005137A1">
        <w:rPr>
          <w:rFonts w:ascii="Times New Roman" w:hAnsi="Times New Roman" w:cs="Times New Roman"/>
          <w:sz w:val="24"/>
          <w:szCs w:val="24"/>
        </w:rPr>
        <w:t>c</w:t>
      </w:r>
      <w:r w:rsidRPr="005137A1">
        <w:rPr>
          <w:rFonts w:ascii="Times New Roman" w:hAnsi="Times New Roman" w:cs="Times New Roman"/>
          <w:sz w:val="24"/>
          <w:szCs w:val="24"/>
        </w:rPr>
        <w:t>ostituire una</w:t>
      </w:r>
      <w:r w:rsidR="001104BB" w:rsidRPr="005137A1">
        <w:rPr>
          <w:rFonts w:ascii="Times New Roman" w:hAnsi="Times New Roman" w:cs="Times New Roman"/>
          <w:sz w:val="24"/>
          <w:szCs w:val="24"/>
        </w:rPr>
        <w:t xml:space="preserve"> alternativa alla</w:t>
      </w:r>
      <w:r w:rsidRPr="005137A1">
        <w:rPr>
          <w:rFonts w:ascii="Times New Roman" w:hAnsi="Times New Roman" w:cs="Times New Roman"/>
          <w:sz w:val="24"/>
          <w:szCs w:val="24"/>
        </w:rPr>
        <w:t xml:space="preserve"> procedura di liquidazione</w:t>
      </w:r>
      <w:r w:rsidR="001104BB" w:rsidRPr="005137A1">
        <w:rPr>
          <w:rFonts w:ascii="Times New Roman" w:hAnsi="Times New Roman" w:cs="Times New Roman"/>
          <w:sz w:val="24"/>
          <w:szCs w:val="24"/>
        </w:rPr>
        <w:t xml:space="preserve">: in questo caso avremmo una utilizzazione distorta del </w:t>
      </w:r>
      <w:r w:rsidR="001104BB" w:rsidRPr="005137A1">
        <w:rPr>
          <w:rFonts w:ascii="Times New Roman" w:hAnsi="Times New Roman" w:cs="Times New Roman"/>
          <w:i/>
          <w:sz w:val="24"/>
          <w:szCs w:val="24"/>
        </w:rPr>
        <w:t>trust</w:t>
      </w:r>
      <w:r w:rsidR="001104BB" w:rsidRPr="005137A1">
        <w:rPr>
          <w:rFonts w:ascii="Times New Roman" w:hAnsi="Times New Roman" w:cs="Times New Roman"/>
          <w:sz w:val="24"/>
          <w:szCs w:val="24"/>
        </w:rPr>
        <w:t xml:space="preserve"> poiché perseguirebbe finalità estranee al nostro ordinamento e con esso incompatibili.</w:t>
      </w:r>
    </w:p>
    <w:p w:rsidR="001104BB" w:rsidRPr="005137A1" w:rsidRDefault="001104BB" w:rsidP="005137A1">
      <w:pPr>
        <w:jc w:val="both"/>
        <w:rPr>
          <w:rFonts w:ascii="Times New Roman" w:hAnsi="Times New Roman" w:cs="Times New Roman"/>
          <w:sz w:val="24"/>
          <w:szCs w:val="24"/>
        </w:rPr>
      </w:pPr>
      <w:r w:rsidRPr="005137A1">
        <w:rPr>
          <w:rFonts w:ascii="Times New Roman" w:hAnsi="Times New Roman" w:cs="Times New Roman"/>
          <w:sz w:val="24"/>
          <w:szCs w:val="24"/>
        </w:rPr>
        <w:t xml:space="preserve">Pertanto, il trust liquidatorio potrà legittimamente essere istituito ma </w:t>
      </w:r>
      <w:r w:rsidR="009A7260">
        <w:rPr>
          <w:rFonts w:ascii="Times New Roman" w:hAnsi="Times New Roman" w:cs="Times New Roman"/>
          <w:sz w:val="24"/>
          <w:szCs w:val="24"/>
        </w:rPr>
        <w:t xml:space="preserve">dovrà </w:t>
      </w:r>
      <w:r w:rsidRPr="005137A1">
        <w:rPr>
          <w:rFonts w:ascii="Times New Roman" w:hAnsi="Times New Roman" w:cs="Times New Roman"/>
          <w:sz w:val="24"/>
          <w:szCs w:val="24"/>
        </w:rPr>
        <w:t>prevedere espressamente delle clausole che ne limitino l’operatività in caso di insolvenza conclamata, in modo tale che, in caso di intervenuto fallimento, i beni possano essere restituiti alla procedura di carattere pubblicistico e, dunque, inderogabile.</w:t>
      </w:r>
    </w:p>
    <w:p w:rsidR="005E60DA" w:rsidRPr="005137A1" w:rsidRDefault="005E60DA" w:rsidP="005137A1">
      <w:pPr>
        <w:jc w:val="both"/>
        <w:rPr>
          <w:rFonts w:ascii="Times New Roman" w:hAnsi="Times New Roman" w:cs="Times New Roman"/>
          <w:sz w:val="24"/>
          <w:szCs w:val="24"/>
        </w:rPr>
      </w:pPr>
      <w:r w:rsidRPr="005137A1">
        <w:rPr>
          <w:rFonts w:ascii="Times New Roman" w:hAnsi="Times New Roman" w:cs="Times New Roman"/>
          <w:sz w:val="24"/>
          <w:szCs w:val="24"/>
        </w:rPr>
        <w:lastRenderedPageBreak/>
        <w:t>Secondo autorevoli studiosi</w:t>
      </w:r>
      <w:r w:rsidRPr="005137A1">
        <w:rPr>
          <w:rStyle w:val="Rimandonotaapidipagina"/>
          <w:rFonts w:ascii="Times New Roman" w:hAnsi="Times New Roman" w:cs="Times New Roman"/>
          <w:sz w:val="24"/>
          <w:szCs w:val="24"/>
        </w:rPr>
        <w:footnoteReference w:id="3"/>
      </w:r>
      <w:r w:rsidRPr="005137A1">
        <w:rPr>
          <w:rFonts w:ascii="Times New Roman" w:hAnsi="Times New Roman" w:cs="Times New Roman"/>
          <w:sz w:val="24"/>
          <w:szCs w:val="24"/>
        </w:rPr>
        <w:t xml:space="preserve"> è possibile distinguere i trust liquidatori in relazione alla loro tipologia, allo scopo enunciato e, soprattutto, al momento in cui il </w:t>
      </w:r>
      <w:r w:rsidRPr="005137A1">
        <w:rPr>
          <w:rFonts w:ascii="Times New Roman" w:hAnsi="Times New Roman" w:cs="Times New Roman"/>
          <w:i/>
          <w:sz w:val="24"/>
          <w:szCs w:val="24"/>
        </w:rPr>
        <w:t xml:space="preserve">trust </w:t>
      </w:r>
      <w:r w:rsidRPr="005137A1">
        <w:rPr>
          <w:rFonts w:ascii="Times New Roman" w:hAnsi="Times New Roman" w:cs="Times New Roman"/>
          <w:sz w:val="24"/>
          <w:szCs w:val="24"/>
        </w:rPr>
        <w:t>è istituito. Così possono distinguersi:</w:t>
      </w:r>
    </w:p>
    <w:p w:rsidR="005E60DA" w:rsidRPr="005137A1" w:rsidRDefault="005E60DA" w:rsidP="005137A1">
      <w:pPr>
        <w:ind w:firstLine="708"/>
        <w:jc w:val="both"/>
        <w:rPr>
          <w:rFonts w:ascii="Times New Roman" w:hAnsi="Times New Roman" w:cs="Times New Roman"/>
          <w:sz w:val="24"/>
          <w:szCs w:val="24"/>
        </w:rPr>
      </w:pPr>
      <w:r w:rsidRPr="005137A1">
        <w:rPr>
          <w:rFonts w:ascii="Times New Roman" w:hAnsi="Times New Roman" w:cs="Times New Roman"/>
          <w:sz w:val="24"/>
          <w:szCs w:val="24"/>
        </w:rPr>
        <w:t xml:space="preserve">1) </w:t>
      </w:r>
      <w:r w:rsidRPr="00F36BE8">
        <w:rPr>
          <w:rFonts w:ascii="Times New Roman" w:hAnsi="Times New Roman" w:cs="Times New Roman"/>
          <w:b/>
          <w:i/>
          <w:sz w:val="24"/>
          <w:szCs w:val="24"/>
        </w:rPr>
        <w:t>i trust “protettivi”</w:t>
      </w:r>
      <w:r w:rsidRPr="005137A1">
        <w:rPr>
          <w:rFonts w:ascii="Times New Roman" w:hAnsi="Times New Roman" w:cs="Times New Roman"/>
          <w:sz w:val="24"/>
          <w:szCs w:val="24"/>
        </w:rPr>
        <w:t xml:space="preserve">, che sono istituiti da un imprenditore in </w:t>
      </w:r>
      <w:proofErr w:type="spellStart"/>
      <w:r w:rsidRPr="00F36BE8">
        <w:rPr>
          <w:rFonts w:ascii="Times New Roman" w:hAnsi="Times New Roman" w:cs="Times New Roman"/>
          <w:i/>
          <w:sz w:val="24"/>
          <w:szCs w:val="24"/>
        </w:rPr>
        <w:t>bonis</w:t>
      </w:r>
      <w:proofErr w:type="spellEnd"/>
      <w:r w:rsidRPr="005137A1">
        <w:rPr>
          <w:rFonts w:ascii="Times New Roman" w:hAnsi="Times New Roman" w:cs="Times New Roman"/>
          <w:sz w:val="24"/>
          <w:szCs w:val="24"/>
        </w:rPr>
        <w:t xml:space="preserve"> per prevenire azioni esecutive da parte di creditori “pericolosi”, mettendo a loro disposizione in </w:t>
      </w:r>
      <w:r w:rsidRPr="00F36BE8">
        <w:rPr>
          <w:rFonts w:ascii="Times New Roman" w:hAnsi="Times New Roman" w:cs="Times New Roman"/>
          <w:i/>
          <w:sz w:val="24"/>
          <w:szCs w:val="24"/>
        </w:rPr>
        <w:t>trust</w:t>
      </w:r>
      <w:r w:rsidRPr="005137A1">
        <w:rPr>
          <w:rFonts w:ascii="Times New Roman" w:hAnsi="Times New Roman" w:cs="Times New Roman"/>
          <w:sz w:val="24"/>
          <w:szCs w:val="24"/>
        </w:rPr>
        <w:t xml:space="preserve"> alcuni beni destinati alla loro soddisfazione. Questi trust hanno funzione </w:t>
      </w:r>
      <w:proofErr w:type="spellStart"/>
      <w:r w:rsidRPr="005137A1">
        <w:rPr>
          <w:rFonts w:ascii="Times New Roman" w:hAnsi="Times New Roman" w:cs="Times New Roman"/>
          <w:sz w:val="24"/>
          <w:szCs w:val="24"/>
        </w:rPr>
        <w:t>pre</w:t>
      </w:r>
      <w:proofErr w:type="spellEnd"/>
      <w:r w:rsidRPr="005137A1">
        <w:rPr>
          <w:rFonts w:ascii="Times New Roman" w:hAnsi="Times New Roman" w:cs="Times New Roman"/>
          <w:sz w:val="24"/>
          <w:szCs w:val="24"/>
        </w:rPr>
        <w:t xml:space="preserve">–liquidatoria e, soprattutto, lo scopo di rassicurare i creditori beneficiari del </w:t>
      </w:r>
      <w:r w:rsidRPr="005137A1">
        <w:rPr>
          <w:rFonts w:ascii="Times New Roman" w:hAnsi="Times New Roman" w:cs="Times New Roman"/>
          <w:i/>
          <w:sz w:val="24"/>
          <w:szCs w:val="24"/>
        </w:rPr>
        <w:t>trust</w:t>
      </w:r>
      <w:r w:rsidRPr="005137A1">
        <w:rPr>
          <w:rFonts w:ascii="Times New Roman" w:hAnsi="Times New Roman" w:cs="Times New Roman"/>
          <w:sz w:val="24"/>
          <w:szCs w:val="24"/>
        </w:rPr>
        <w:t xml:space="preserve"> prospettando un pagamento del debito attraverso la costituzione di una prelazione atipica;</w:t>
      </w:r>
    </w:p>
    <w:p w:rsidR="005E60DA" w:rsidRPr="005137A1" w:rsidRDefault="005E60DA" w:rsidP="005137A1">
      <w:pPr>
        <w:ind w:firstLine="708"/>
        <w:jc w:val="both"/>
        <w:rPr>
          <w:rFonts w:ascii="Times New Roman" w:hAnsi="Times New Roman" w:cs="Times New Roman"/>
          <w:sz w:val="24"/>
          <w:szCs w:val="24"/>
        </w:rPr>
      </w:pPr>
      <w:r w:rsidRPr="005137A1">
        <w:rPr>
          <w:rFonts w:ascii="Times New Roman" w:hAnsi="Times New Roman" w:cs="Times New Roman"/>
          <w:sz w:val="24"/>
          <w:szCs w:val="24"/>
        </w:rPr>
        <w:t xml:space="preserve">2) </w:t>
      </w:r>
      <w:r w:rsidRPr="00F36BE8">
        <w:rPr>
          <w:rFonts w:ascii="Times New Roman" w:hAnsi="Times New Roman" w:cs="Times New Roman"/>
          <w:b/>
          <w:i/>
          <w:sz w:val="24"/>
          <w:szCs w:val="24"/>
        </w:rPr>
        <w:t xml:space="preserve">i trust “di salvataggio” </w:t>
      </w:r>
      <w:r w:rsidRPr="005137A1">
        <w:rPr>
          <w:rFonts w:ascii="Times New Roman" w:hAnsi="Times New Roman" w:cs="Times New Roman"/>
          <w:sz w:val="24"/>
          <w:szCs w:val="24"/>
        </w:rPr>
        <w:t>che sono istituiti da un imprenditore in stato di crisi reversibile e mirano a scongiurare un’istanza di fallimento o a favorire e supportare soluzioni negoziali della crisi (ad esempio per rendere maggiormente appetibile una proposta di concordato);</w:t>
      </w:r>
    </w:p>
    <w:p w:rsidR="005E60DA" w:rsidRPr="005137A1" w:rsidRDefault="005E60DA" w:rsidP="005137A1">
      <w:pPr>
        <w:ind w:firstLine="708"/>
        <w:jc w:val="both"/>
        <w:rPr>
          <w:rFonts w:ascii="Times New Roman" w:hAnsi="Times New Roman" w:cs="Times New Roman"/>
          <w:sz w:val="24"/>
          <w:szCs w:val="24"/>
        </w:rPr>
      </w:pPr>
      <w:r w:rsidRPr="005137A1">
        <w:rPr>
          <w:rFonts w:ascii="Times New Roman" w:hAnsi="Times New Roman" w:cs="Times New Roman"/>
          <w:sz w:val="24"/>
          <w:szCs w:val="24"/>
        </w:rPr>
        <w:t xml:space="preserve">3) </w:t>
      </w:r>
      <w:r w:rsidRPr="00F36BE8">
        <w:rPr>
          <w:rFonts w:ascii="Times New Roman" w:hAnsi="Times New Roman" w:cs="Times New Roman"/>
          <w:b/>
          <w:i/>
          <w:sz w:val="24"/>
          <w:szCs w:val="24"/>
        </w:rPr>
        <w:t>i trust “puramente liquidatori”</w:t>
      </w:r>
      <w:r w:rsidRPr="005137A1">
        <w:rPr>
          <w:rFonts w:ascii="Times New Roman" w:hAnsi="Times New Roman" w:cs="Times New Roman"/>
          <w:sz w:val="24"/>
          <w:szCs w:val="24"/>
        </w:rPr>
        <w:t xml:space="preserve">, che realizzano una modalità alternativa alla liquidazione disciplinata dagli artt. 2487 </w:t>
      </w:r>
      <w:proofErr w:type="spellStart"/>
      <w:r w:rsidRPr="005137A1">
        <w:rPr>
          <w:rFonts w:ascii="Times New Roman" w:hAnsi="Times New Roman" w:cs="Times New Roman"/>
          <w:sz w:val="24"/>
          <w:szCs w:val="24"/>
        </w:rPr>
        <w:t>s.s.</w:t>
      </w:r>
      <w:proofErr w:type="spellEnd"/>
      <w:r w:rsidRPr="005137A1">
        <w:rPr>
          <w:rFonts w:ascii="Times New Roman" w:hAnsi="Times New Roman" w:cs="Times New Roman"/>
          <w:sz w:val="24"/>
          <w:szCs w:val="24"/>
        </w:rPr>
        <w:t xml:space="preserve"> c.c., consentendo al </w:t>
      </w:r>
      <w:proofErr w:type="spellStart"/>
      <w:r w:rsidRPr="005137A1">
        <w:rPr>
          <w:rFonts w:ascii="Times New Roman" w:hAnsi="Times New Roman" w:cs="Times New Roman"/>
          <w:i/>
          <w:sz w:val="24"/>
          <w:szCs w:val="24"/>
        </w:rPr>
        <w:t>trustee</w:t>
      </w:r>
      <w:proofErr w:type="spellEnd"/>
      <w:r w:rsidRPr="005137A1">
        <w:rPr>
          <w:rFonts w:ascii="Times New Roman" w:hAnsi="Times New Roman" w:cs="Times New Roman"/>
          <w:sz w:val="24"/>
          <w:szCs w:val="24"/>
        </w:rPr>
        <w:t xml:space="preserve"> di eseguire le operazioni di liquidazione e all’impresa liquidata di cancellarsi dal registro;</w:t>
      </w:r>
    </w:p>
    <w:p w:rsidR="005E60DA" w:rsidRDefault="005E60DA" w:rsidP="005137A1">
      <w:pPr>
        <w:ind w:firstLine="708"/>
        <w:jc w:val="both"/>
        <w:rPr>
          <w:rFonts w:ascii="Times New Roman" w:hAnsi="Times New Roman" w:cs="Times New Roman"/>
          <w:sz w:val="24"/>
          <w:szCs w:val="24"/>
        </w:rPr>
      </w:pPr>
      <w:r w:rsidRPr="005137A1">
        <w:rPr>
          <w:rFonts w:ascii="Times New Roman" w:hAnsi="Times New Roman" w:cs="Times New Roman"/>
          <w:sz w:val="24"/>
          <w:szCs w:val="24"/>
        </w:rPr>
        <w:t xml:space="preserve">4) </w:t>
      </w:r>
      <w:r w:rsidRPr="00F36BE8">
        <w:rPr>
          <w:rFonts w:ascii="Times New Roman" w:hAnsi="Times New Roman" w:cs="Times New Roman"/>
          <w:b/>
          <w:i/>
          <w:sz w:val="24"/>
          <w:szCs w:val="24"/>
        </w:rPr>
        <w:t>i trust “falsamente liquidatori”</w:t>
      </w:r>
      <w:r w:rsidRPr="005137A1">
        <w:rPr>
          <w:rFonts w:ascii="Times New Roman" w:hAnsi="Times New Roman" w:cs="Times New Roman"/>
          <w:sz w:val="24"/>
          <w:szCs w:val="24"/>
        </w:rPr>
        <w:t xml:space="preserve"> istituiti da imprenditori già decotti che hanno soltanto lo scopo di ostacolare le pretese creditorie e di procrastinare il fallimento di un’impresa già in stato di conclamata insolvenza. Esso è radicalmente nullo in quanto diretto a eludere le norme imperative dettate in materia di liquidazione.</w:t>
      </w:r>
    </w:p>
    <w:p w:rsidR="00F36BE8" w:rsidRDefault="00F36BE8" w:rsidP="00F36BE8">
      <w:pPr>
        <w:jc w:val="both"/>
        <w:rPr>
          <w:rFonts w:ascii="Times New Roman" w:hAnsi="Times New Roman" w:cs="Times New Roman"/>
          <w:sz w:val="24"/>
          <w:szCs w:val="24"/>
        </w:rPr>
      </w:pPr>
      <w:r>
        <w:rPr>
          <w:rFonts w:ascii="Times New Roman" w:hAnsi="Times New Roman" w:cs="Times New Roman"/>
          <w:sz w:val="24"/>
          <w:szCs w:val="24"/>
        </w:rPr>
        <w:t>Come anticipato in premessa, a livello giurisprudenziale, m</w:t>
      </w:r>
      <w:r w:rsidRPr="00F36BE8">
        <w:rPr>
          <w:rFonts w:ascii="Times New Roman" w:hAnsi="Times New Roman" w:cs="Times New Roman"/>
          <w:sz w:val="24"/>
          <w:szCs w:val="24"/>
        </w:rPr>
        <w:t xml:space="preserve">olti sono stati i casi in cui i Tribunali e le Corti d’Appello hanno negato la validità di </w:t>
      </w:r>
      <w:r w:rsidRPr="00F36BE8">
        <w:rPr>
          <w:rFonts w:ascii="Times New Roman" w:hAnsi="Times New Roman" w:cs="Times New Roman"/>
          <w:i/>
          <w:sz w:val="24"/>
          <w:szCs w:val="24"/>
        </w:rPr>
        <w:t>trust</w:t>
      </w:r>
      <w:r w:rsidRPr="00F36BE8">
        <w:rPr>
          <w:rFonts w:ascii="Times New Roman" w:hAnsi="Times New Roman" w:cs="Times New Roman"/>
          <w:sz w:val="24"/>
          <w:szCs w:val="24"/>
        </w:rPr>
        <w:t xml:space="preserve"> costituiti nella forma del c.d. </w:t>
      </w:r>
      <w:r w:rsidRPr="00F36BE8">
        <w:rPr>
          <w:rFonts w:ascii="Times New Roman" w:hAnsi="Times New Roman" w:cs="Times New Roman"/>
          <w:i/>
          <w:sz w:val="24"/>
          <w:szCs w:val="24"/>
        </w:rPr>
        <w:t>trust liquidatorio</w:t>
      </w:r>
      <w:r w:rsidRPr="00F36BE8">
        <w:rPr>
          <w:rFonts w:ascii="Times New Roman" w:hAnsi="Times New Roman" w:cs="Times New Roman"/>
          <w:sz w:val="24"/>
          <w:szCs w:val="24"/>
        </w:rPr>
        <w:t xml:space="preserve">, in quanto ritenuti - in concreto - privi di finalità liquidatoria per essere l’unico obiettivo perseguito dal </w:t>
      </w:r>
      <w:proofErr w:type="spellStart"/>
      <w:r w:rsidRPr="00F36BE8">
        <w:rPr>
          <w:rFonts w:ascii="Times New Roman" w:hAnsi="Times New Roman" w:cs="Times New Roman"/>
          <w:i/>
          <w:sz w:val="24"/>
          <w:szCs w:val="24"/>
        </w:rPr>
        <w:t>settlor</w:t>
      </w:r>
      <w:proofErr w:type="spellEnd"/>
      <w:r w:rsidRPr="00F36BE8">
        <w:rPr>
          <w:rFonts w:ascii="Times New Roman" w:hAnsi="Times New Roman" w:cs="Times New Roman"/>
          <w:sz w:val="24"/>
          <w:szCs w:val="24"/>
        </w:rPr>
        <w:t xml:space="preserve"> quello di segregare il patrimonio in frode ai creditori.</w:t>
      </w:r>
    </w:p>
    <w:p w:rsidR="00F36BE8" w:rsidRPr="005137A1" w:rsidRDefault="00F36BE8" w:rsidP="00F36BE8">
      <w:pPr>
        <w:jc w:val="both"/>
        <w:rPr>
          <w:rFonts w:ascii="Times New Roman" w:hAnsi="Times New Roman" w:cs="Times New Roman"/>
          <w:sz w:val="24"/>
          <w:szCs w:val="24"/>
        </w:rPr>
      </w:pPr>
      <w:r>
        <w:rPr>
          <w:rFonts w:ascii="Times New Roman" w:hAnsi="Times New Roman" w:cs="Times New Roman"/>
          <w:sz w:val="24"/>
          <w:szCs w:val="24"/>
        </w:rPr>
        <w:t>L</w:t>
      </w:r>
      <w:r w:rsidRPr="00F36BE8">
        <w:rPr>
          <w:rFonts w:ascii="Times New Roman" w:hAnsi="Times New Roman" w:cs="Times New Roman"/>
          <w:sz w:val="24"/>
          <w:szCs w:val="24"/>
        </w:rPr>
        <w:t>a questione della liceità ed efficacia del trust liquidatorio e degli effetti della sua eventuale illiceità</w:t>
      </w:r>
      <w:r w:rsidR="00762D21" w:rsidRPr="005137A1">
        <w:rPr>
          <w:rFonts w:ascii="Times New Roman" w:hAnsi="Times New Roman" w:cs="Times New Roman"/>
          <w:i/>
          <w:sz w:val="24"/>
          <w:szCs w:val="24"/>
        </w:rPr>
        <w:t xml:space="preserve"> </w:t>
      </w:r>
      <w:r w:rsidR="00762D21" w:rsidRPr="005137A1">
        <w:rPr>
          <w:rFonts w:ascii="Times New Roman" w:hAnsi="Times New Roman" w:cs="Times New Roman"/>
          <w:sz w:val="24"/>
          <w:szCs w:val="24"/>
        </w:rPr>
        <w:t xml:space="preserve">è stata al centro di una vicenda esaminata da Cass. 9 maggio 2014 n. 10105 relativa, appunto, ad un </w:t>
      </w:r>
      <w:r w:rsidR="00762D21" w:rsidRPr="005137A1">
        <w:rPr>
          <w:rFonts w:ascii="Times New Roman" w:hAnsi="Times New Roman" w:cs="Times New Roman"/>
          <w:i/>
          <w:sz w:val="24"/>
          <w:szCs w:val="24"/>
        </w:rPr>
        <w:t>trust (falsamente) liquidatorio</w:t>
      </w:r>
      <w:r w:rsidR="00762D21" w:rsidRPr="005137A1">
        <w:rPr>
          <w:rFonts w:ascii="Times New Roman" w:hAnsi="Times New Roman" w:cs="Times New Roman"/>
          <w:sz w:val="24"/>
          <w:szCs w:val="24"/>
        </w:rPr>
        <w:t xml:space="preserve"> istituito da una società da poco posta in liquidazione ma in un momento in cui si trovava già in una situazione di insolvenza. Dotato il </w:t>
      </w:r>
      <w:proofErr w:type="spellStart"/>
      <w:r w:rsidR="00762D21" w:rsidRPr="005137A1">
        <w:rPr>
          <w:rFonts w:ascii="Times New Roman" w:hAnsi="Times New Roman" w:cs="Times New Roman"/>
          <w:i/>
          <w:sz w:val="24"/>
          <w:szCs w:val="24"/>
        </w:rPr>
        <w:t>trustee</w:t>
      </w:r>
      <w:proofErr w:type="spellEnd"/>
      <w:r w:rsidR="00762D21" w:rsidRPr="005137A1">
        <w:rPr>
          <w:rFonts w:ascii="Times New Roman" w:hAnsi="Times New Roman" w:cs="Times New Roman"/>
          <w:sz w:val="24"/>
          <w:szCs w:val="24"/>
        </w:rPr>
        <w:t xml:space="preserve"> (il liquidatore societario) dell’intero patrimonio aziendale, compresi i debiti e crediti, l’impresa disponente a</w:t>
      </w:r>
      <w:r>
        <w:rPr>
          <w:rFonts w:ascii="Times New Roman" w:hAnsi="Times New Roman" w:cs="Times New Roman"/>
          <w:sz w:val="24"/>
          <w:szCs w:val="24"/>
        </w:rPr>
        <w:t>veva</w:t>
      </w:r>
      <w:r w:rsidR="00762D21" w:rsidRPr="005137A1">
        <w:rPr>
          <w:rFonts w:ascii="Times New Roman" w:hAnsi="Times New Roman" w:cs="Times New Roman"/>
          <w:sz w:val="24"/>
          <w:szCs w:val="24"/>
        </w:rPr>
        <w:t xml:space="preserve"> provveduto a cancellarsi dal Registro delle Imprese.</w:t>
      </w:r>
    </w:p>
    <w:p w:rsidR="004C2A9B" w:rsidRPr="005137A1" w:rsidRDefault="004C2A9B" w:rsidP="005137A1">
      <w:pPr>
        <w:jc w:val="both"/>
        <w:rPr>
          <w:rFonts w:ascii="Times New Roman" w:hAnsi="Times New Roman" w:cs="Times New Roman"/>
          <w:sz w:val="24"/>
          <w:szCs w:val="24"/>
        </w:rPr>
      </w:pPr>
      <w:r w:rsidRPr="005137A1">
        <w:rPr>
          <w:rFonts w:ascii="Times New Roman" w:hAnsi="Times New Roman" w:cs="Times New Roman"/>
          <w:sz w:val="24"/>
          <w:szCs w:val="24"/>
        </w:rPr>
        <w:t xml:space="preserve">Nel termine annuale previsto dall’art. 10 </w:t>
      </w:r>
      <w:proofErr w:type="spellStart"/>
      <w:r w:rsidRPr="005137A1">
        <w:rPr>
          <w:rFonts w:ascii="Times New Roman" w:hAnsi="Times New Roman" w:cs="Times New Roman"/>
          <w:sz w:val="24"/>
          <w:szCs w:val="24"/>
        </w:rPr>
        <w:t>l.f.</w:t>
      </w:r>
      <w:proofErr w:type="spellEnd"/>
      <w:r w:rsidRPr="005137A1">
        <w:rPr>
          <w:rFonts w:ascii="Times New Roman" w:hAnsi="Times New Roman" w:cs="Times New Roman"/>
          <w:sz w:val="24"/>
          <w:szCs w:val="24"/>
        </w:rPr>
        <w:t xml:space="preserve">, il Tribunale di Roma </w:t>
      </w:r>
      <w:r w:rsidR="0035483C">
        <w:rPr>
          <w:rFonts w:ascii="Times New Roman" w:hAnsi="Times New Roman" w:cs="Times New Roman"/>
          <w:sz w:val="24"/>
          <w:szCs w:val="24"/>
        </w:rPr>
        <w:t>aveva</w:t>
      </w:r>
      <w:r w:rsidRPr="005137A1">
        <w:rPr>
          <w:rFonts w:ascii="Times New Roman" w:hAnsi="Times New Roman" w:cs="Times New Roman"/>
          <w:sz w:val="24"/>
          <w:szCs w:val="24"/>
        </w:rPr>
        <w:t xml:space="preserve"> dichiarato il fallimento della società disponente e altresì considerato </w:t>
      </w:r>
      <w:r w:rsidRPr="0035483C">
        <w:rPr>
          <w:rFonts w:ascii="Times New Roman" w:hAnsi="Times New Roman" w:cs="Times New Roman"/>
          <w:b/>
          <w:sz w:val="24"/>
          <w:szCs w:val="24"/>
        </w:rPr>
        <w:t>nullo</w:t>
      </w:r>
      <w:r w:rsidRPr="005137A1">
        <w:rPr>
          <w:rFonts w:ascii="Times New Roman" w:hAnsi="Times New Roman" w:cs="Times New Roman"/>
          <w:sz w:val="24"/>
          <w:szCs w:val="24"/>
        </w:rPr>
        <w:t xml:space="preserve">, ai sensi dell’art. 1418 c.c. e 13 e 15 lett. e) della Convenzione dell’Aja, il trust liquidatorio poiché </w:t>
      </w:r>
      <w:r w:rsidR="0035483C">
        <w:rPr>
          <w:rFonts w:ascii="Times New Roman" w:hAnsi="Times New Roman" w:cs="Times New Roman"/>
          <w:i/>
          <w:sz w:val="24"/>
          <w:szCs w:val="24"/>
        </w:rPr>
        <w:t>“</w:t>
      </w:r>
      <w:r w:rsidRPr="0035483C">
        <w:rPr>
          <w:rFonts w:ascii="Times New Roman" w:hAnsi="Times New Roman" w:cs="Times New Roman"/>
          <w:i/>
          <w:sz w:val="24"/>
          <w:szCs w:val="24"/>
        </w:rPr>
        <w:t>realizza un effetto vietato dall’ordinamento</w:t>
      </w:r>
      <w:r w:rsidR="0035483C">
        <w:rPr>
          <w:rFonts w:ascii="Times New Roman" w:hAnsi="Times New Roman" w:cs="Times New Roman"/>
          <w:i/>
          <w:sz w:val="24"/>
          <w:szCs w:val="24"/>
        </w:rPr>
        <w:t>”</w:t>
      </w:r>
      <w:r w:rsidRPr="005137A1">
        <w:rPr>
          <w:rFonts w:ascii="Times New Roman" w:hAnsi="Times New Roman" w:cs="Times New Roman"/>
          <w:sz w:val="24"/>
          <w:szCs w:val="24"/>
        </w:rPr>
        <w:t xml:space="preserve">: cioè la sottrazione agli organi della procedura fallimentare della liquidazione dei beni del fallito. </w:t>
      </w:r>
    </w:p>
    <w:p w:rsidR="0035483C" w:rsidRDefault="0035483C" w:rsidP="005137A1">
      <w:pPr>
        <w:jc w:val="both"/>
        <w:rPr>
          <w:rFonts w:ascii="Times New Roman" w:hAnsi="Times New Roman" w:cs="Times New Roman"/>
          <w:sz w:val="24"/>
          <w:szCs w:val="24"/>
          <w:shd w:val="clear" w:color="auto" w:fill="FFFFFF"/>
        </w:rPr>
      </w:pPr>
      <w:r>
        <w:rPr>
          <w:rFonts w:ascii="Times New Roman" w:hAnsi="Times New Roman" w:cs="Times New Roman"/>
          <w:sz w:val="24"/>
          <w:szCs w:val="24"/>
        </w:rPr>
        <w:t>I Supremi Giudici,</w:t>
      </w:r>
      <w:r w:rsidR="004C2A9B" w:rsidRPr="005137A1">
        <w:rPr>
          <w:rFonts w:ascii="Times New Roman" w:hAnsi="Times New Roman" w:cs="Times New Roman"/>
          <w:sz w:val="24"/>
          <w:szCs w:val="24"/>
          <w:shd w:val="clear" w:color="auto" w:fill="FFFFFF"/>
        </w:rPr>
        <w:t xml:space="preserve"> esaminando nello specifico il trust liquidatorio, definito come la </w:t>
      </w:r>
      <w:r w:rsidR="004C2A9B" w:rsidRPr="005137A1">
        <w:rPr>
          <w:rFonts w:ascii="Times New Roman" w:hAnsi="Times New Roman" w:cs="Times New Roman"/>
          <w:b/>
          <w:bCs/>
          <w:sz w:val="24"/>
          <w:szCs w:val="24"/>
          <w:shd w:val="clear" w:color="auto" w:fill="FFFFFF"/>
        </w:rPr>
        <w:t>segregazione patrimoniale di tutto il patrimonio aziendale per provvedere, in forme privatistiche, alla liquidazione dell'azienda sociale</w:t>
      </w:r>
      <w:r w:rsidR="004C2A9B" w:rsidRPr="005137A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ed aderendo espressamente alla tesi della nullità sostenuta dai giudici di merito,</w:t>
      </w:r>
      <w:r w:rsidR="004C2A9B" w:rsidRPr="005137A1">
        <w:rPr>
          <w:rFonts w:ascii="Times New Roman" w:hAnsi="Times New Roman" w:cs="Times New Roman"/>
          <w:sz w:val="24"/>
          <w:szCs w:val="24"/>
          <w:shd w:val="clear" w:color="auto" w:fill="FFFFFF"/>
        </w:rPr>
        <w:t xml:space="preserve"> </w:t>
      </w:r>
      <w:r w:rsidRPr="0035483C">
        <w:rPr>
          <w:rFonts w:ascii="Times New Roman" w:hAnsi="Times New Roman" w:cs="Times New Roman"/>
          <w:sz w:val="24"/>
          <w:szCs w:val="24"/>
          <w:shd w:val="clear" w:color="auto" w:fill="FFFFFF"/>
        </w:rPr>
        <w:t xml:space="preserve">hanno, tuttavia, ritenuto di aggiungere alla soluzione prospettata alcune «precisazioni», riferite precipuamente all’ipotesi del c.d. </w:t>
      </w:r>
      <w:r w:rsidRPr="0035483C">
        <w:rPr>
          <w:rFonts w:ascii="Times New Roman" w:hAnsi="Times New Roman" w:cs="Times New Roman"/>
          <w:i/>
          <w:sz w:val="24"/>
          <w:szCs w:val="24"/>
          <w:shd w:val="clear" w:color="auto" w:fill="FFFFFF"/>
        </w:rPr>
        <w:t>trust anti-concorsuale</w:t>
      </w:r>
      <w:r w:rsidRPr="0035483C">
        <w:rPr>
          <w:rFonts w:ascii="Times New Roman" w:hAnsi="Times New Roman" w:cs="Times New Roman"/>
          <w:sz w:val="24"/>
          <w:szCs w:val="24"/>
          <w:shd w:val="clear" w:color="auto" w:fill="FFFFFF"/>
        </w:rPr>
        <w:t>, o</w:t>
      </w:r>
      <w:r>
        <w:rPr>
          <w:rFonts w:ascii="Times New Roman" w:hAnsi="Times New Roman" w:cs="Times New Roman"/>
          <w:sz w:val="24"/>
          <w:szCs w:val="24"/>
          <w:shd w:val="clear" w:color="auto" w:fill="FFFFFF"/>
        </w:rPr>
        <w:t>ssia</w:t>
      </w:r>
      <w:r w:rsidRPr="0035483C">
        <w:rPr>
          <w:rFonts w:ascii="Times New Roman" w:hAnsi="Times New Roman" w:cs="Times New Roman"/>
          <w:sz w:val="24"/>
          <w:szCs w:val="24"/>
          <w:shd w:val="clear" w:color="auto" w:fill="FFFFFF"/>
        </w:rPr>
        <w:t xml:space="preserve"> l’ipotesi in cui </w:t>
      </w:r>
      <w:r w:rsidRPr="0035483C">
        <w:rPr>
          <w:rFonts w:ascii="Times New Roman" w:hAnsi="Times New Roman" w:cs="Times New Roman"/>
          <w:i/>
          <w:sz w:val="24"/>
          <w:szCs w:val="24"/>
          <w:shd w:val="clear" w:color="auto" w:fill="FFFFFF"/>
        </w:rPr>
        <w:t>«il trust viene a sostituirsi alla procedura fallimentare ed impedisce lo spossessamento dell’imprenditore insolvente».</w:t>
      </w:r>
    </w:p>
    <w:p w:rsidR="0035483C" w:rsidRDefault="0035483C" w:rsidP="005137A1">
      <w:pPr>
        <w:jc w:val="both"/>
        <w:rPr>
          <w:rFonts w:ascii="Times New Roman" w:hAnsi="Times New Roman" w:cs="Times New Roman"/>
          <w:sz w:val="24"/>
          <w:szCs w:val="24"/>
          <w:shd w:val="clear" w:color="auto" w:fill="FFFFFF"/>
        </w:rPr>
      </w:pPr>
    </w:p>
    <w:p w:rsidR="0035483C" w:rsidRDefault="0035483C" w:rsidP="005137A1">
      <w:pPr>
        <w:jc w:val="both"/>
        <w:rPr>
          <w:rFonts w:ascii="Times New Roman" w:hAnsi="Times New Roman" w:cs="Times New Roman"/>
          <w:sz w:val="24"/>
          <w:szCs w:val="24"/>
          <w:shd w:val="clear" w:color="auto" w:fill="FFFFFF"/>
        </w:rPr>
      </w:pPr>
    </w:p>
    <w:p w:rsidR="00762D21" w:rsidRDefault="0035483C" w:rsidP="005137A1">
      <w:pPr>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La</w:t>
      </w:r>
      <w:r w:rsidR="004C2A9B" w:rsidRPr="005137A1">
        <w:rPr>
          <w:rFonts w:ascii="Times New Roman" w:hAnsi="Times New Roman" w:cs="Times New Roman"/>
          <w:sz w:val="24"/>
          <w:szCs w:val="24"/>
          <w:shd w:val="clear" w:color="auto" w:fill="FFFFFF"/>
        </w:rPr>
        <w:t xml:space="preserve"> Corte </w:t>
      </w:r>
      <w:r>
        <w:rPr>
          <w:rFonts w:ascii="Times New Roman" w:hAnsi="Times New Roman" w:cs="Times New Roman"/>
          <w:sz w:val="24"/>
          <w:szCs w:val="24"/>
          <w:shd w:val="clear" w:color="auto" w:fill="FFFFFF"/>
        </w:rPr>
        <w:t>ha precisato che tale configurazione del trust deve considerarsi</w:t>
      </w:r>
      <w:r w:rsidR="00762D21" w:rsidRPr="005137A1">
        <w:rPr>
          <w:rFonts w:ascii="Times New Roman" w:hAnsi="Times New Roman" w:cs="Times New Roman"/>
          <w:sz w:val="24"/>
          <w:szCs w:val="24"/>
          <w:shd w:val="clear" w:color="auto" w:fill="FFFFFF"/>
        </w:rPr>
        <w:t xml:space="preserve"> illegittima</w:t>
      </w:r>
      <w:r w:rsidR="009A7260">
        <w:rPr>
          <w:rFonts w:ascii="Times New Roman" w:hAnsi="Times New Roman" w:cs="Times New Roman"/>
          <w:sz w:val="24"/>
          <w:szCs w:val="24"/>
          <w:shd w:val="clear" w:color="auto" w:fill="FFFFFF"/>
        </w:rPr>
        <w:t>,</w:t>
      </w:r>
      <w:r w:rsidR="004C2A9B" w:rsidRPr="005137A1">
        <w:rPr>
          <w:rFonts w:ascii="Times New Roman" w:hAnsi="Times New Roman" w:cs="Times New Roman"/>
          <w:sz w:val="24"/>
          <w:szCs w:val="24"/>
          <w:shd w:val="clear" w:color="auto" w:fill="FFFFFF"/>
        </w:rPr>
        <w:t xml:space="preserve"> </w:t>
      </w:r>
      <w:r w:rsidR="00762D21" w:rsidRPr="005137A1">
        <w:rPr>
          <w:rFonts w:ascii="Times New Roman" w:hAnsi="Times New Roman" w:cs="Times New Roman"/>
          <w:i/>
          <w:iCs/>
          <w:sz w:val="24"/>
          <w:szCs w:val="24"/>
          <w:shd w:val="clear" w:color="auto" w:fill="FFFFFF"/>
        </w:rPr>
        <w:t>"comparando strumenti di cui l'uno, il</w:t>
      </w:r>
      <w:r w:rsidR="004C2A9B" w:rsidRPr="005137A1">
        <w:rPr>
          <w:rFonts w:ascii="Times New Roman" w:hAnsi="Times New Roman" w:cs="Times New Roman"/>
          <w:i/>
          <w:iCs/>
          <w:sz w:val="24"/>
          <w:szCs w:val="24"/>
          <w:shd w:val="clear" w:color="auto" w:fill="FFFFFF"/>
        </w:rPr>
        <w:t xml:space="preserve"> </w:t>
      </w:r>
      <w:r w:rsidR="00762D21" w:rsidRPr="005137A1">
        <w:rPr>
          <w:rFonts w:ascii="Times New Roman" w:hAnsi="Times New Roman" w:cs="Times New Roman"/>
          <w:iCs/>
          <w:sz w:val="24"/>
          <w:szCs w:val="24"/>
          <w:shd w:val="clear" w:color="auto" w:fill="FFFFFF"/>
        </w:rPr>
        <w:t>trust</w:t>
      </w:r>
      <w:r w:rsidR="00762D21" w:rsidRPr="005137A1">
        <w:rPr>
          <w:rFonts w:ascii="Times New Roman" w:hAnsi="Times New Roman" w:cs="Times New Roman"/>
          <w:i/>
          <w:iCs/>
          <w:sz w:val="24"/>
          <w:szCs w:val="24"/>
          <w:shd w:val="clear" w:color="auto" w:fill="FFFFFF"/>
        </w:rPr>
        <w:t xml:space="preserve">, ancorato a regole ed interessi comunque privati del disponente, e l'altro di natura schiettamente pubblicistica, qual è la procedura concorsuale, destinata a sopravvenire nel caso di insolvenza a tutela della </w:t>
      </w:r>
      <w:r w:rsidR="00762D21" w:rsidRPr="005137A1">
        <w:rPr>
          <w:rFonts w:ascii="Times New Roman" w:hAnsi="Times New Roman" w:cs="Times New Roman"/>
          <w:iCs/>
          <w:sz w:val="24"/>
          <w:szCs w:val="24"/>
          <w:shd w:val="clear" w:color="auto" w:fill="FFFFFF"/>
        </w:rPr>
        <w:t xml:space="preserve">par condicio creditorum </w:t>
      </w:r>
      <w:r w:rsidR="00762D21" w:rsidRPr="005137A1">
        <w:rPr>
          <w:rFonts w:ascii="Times New Roman" w:hAnsi="Times New Roman" w:cs="Times New Roman"/>
          <w:i/>
          <w:iCs/>
          <w:sz w:val="24"/>
          <w:szCs w:val="24"/>
          <w:shd w:val="clear" w:color="auto" w:fill="FFFFFF"/>
        </w:rPr>
        <w:t xml:space="preserve">e che non è surrogabile da strumenti che (ove pure siano trasferiti al </w:t>
      </w:r>
      <w:proofErr w:type="spellStart"/>
      <w:r w:rsidR="00762D21" w:rsidRPr="005137A1">
        <w:rPr>
          <w:rFonts w:ascii="Times New Roman" w:hAnsi="Times New Roman" w:cs="Times New Roman"/>
          <w:i/>
          <w:iCs/>
          <w:sz w:val="24"/>
          <w:szCs w:val="24"/>
          <w:shd w:val="clear" w:color="auto" w:fill="FFFFFF"/>
        </w:rPr>
        <w:t>trustee</w:t>
      </w:r>
      <w:proofErr w:type="spellEnd"/>
      <w:r w:rsidR="00762D21" w:rsidRPr="005137A1">
        <w:rPr>
          <w:rFonts w:ascii="Times New Roman" w:hAnsi="Times New Roman" w:cs="Times New Roman"/>
          <w:i/>
          <w:iCs/>
          <w:sz w:val="24"/>
          <w:szCs w:val="24"/>
          <w:shd w:val="clear" w:color="auto" w:fill="FFFFFF"/>
        </w:rPr>
        <w:t xml:space="preserve"> anche i rapporti passivi) n</w:t>
      </w:r>
      <w:r w:rsidR="004C2A9B" w:rsidRPr="005137A1">
        <w:rPr>
          <w:rFonts w:ascii="Times New Roman" w:hAnsi="Times New Roman" w:cs="Times New Roman"/>
          <w:i/>
          <w:iCs/>
          <w:sz w:val="24"/>
          <w:szCs w:val="24"/>
          <w:shd w:val="clear" w:color="auto" w:fill="FFFFFF"/>
        </w:rPr>
        <w:t>é</w:t>
      </w:r>
      <w:r w:rsidR="00762D21" w:rsidRPr="005137A1">
        <w:rPr>
          <w:rFonts w:ascii="Times New Roman" w:hAnsi="Times New Roman" w:cs="Times New Roman"/>
          <w:i/>
          <w:iCs/>
          <w:sz w:val="24"/>
          <w:szCs w:val="24"/>
          <w:shd w:val="clear" w:color="auto" w:fill="FFFFFF"/>
        </w:rPr>
        <w:t xml:space="preserve"> garantiscono tale parità, n</w:t>
      </w:r>
      <w:r w:rsidR="004C2A9B" w:rsidRPr="005137A1">
        <w:rPr>
          <w:rFonts w:ascii="Times New Roman" w:hAnsi="Times New Roman" w:cs="Times New Roman"/>
          <w:i/>
          <w:iCs/>
          <w:sz w:val="24"/>
          <w:szCs w:val="24"/>
          <w:shd w:val="clear" w:color="auto" w:fill="FFFFFF"/>
        </w:rPr>
        <w:t>é</w:t>
      </w:r>
      <w:r w:rsidR="00762D21" w:rsidRPr="005137A1">
        <w:rPr>
          <w:rFonts w:ascii="Times New Roman" w:hAnsi="Times New Roman" w:cs="Times New Roman"/>
          <w:i/>
          <w:iCs/>
          <w:sz w:val="24"/>
          <w:szCs w:val="24"/>
          <w:shd w:val="clear" w:color="auto" w:fill="FFFFFF"/>
        </w:rPr>
        <w:t xml:space="preserve"> escludono procedure individuali, n</w:t>
      </w:r>
      <w:r w:rsidR="004C2A9B" w:rsidRPr="005137A1">
        <w:rPr>
          <w:rFonts w:ascii="Times New Roman" w:hAnsi="Times New Roman" w:cs="Times New Roman"/>
          <w:i/>
          <w:iCs/>
          <w:sz w:val="24"/>
          <w:szCs w:val="24"/>
          <w:shd w:val="clear" w:color="auto" w:fill="FFFFFF"/>
        </w:rPr>
        <w:t>é</w:t>
      </w:r>
      <w:r w:rsidR="00762D21" w:rsidRPr="005137A1">
        <w:rPr>
          <w:rFonts w:ascii="Times New Roman" w:hAnsi="Times New Roman" w:cs="Times New Roman"/>
          <w:i/>
          <w:iCs/>
          <w:sz w:val="24"/>
          <w:szCs w:val="24"/>
          <w:shd w:val="clear" w:color="auto" w:fill="FFFFFF"/>
        </w:rPr>
        <w:t xml:space="preserve"> prevedono trattative vigilate con i creditori al fine della soluzione concordata della crisi, n</w:t>
      </w:r>
      <w:r w:rsidR="004C2A9B" w:rsidRPr="005137A1">
        <w:rPr>
          <w:rFonts w:ascii="Times New Roman" w:hAnsi="Times New Roman" w:cs="Times New Roman"/>
          <w:i/>
          <w:iCs/>
          <w:sz w:val="24"/>
          <w:szCs w:val="24"/>
          <w:shd w:val="clear" w:color="auto" w:fill="FFFFFF"/>
        </w:rPr>
        <w:t>é</w:t>
      </w:r>
      <w:r w:rsidR="00762D21" w:rsidRPr="005137A1">
        <w:rPr>
          <w:rFonts w:ascii="Times New Roman" w:hAnsi="Times New Roman" w:cs="Times New Roman"/>
          <w:i/>
          <w:iCs/>
          <w:sz w:val="24"/>
          <w:szCs w:val="24"/>
          <w:shd w:val="clear" w:color="auto" w:fill="FFFFFF"/>
        </w:rPr>
        <w:t xml:space="preserve"> contemplano alcun potere di amministrazione o controllo da parte del ceto creditorio o di un organo pubblico</w:t>
      </w:r>
      <w:r w:rsidR="004C2A9B" w:rsidRPr="005137A1">
        <w:rPr>
          <w:rFonts w:ascii="Times New Roman" w:hAnsi="Times New Roman" w:cs="Times New Roman"/>
          <w:i/>
          <w:iCs/>
          <w:sz w:val="24"/>
          <w:szCs w:val="24"/>
          <w:shd w:val="clear" w:color="auto" w:fill="FFFFFF"/>
        </w:rPr>
        <w:t xml:space="preserve"> </w:t>
      </w:r>
      <w:r w:rsidR="00762D21" w:rsidRPr="005137A1">
        <w:rPr>
          <w:rFonts w:ascii="Times New Roman" w:hAnsi="Times New Roman" w:cs="Times New Roman"/>
          <w:i/>
          <w:iCs/>
          <w:sz w:val="24"/>
          <w:szCs w:val="24"/>
          <w:shd w:val="clear" w:color="auto" w:fill="FFFFFF"/>
        </w:rPr>
        <w:t>neutrale"</w:t>
      </w:r>
      <w:r w:rsidR="005F389F">
        <w:rPr>
          <w:rStyle w:val="Rimandonotaapidipagina"/>
          <w:rFonts w:ascii="Times New Roman" w:hAnsi="Times New Roman" w:cs="Times New Roman"/>
          <w:i/>
          <w:iCs/>
          <w:sz w:val="24"/>
          <w:szCs w:val="24"/>
          <w:shd w:val="clear" w:color="auto" w:fill="FFFFFF"/>
        </w:rPr>
        <w:footnoteReference w:id="4"/>
      </w:r>
      <w:r w:rsidR="00762D21" w:rsidRPr="005137A1">
        <w:rPr>
          <w:rFonts w:ascii="Times New Roman" w:hAnsi="Times New Roman" w:cs="Times New Roman"/>
          <w:i/>
          <w:iCs/>
          <w:sz w:val="24"/>
          <w:szCs w:val="24"/>
          <w:shd w:val="clear" w:color="auto" w:fill="FFFFFF"/>
        </w:rPr>
        <w:t>.</w:t>
      </w:r>
      <w:r w:rsidR="00762D21" w:rsidRPr="005137A1">
        <w:rPr>
          <w:rFonts w:ascii="Times New Roman" w:hAnsi="Times New Roman" w:cs="Times New Roman"/>
          <w:i/>
          <w:iCs/>
          <w:sz w:val="24"/>
          <w:szCs w:val="24"/>
          <w:shd w:val="clear" w:color="auto" w:fill="FFFFFF"/>
        </w:rPr>
        <w:br/>
      </w:r>
      <w:r w:rsidR="00762D21" w:rsidRPr="005137A1">
        <w:rPr>
          <w:rFonts w:ascii="Times New Roman" w:hAnsi="Times New Roman" w:cs="Times New Roman"/>
          <w:sz w:val="24"/>
          <w:szCs w:val="24"/>
          <w:shd w:val="clear" w:color="auto" w:fill="FFFFFF"/>
        </w:rPr>
        <w:t>Pertanto, prosegue la Corte </w:t>
      </w:r>
      <w:r w:rsidR="00762D21" w:rsidRPr="005137A1">
        <w:rPr>
          <w:rFonts w:ascii="Times New Roman" w:hAnsi="Times New Roman" w:cs="Times New Roman"/>
          <w:b/>
          <w:bCs/>
          <w:sz w:val="24"/>
          <w:szCs w:val="24"/>
          <w:shd w:val="clear" w:color="auto" w:fill="FFFFFF"/>
        </w:rPr>
        <w:t>"</w:t>
      </w:r>
      <w:r w:rsidR="00762D21" w:rsidRPr="005137A1">
        <w:rPr>
          <w:rFonts w:ascii="Times New Roman" w:hAnsi="Times New Roman" w:cs="Times New Roman"/>
          <w:b/>
          <w:bCs/>
          <w:i/>
          <w:iCs/>
          <w:sz w:val="24"/>
          <w:szCs w:val="24"/>
          <w:shd w:val="clear" w:color="auto" w:fill="FFFFFF"/>
        </w:rPr>
        <w:t>se la causa concreta del regolamento in trust sia quella di segregare tutti i beni dell'impresa, a scapito di forme pubblicistiche quale il fallimento, l'ordinamento non può accordarvi tutela".</w:t>
      </w:r>
      <w:r w:rsidR="00762D21" w:rsidRPr="005137A1">
        <w:rPr>
          <w:rFonts w:ascii="Times New Roman" w:hAnsi="Times New Roman" w:cs="Times New Roman"/>
          <w:b/>
          <w:bCs/>
          <w:i/>
          <w:iCs/>
          <w:sz w:val="24"/>
          <w:szCs w:val="24"/>
          <w:shd w:val="clear" w:color="auto" w:fill="FFFFFF"/>
        </w:rPr>
        <w:br/>
      </w:r>
      <w:r w:rsidR="00762D21" w:rsidRPr="005137A1">
        <w:rPr>
          <w:rFonts w:ascii="Times New Roman" w:hAnsi="Times New Roman" w:cs="Times New Roman"/>
          <w:sz w:val="24"/>
          <w:szCs w:val="24"/>
          <w:shd w:val="clear" w:color="auto" w:fill="FFFFFF"/>
        </w:rPr>
        <w:t>Un simile istituto sarebbe, infatti, in contrasto sia con norme inderogabili e di ordine pubblico in materia di procedure concorsuali</w:t>
      </w:r>
      <w:r>
        <w:rPr>
          <w:rFonts w:ascii="Times New Roman" w:hAnsi="Times New Roman" w:cs="Times New Roman"/>
          <w:sz w:val="24"/>
          <w:szCs w:val="24"/>
          <w:shd w:val="clear" w:color="auto" w:fill="FFFFFF"/>
        </w:rPr>
        <w:t>,</w:t>
      </w:r>
      <w:r w:rsidR="00762D21" w:rsidRPr="005137A1">
        <w:rPr>
          <w:rFonts w:ascii="Times New Roman" w:hAnsi="Times New Roman" w:cs="Times New Roman"/>
          <w:sz w:val="24"/>
          <w:szCs w:val="24"/>
          <w:shd w:val="clear" w:color="auto" w:fill="FFFFFF"/>
        </w:rPr>
        <w:t xml:space="preserve"> che con l'articolo 15 della Convenzione dell'Aja</w:t>
      </w:r>
      <w:r w:rsidR="004C2A9B" w:rsidRPr="005137A1">
        <w:rPr>
          <w:rFonts w:ascii="Times New Roman" w:hAnsi="Times New Roman" w:cs="Times New Roman"/>
          <w:sz w:val="24"/>
          <w:szCs w:val="24"/>
          <w:shd w:val="clear" w:color="auto" w:fill="FFFFFF"/>
        </w:rPr>
        <w:t xml:space="preserve"> ai sensi del quale </w:t>
      </w:r>
      <w:r w:rsidR="004C2A9B" w:rsidRPr="005137A1">
        <w:rPr>
          <w:rFonts w:ascii="Times New Roman" w:hAnsi="Times New Roman" w:cs="Times New Roman"/>
          <w:i/>
          <w:sz w:val="24"/>
          <w:szCs w:val="24"/>
          <w:shd w:val="clear" w:color="auto" w:fill="FFFFFF"/>
        </w:rPr>
        <w:t>“</w:t>
      </w:r>
      <w:r w:rsidR="00762D21" w:rsidRPr="005137A1">
        <w:rPr>
          <w:rFonts w:ascii="Times New Roman" w:hAnsi="Times New Roman" w:cs="Times New Roman"/>
          <w:i/>
          <w:sz w:val="24"/>
          <w:szCs w:val="24"/>
          <w:shd w:val="clear" w:color="auto" w:fill="FFFFFF"/>
        </w:rPr>
        <w:t>la Convenzione no</w:t>
      </w:r>
      <w:r w:rsidR="004C2A9B" w:rsidRPr="005137A1">
        <w:rPr>
          <w:rFonts w:ascii="Times New Roman" w:hAnsi="Times New Roman" w:cs="Times New Roman"/>
          <w:i/>
          <w:sz w:val="24"/>
          <w:szCs w:val="24"/>
          <w:shd w:val="clear" w:color="auto" w:fill="FFFFFF"/>
        </w:rPr>
        <w:t>n può</w:t>
      </w:r>
      <w:r w:rsidR="00762D21" w:rsidRPr="005137A1">
        <w:rPr>
          <w:rFonts w:ascii="Times New Roman" w:hAnsi="Times New Roman" w:cs="Times New Roman"/>
          <w:i/>
          <w:sz w:val="24"/>
          <w:szCs w:val="24"/>
          <w:shd w:val="clear" w:color="auto" w:fill="FFFFFF"/>
        </w:rPr>
        <w:t xml:space="preserve"> costituire ostacolo all'applicazione delle disposizioni della legge designata dalle norme del foro sul conflitto di leggi in tema di "protezione dei creditori in caso di insolvenza" </w:t>
      </w:r>
      <w:r w:rsidR="00762D21" w:rsidRPr="009A7260">
        <w:rPr>
          <w:rFonts w:ascii="Times New Roman" w:hAnsi="Times New Roman" w:cs="Times New Roman"/>
          <w:sz w:val="24"/>
          <w:szCs w:val="24"/>
          <w:shd w:val="clear" w:color="auto" w:fill="FFFFFF"/>
        </w:rPr>
        <w:t>e l'ultimo comma aggiunge che</w:t>
      </w:r>
      <w:r w:rsidR="00762D21" w:rsidRPr="005137A1">
        <w:rPr>
          <w:rFonts w:ascii="Times New Roman" w:hAnsi="Times New Roman" w:cs="Times New Roman"/>
          <w:i/>
          <w:sz w:val="24"/>
          <w:szCs w:val="24"/>
          <w:shd w:val="clear" w:color="auto" w:fill="FFFFFF"/>
        </w:rPr>
        <w:t xml:space="preserve"> "qualora le disposizioni del precedente paragrafo siano di ostacolo al riconoscimento del trust, il giudice cercherà di attuare gli scopi del trust in altro modo".</w:t>
      </w:r>
      <w:r w:rsidR="00762D21" w:rsidRPr="005137A1">
        <w:rPr>
          <w:rFonts w:ascii="Times New Roman" w:hAnsi="Times New Roman" w:cs="Times New Roman"/>
          <w:sz w:val="24"/>
          <w:szCs w:val="24"/>
        </w:rPr>
        <w:br/>
      </w:r>
      <w:r w:rsidR="00762D21" w:rsidRPr="005137A1">
        <w:rPr>
          <w:rFonts w:ascii="Times New Roman" w:hAnsi="Times New Roman" w:cs="Times New Roman"/>
          <w:sz w:val="24"/>
          <w:szCs w:val="24"/>
          <w:shd w:val="clear" w:color="auto" w:fill="FFFFFF"/>
        </w:rPr>
        <w:t>La conseguenza è che il trust liquidatorio deve essere </w:t>
      </w:r>
      <w:r w:rsidR="00762D21" w:rsidRPr="005137A1">
        <w:rPr>
          <w:rFonts w:ascii="Times New Roman" w:hAnsi="Times New Roman" w:cs="Times New Roman"/>
          <w:b/>
          <w:bCs/>
          <w:sz w:val="24"/>
          <w:szCs w:val="24"/>
          <w:shd w:val="clear" w:color="auto" w:fill="FFFFFF"/>
        </w:rPr>
        <w:t>disconosciuto dal giudice del merito ogni volta che sia dichiarato il fallimento per essere accertata l'insolvenza del soggetto, ove l'insolvenza preesistesse all'atto istitutivo.</w:t>
      </w:r>
    </w:p>
    <w:p w:rsidR="00166C76" w:rsidRDefault="0035483C" w:rsidP="00166C76">
      <w:pPr>
        <w:jc w:val="both"/>
        <w:rPr>
          <w:rFonts w:ascii="Times New Roman" w:hAnsi="Times New Roman" w:cs="Times New Roman"/>
          <w:bCs/>
          <w:i/>
          <w:sz w:val="24"/>
          <w:szCs w:val="24"/>
          <w:shd w:val="clear" w:color="auto" w:fill="FFFFFF"/>
        </w:rPr>
      </w:pPr>
      <w:r w:rsidRPr="0035483C">
        <w:rPr>
          <w:rFonts w:ascii="Times New Roman" w:hAnsi="Times New Roman" w:cs="Times New Roman"/>
          <w:bCs/>
          <w:sz w:val="24"/>
          <w:szCs w:val="24"/>
          <w:shd w:val="clear" w:color="auto" w:fill="FFFFFF"/>
        </w:rPr>
        <w:t xml:space="preserve">Ne consegue che, «una volta accertata la non riconoscibilità, lo strumento </w:t>
      </w:r>
      <w:r w:rsidRPr="0035483C">
        <w:rPr>
          <w:rFonts w:ascii="Times New Roman" w:hAnsi="Times New Roman" w:cs="Times New Roman"/>
          <w:bCs/>
          <w:i/>
          <w:sz w:val="24"/>
          <w:szCs w:val="24"/>
          <w:shd w:val="clear" w:color="auto" w:fill="FFFFFF"/>
        </w:rPr>
        <w:t>non produce alcun effetto giuridico nel nostro ordinamento,</w:t>
      </w:r>
      <w:r w:rsidRPr="0035483C">
        <w:rPr>
          <w:rFonts w:ascii="Times New Roman" w:hAnsi="Times New Roman" w:cs="Times New Roman"/>
          <w:bCs/>
          <w:sz w:val="24"/>
          <w:szCs w:val="24"/>
          <w:shd w:val="clear" w:color="auto" w:fill="FFFFFF"/>
        </w:rPr>
        <w:t xml:space="preserve"> in particolare non quello di creare un patrimonio separato, restando </w:t>
      </w:r>
      <w:proofErr w:type="spellStart"/>
      <w:r w:rsidRPr="0035483C">
        <w:rPr>
          <w:rFonts w:ascii="Times New Roman" w:hAnsi="Times New Roman" w:cs="Times New Roman"/>
          <w:bCs/>
          <w:i/>
          <w:sz w:val="24"/>
          <w:szCs w:val="24"/>
          <w:shd w:val="clear" w:color="auto" w:fill="FFFFFF"/>
        </w:rPr>
        <w:t>tamquam</w:t>
      </w:r>
      <w:proofErr w:type="spellEnd"/>
      <w:r w:rsidRPr="0035483C">
        <w:rPr>
          <w:rFonts w:ascii="Times New Roman" w:hAnsi="Times New Roman" w:cs="Times New Roman"/>
          <w:bCs/>
          <w:i/>
          <w:sz w:val="24"/>
          <w:szCs w:val="24"/>
          <w:shd w:val="clear" w:color="auto" w:fill="FFFFFF"/>
        </w:rPr>
        <w:t xml:space="preserve"> non </w:t>
      </w:r>
      <w:proofErr w:type="spellStart"/>
      <w:r w:rsidRPr="0035483C">
        <w:rPr>
          <w:rFonts w:ascii="Times New Roman" w:hAnsi="Times New Roman" w:cs="Times New Roman"/>
          <w:bCs/>
          <w:i/>
          <w:sz w:val="24"/>
          <w:szCs w:val="24"/>
          <w:shd w:val="clear" w:color="auto" w:fill="FFFFFF"/>
        </w:rPr>
        <w:t>esset</w:t>
      </w:r>
      <w:proofErr w:type="spellEnd"/>
      <w:r w:rsidRPr="0035483C">
        <w:rPr>
          <w:rFonts w:ascii="Times New Roman" w:hAnsi="Times New Roman" w:cs="Times New Roman"/>
          <w:bCs/>
          <w:sz w:val="24"/>
          <w:szCs w:val="24"/>
          <w:shd w:val="clear" w:color="auto" w:fill="FFFFFF"/>
        </w:rPr>
        <w:t>».</w:t>
      </w:r>
      <w:r w:rsidR="00166C76">
        <w:rPr>
          <w:rFonts w:ascii="Times New Roman" w:hAnsi="Times New Roman" w:cs="Times New Roman"/>
          <w:bCs/>
          <w:sz w:val="24"/>
          <w:szCs w:val="24"/>
          <w:shd w:val="clear" w:color="auto" w:fill="FFFFFF"/>
        </w:rPr>
        <w:t xml:space="preserve"> </w:t>
      </w:r>
      <w:r w:rsidR="00166C76" w:rsidRPr="00166C76">
        <w:rPr>
          <w:rFonts w:ascii="Times New Roman" w:hAnsi="Times New Roman" w:cs="Times New Roman"/>
          <w:bCs/>
          <w:sz w:val="24"/>
          <w:szCs w:val="24"/>
          <w:shd w:val="clear" w:color="auto" w:fill="FFFFFF"/>
        </w:rPr>
        <w:t xml:space="preserve">In termini pratici, il trust </w:t>
      </w:r>
      <w:r w:rsidR="00166C76" w:rsidRPr="00166C76">
        <w:rPr>
          <w:rFonts w:ascii="Times New Roman" w:hAnsi="Times New Roman" w:cs="Times New Roman"/>
          <w:bCs/>
          <w:i/>
          <w:sz w:val="24"/>
          <w:szCs w:val="24"/>
          <w:shd w:val="clear" w:color="auto" w:fill="FFFFFF"/>
        </w:rPr>
        <w:t>«deve essere disconosciuto dal giudice del merito, ogni volta che sia dichiarato il fallimento per essere accertata l’insolvenza del soggetto, ove l’insolvenza preesistesse all’atto istitutivo».</w:t>
      </w:r>
    </w:p>
    <w:p w:rsidR="00166C76" w:rsidRDefault="00166C76" w:rsidP="00166C76">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La Suprema Corte, dunque, non si arresta alla tesi della nullità, ma va oltre quando afferma che</w:t>
      </w:r>
      <w:r w:rsidRPr="00166C76">
        <w:rPr>
          <w:rFonts w:ascii="Times New Roman" w:hAnsi="Times New Roman" w:cs="Times New Roman"/>
          <w:bCs/>
          <w:sz w:val="24"/>
          <w:szCs w:val="24"/>
          <w:shd w:val="clear" w:color="auto" w:fill="FFFFFF"/>
        </w:rPr>
        <w:t xml:space="preserve"> dalla dichiarazione di fallimento deriva</w:t>
      </w:r>
      <w:r>
        <w:rPr>
          <w:rFonts w:ascii="Times New Roman" w:hAnsi="Times New Roman" w:cs="Times New Roman"/>
          <w:bCs/>
          <w:sz w:val="24"/>
          <w:szCs w:val="24"/>
          <w:shd w:val="clear" w:color="auto" w:fill="FFFFFF"/>
        </w:rPr>
        <w:t xml:space="preserve"> necessariamente</w:t>
      </w:r>
      <w:r w:rsidRPr="00166C76">
        <w:rPr>
          <w:rFonts w:ascii="Times New Roman" w:hAnsi="Times New Roman" w:cs="Times New Roman"/>
          <w:bCs/>
          <w:sz w:val="24"/>
          <w:szCs w:val="24"/>
          <w:shd w:val="clear" w:color="auto" w:fill="FFFFFF"/>
        </w:rPr>
        <w:t xml:space="preserve"> «l’integrale </w:t>
      </w:r>
      <w:r w:rsidRPr="00166C76">
        <w:rPr>
          <w:rFonts w:ascii="Times New Roman" w:hAnsi="Times New Roman" w:cs="Times New Roman"/>
          <w:bCs/>
          <w:i/>
          <w:sz w:val="24"/>
          <w:szCs w:val="24"/>
          <w:shd w:val="clear" w:color="auto" w:fill="FFFFFF"/>
        </w:rPr>
        <w:t xml:space="preserve">non riconoscimento </w:t>
      </w:r>
      <w:r w:rsidRPr="00166C76">
        <w:rPr>
          <w:rFonts w:ascii="Times New Roman" w:hAnsi="Times New Roman" w:cs="Times New Roman"/>
          <w:bCs/>
          <w:sz w:val="24"/>
          <w:szCs w:val="24"/>
          <w:shd w:val="clear" w:color="auto" w:fill="FFFFFF"/>
        </w:rPr>
        <w:t>del trust, ai sensi dell’art. 15, primo comma, lett. e) della Convenzione»</w:t>
      </w:r>
      <w:r>
        <w:rPr>
          <w:rFonts w:ascii="Times New Roman" w:hAnsi="Times New Roman" w:cs="Times New Roman"/>
          <w:bCs/>
          <w:sz w:val="24"/>
          <w:szCs w:val="24"/>
          <w:shd w:val="clear" w:color="auto" w:fill="FFFFFF"/>
        </w:rPr>
        <w:t>.</w:t>
      </w:r>
    </w:p>
    <w:p w:rsidR="00166C76" w:rsidRDefault="00166C76" w:rsidP="00166C76">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La </w:t>
      </w:r>
      <w:r>
        <w:rPr>
          <w:rFonts w:ascii="Times New Roman" w:hAnsi="Times New Roman" w:cs="Times New Roman"/>
          <w:bCs/>
          <w:i/>
          <w:sz w:val="24"/>
          <w:szCs w:val="24"/>
          <w:shd w:val="clear" w:color="auto" w:fill="FFFFFF"/>
        </w:rPr>
        <w:t xml:space="preserve">“non efficacia” </w:t>
      </w:r>
      <w:r>
        <w:rPr>
          <w:rFonts w:ascii="Times New Roman" w:hAnsi="Times New Roman" w:cs="Times New Roman"/>
          <w:bCs/>
          <w:sz w:val="24"/>
          <w:szCs w:val="24"/>
          <w:shd w:val="clear" w:color="auto" w:fill="FFFFFF"/>
        </w:rPr>
        <w:t>del</w:t>
      </w:r>
      <w:r w:rsidRPr="00166C76">
        <w:rPr>
          <w:rFonts w:ascii="Times New Roman" w:hAnsi="Times New Roman" w:cs="Times New Roman"/>
          <w:bCs/>
          <w:sz w:val="24"/>
          <w:szCs w:val="24"/>
          <w:shd w:val="clear" w:color="auto" w:fill="FFFFFF"/>
        </w:rPr>
        <w:t xml:space="preserve"> negozio istitutivo del trust</w:t>
      </w:r>
      <w:r>
        <w:rPr>
          <w:rFonts w:ascii="Times New Roman" w:hAnsi="Times New Roman" w:cs="Times New Roman"/>
          <w:bCs/>
          <w:sz w:val="24"/>
          <w:szCs w:val="24"/>
          <w:shd w:val="clear" w:color="auto" w:fill="FFFFFF"/>
        </w:rPr>
        <w:t xml:space="preserve"> pone un’ulteriore rilevante questione per gli operatori del diritto circa </w:t>
      </w:r>
      <w:r w:rsidRPr="00166C76">
        <w:rPr>
          <w:rFonts w:ascii="Times New Roman" w:hAnsi="Times New Roman" w:cs="Times New Roman"/>
          <w:bCs/>
          <w:sz w:val="24"/>
          <w:szCs w:val="24"/>
          <w:shd w:val="clear" w:color="auto" w:fill="FFFFFF"/>
        </w:rPr>
        <w:t xml:space="preserve">la sorte degli atti dispositivi, di trasferimento dei beni o dell’azienda in favore del </w:t>
      </w:r>
      <w:proofErr w:type="spellStart"/>
      <w:r w:rsidRPr="00166C76">
        <w:rPr>
          <w:rFonts w:ascii="Times New Roman" w:hAnsi="Times New Roman" w:cs="Times New Roman"/>
          <w:bCs/>
          <w:i/>
          <w:sz w:val="24"/>
          <w:szCs w:val="24"/>
          <w:shd w:val="clear" w:color="auto" w:fill="FFFFFF"/>
        </w:rPr>
        <w:t>trustee</w:t>
      </w:r>
      <w:proofErr w:type="spellEnd"/>
      <w:r w:rsidRPr="00166C76">
        <w:rPr>
          <w:rFonts w:ascii="Times New Roman" w:hAnsi="Times New Roman" w:cs="Times New Roman"/>
          <w:bCs/>
          <w:sz w:val="24"/>
          <w:szCs w:val="24"/>
          <w:shd w:val="clear" w:color="auto" w:fill="FFFFFF"/>
        </w:rPr>
        <w:t>, essendo espressamente esclusa l’applicabilità della Convenzione de L’Aja alle questioni relative alla validità degli atti giuridici di trasferimento (cfr. art. 4)</w:t>
      </w:r>
      <w:r>
        <w:rPr>
          <w:rFonts w:ascii="Times New Roman" w:hAnsi="Times New Roman" w:cs="Times New Roman"/>
          <w:bCs/>
          <w:sz w:val="24"/>
          <w:szCs w:val="24"/>
          <w:shd w:val="clear" w:color="auto" w:fill="FFFFFF"/>
        </w:rPr>
        <w:t xml:space="preserve">. </w:t>
      </w:r>
    </w:p>
    <w:p w:rsidR="00166C76" w:rsidRPr="00166C76" w:rsidRDefault="00166C76" w:rsidP="00166C76">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La questione va risolta a livello “interno” </w:t>
      </w:r>
      <w:r w:rsidRPr="00166C76">
        <w:rPr>
          <w:rFonts w:ascii="Times New Roman" w:hAnsi="Times New Roman" w:cs="Times New Roman"/>
          <w:bCs/>
          <w:sz w:val="24"/>
          <w:szCs w:val="24"/>
          <w:shd w:val="clear" w:color="auto" w:fill="FFFFFF"/>
        </w:rPr>
        <w:t>in virtù della legge interna</w:t>
      </w:r>
      <w:r>
        <w:rPr>
          <w:rFonts w:ascii="Times New Roman" w:hAnsi="Times New Roman" w:cs="Times New Roman"/>
          <w:bCs/>
          <w:sz w:val="24"/>
          <w:szCs w:val="24"/>
          <w:shd w:val="clear" w:color="auto" w:fill="FFFFFF"/>
        </w:rPr>
        <w:t xml:space="preserve">: </w:t>
      </w:r>
      <w:r w:rsidRPr="00166C76">
        <w:rPr>
          <w:rFonts w:ascii="Times New Roman" w:hAnsi="Times New Roman" w:cs="Times New Roman"/>
          <w:bCs/>
          <w:sz w:val="24"/>
          <w:szCs w:val="24"/>
          <w:shd w:val="clear" w:color="auto" w:fill="FFFFFF"/>
        </w:rPr>
        <w:t xml:space="preserve">dal momento che il negozio istitutivo del trust si pone come antecedente causale dell’attribuzione patrimoniale operata con l’atto di trasferimento dei beni, </w:t>
      </w:r>
      <w:r>
        <w:rPr>
          <w:rFonts w:ascii="Times New Roman" w:hAnsi="Times New Roman" w:cs="Times New Roman"/>
          <w:bCs/>
          <w:sz w:val="24"/>
          <w:szCs w:val="24"/>
          <w:shd w:val="clear" w:color="auto" w:fill="FFFFFF"/>
        </w:rPr>
        <w:t>“</w:t>
      </w:r>
      <w:r w:rsidRPr="00166C76">
        <w:rPr>
          <w:rFonts w:ascii="Times New Roman" w:hAnsi="Times New Roman" w:cs="Times New Roman"/>
          <w:bCs/>
          <w:i/>
          <w:sz w:val="24"/>
          <w:szCs w:val="24"/>
          <w:shd w:val="clear" w:color="auto" w:fill="FFFFFF"/>
        </w:rPr>
        <w:t>ove non riconoscibile il primo diviene privo di causa il secondo (nullo ex art. 1418, secondo comma, prima parte, c.c. perché operato in esecuzione di negozio riconoscibile)</w:t>
      </w:r>
      <w:r>
        <w:rPr>
          <w:rFonts w:ascii="Times New Roman" w:hAnsi="Times New Roman" w:cs="Times New Roman"/>
          <w:bCs/>
          <w:i/>
          <w:sz w:val="24"/>
          <w:szCs w:val="24"/>
          <w:shd w:val="clear" w:color="auto" w:fill="FFFFFF"/>
        </w:rPr>
        <w:t>”</w:t>
      </w:r>
      <w:r w:rsidRPr="00166C76">
        <w:rPr>
          <w:rFonts w:ascii="Times New Roman" w:hAnsi="Times New Roman" w:cs="Times New Roman"/>
          <w:bCs/>
          <w:sz w:val="24"/>
          <w:szCs w:val="24"/>
          <w:shd w:val="clear" w:color="auto" w:fill="FFFFFF"/>
        </w:rPr>
        <w:t>.</w:t>
      </w:r>
    </w:p>
    <w:p w:rsidR="0035483C" w:rsidRDefault="00166C76" w:rsidP="00166C76">
      <w:pPr>
        <w:jc w:val="both"/>
        <w:rPr>
          <w:rFonts w:ascii="Times New Roman" w:hAnsi="Times New Roman" w:cs="Times New Roman"/>
          <w:bCs/>
          <w:sz w:val="24"/>
          <w:szCs w:val="24"/>
          <w:shd w:val="clear" w:color="auto" w:fill="FFFFFF"/>
        </w:rPr>
      </w:pPr>
      <w:r w:rsidRPr="00166C76">
        <w:rPr>
          <w:rFonts w:ascii="Times New Roman" w:hAnsi="Times New Roman" w:cs="Times New Roman"/>
          <w:bCs/>
          <w:sz w:val="24"/>
          <w:szCs w:val="24"/>
          <w:shd w:val="clear" w:color="auto" w:fill="FFFFFF"/>
        </w:rPr>
        <w:t xml:space="preserve">Ne deriva che, essendo l’atto istitutivo del trust </w:t>
      </w:r>
      <w:proofErr w:type="spellStart"/>
      <w:r w:rsidRPr="00166C76">
        <w:rPr>
          <w:rFonts w:ascii="Times New Roman" w:hAnsi="Times New Roman" w:cs="Times New Roman"/>
          <w:bCs/>
          <w:i/>
          <w:sz w:val="24"/>
          <w:szCs w:val="24"/>
          <w:shd w:val="clear" w:color="auto" w:fill="FFFFFF"/>
        </w:rPr>
        <w:t>tamquam</w:t>
      </w:r>
      <w:proofErr w:type="spellEnd"/>
      <w:r w:rsidRPr="00166C76">
        <w:rPr>
          <w:rFonts w:ascii="Times New Roman" w:hAnsi="Times New Roman" w:cs="Times New Roman"/>
          <w:bCs/>
          <w:i/>
          <w:sz w:val="24"/>
          <w:szCs w:val="24"/>
          <w:shd w:val="clear" w:color="auto" w:fill="FFFFFF"/>
        </w:rPr>
        <w:t xml:space="preserve"> non </w:t>
      </w:r>
      <w:proofErr w:type="spellStart"/>
      <w:r w:rsidRPr="00166C76">
        <w:rPr>
          <w:rFonts w:ascii="Times New Roman" w:hAnsi="Times New Roman" w:cs="Times New Roman"/>
          <w:bCs/>
          <w:i/>
          <w:sz w:val="24"/>
          <w:szCs w:val="24"/>
          <w:shd w:val="clear" w:color="auto" w:fill="FFFFFF"/>
        </w:rPr>
        <w:t>esset</w:t>
      </w:r>
      <w:proofErr w:type="spellEnd"/>
      <w:r w:rsidRPr="00166C76">
        <w:rPr>
          <w:rFonts w:ascii="Times New Roman" w:hAnsi="Times New Roman" w:cs="Times New Roman"/>
          <w:bCs/>
          <w:sz w:val="24"/>
          <w:szCs w:val="24"/>
          <w:shd w:val="clear" w:color="auto" w:fill="FFFFFF"/>
        </w:rPr>
        <w:t xml:space="preserve">, l’atto dispositivo di trasferimento dei beni o dell’azienda in favore del </w:t>
      </w:r>
      <w:proofErr w:type="spellStart"/>
      <w:r w:rsidRPr="00166C76">
        <w:rPr>
          <w:rFonts w:ascii="Times New Roman" w:hAnsi="Times New Roman" w:cs="Times New Roman"/>
          <w:bCs/>
          <w:sz w:val="24"/>
          <w:szCs w:val="24"/>
          <w:shd w:val="clear" w:color="auto" w:fill="FFFFFF"/>
        </w:rPr>
        <w:t>trustee</w:t>
      </w:r>
      <w:proofErr w:type="spellEnd"/>
      <w:r w:rsidRPr="00166C76">
        <w:rPr>
          <w:rFonts w:ascii="Times New Roman" w:hAnsi="Times New Roman" w:cs="Times New Roman"/>
          <w:bCs/>
          <w:sz w:val="24"/>
          <w:szCs w:val="24"/>
          <w:shd w:val="clear" w:color="auto" w:fill="FFFFFF"/>
        </w:rPr>
        <w:t xml:space="preserve"> è affetto da radicale nullità.</w:t>
      </w:r>
    </w:p>
    <w:p w:rsidR="00166C76" w:rsidRDefault="00166C76" w:rsidP="005137A1">
      <w:pPr>
        <w:jc w:val="both"/>
        <w:rPr>
          <w:rFonts w:ascii="Times New Roman" w:hAnsi="Times New Roman" w:cs="Times New Roman"/>
          <w:bCs/>
          <w:sz w:val="24"/>
          <w:szCs w:val="24"/>
          <w:shd w:val="clear" w:color="auto" w:fill="FFFFFF"/>
        </w:rPr>
      </w:pPr>
    </w:p>
    <w:p w:rsidR="00166C76" w:rsidRDefault="00166C76" w:rsidP="005137A1">
      <w:pPr>
        <w:jc w:val="both"/>
        <w:rPr>
          <w:rFonts w:ascii="Times New Roman" w:hAnsi="Times New Roman" w:cs="Times New Roman"/>
          <w:bCs/>
          <w:sz w:val="24"/>
          <w:szCs w:val="24"/>
          <w:shd w:val="clear" w:color="auto" w:fill="FFFFFF"/>
        </w:rPr>
      </w:pPr>
    </w:p>
    <w:p w:rsidR="00166C76" w:rsidRDefault="00166C76" w:rsidP="005137A1">
      <w:pPr>
        <w:jc w:val="both"/>
        <w:rPr>
          <w:rFonts w:ascii="Times New Roman" w:hAnsi="Times New Roman" w:cs="Times New Roman"/>
          <w:bCs/>
          <w:sz w:val="24"/>
          <w:szCs w:val="24"/>
          <w:shd w:val="clear" w:color="auto" w:fill="FFFFFF"/>
        </w:rPr>
      </w:pPr>
    </w:p>
    <w:p w:rsidR="00166C76" w:rsidRPr="0035483C" w:rsidRDefault="00166C76" w:rsidP="005137A1">
      <w:pPr>
        <w:jc w:val="both"/>
        <w:rPr>
          <w:rFonts w:ascii="Times New Roman" w:hAnsi="Times New Roman" w:cs="Times New Roman"/>
          <w:bCs/>
          <w:sz w:val="24"/>
          <w:szCs w:val="24"/>
          <w:shd w:val="clear" w:color="auto" w:fill="FFFFFF"/>
        </w:rPr>
      </w:pPr>
    </w:p>
    <w:p w:rsidR="00D84E93" w:rsidRPr="005137A1" w:rsidRDefault="00166C76" w:rsidP="005137A1">
      <w:pPr>
        <w:jc w:val="both"/>
        <w:rPr>
          <w:rFonts w:ascii="Times New Roman" w:hAnsi="Times New Roman" w:cs="Times New Roman"/>
          <w:sz w:val="24"/>
          <w:szCs w:val="24"/>
        </w:rPr>
      </w:pPr>
      <w:r>
        <w:rPr>
          <w:rFonts w:ascii="Times New Roman" w:hAnsi="Times New Roman" w:cs="Times New Roman"/>
          <w:sz w:val="24"/>
          <w:szCs w:val="24"/>
        </w:rPr>
        <w:t>L’analisi della Corte di Cassazione non si è arrestata alla tipologia del</w:t>
      </w:r>
      <w:r w:rsidR="00D84E93" w:rsidRPr="005137A1">
        <w:rPr>
          <w:rFonts w:ascii="Times New Roman" w:hAnsi="Times New Roman" w:cs="Times New Roman"/>
          <w:sz w:val="24"/>
          <w:szCs w:val="24"/>
        </w:rPr>
        <w:t xml:space="preserve"> </w:t>
      </w:r>
      <w:r w:rsidR="00D84E93" w:rsidRPr="005137A1">
        <w:rPr>
          <w:rFonts w:ascii="Times New Roman" w:hAnsi="Times New Roman" w:cs="Times New Roman"/>
          <w:i/>
          <w:sz w:val="24"/>
          <w:szCs w:val="24"/>
        </w:rPr>
        <w:t xml:space="preserve">trust liquidatorio c.d. </w:t>
      </w:r>
      <w:proofErr w:type="spellStart"/>
      <w:r w:rsidR="00D84E93" w:rsidRPr="005137A1">
        <w:rPr>
          <w:rFonts w:ascii="Times New Roman" w:hAnsi="Times New Roman" w:cs="Times New Roman"/>
          <w:i/>
          <w:sz w:val="24"/>
          <w:szCs w:val="24"/>
        </w:rPr>
        <w:t>anticoncorsuale</w:t>
      </w:r>
      <w:proofErr w:type="spellEnd"/>
      <w:r w:rsidR="00D84E93" w:rsidRPr="005137A1">
        <w:rPr>
          <w:rFonts w:ascii="Times New Roman" w:hAnsi="Times New Roman" w:cs="Times New Roman"/>
          <w:i/>
          <w:sz w:val="24"/>
          <w:szCs w:val="24"/>
        </w:rPr>
        <w:t xml:space="preserve">, </w:t>
      </w:r>
      <w:r>
        <w:rPr>
          <w:rFonts w:ascii="Times New Roman" w:hAnsi="Times New Roman" w:cs="Times New Roman"/>
          <w:sz w:val="24"/>
          <w:szCs w:val="24"/>
        </w:rPr>
        <w:t>ma</w:t>
      </w:r>
      <w:r w:rsidR="00D84E93" w:rsidRPr="005137A1">
        <w:rPr>
          <w:rFonts w:ascii="Times New Roman" w:hAnsi="Times New Roman" w:cs="Times New Roman"/>
          <w:sz w:val="24"/>
          <w:szCs w:val="24"/>
        </w:rPr>
        <w:t xml:space="preserve"> ha individuato altre due diverse sfumature del </w:t>
      </w:r>
      <w:r w:rsidR="00D84E93" w:rsidRPr="005137A1">
        <w:rPr>
          <w:rFonts w:ascii="Times New Roman" w:hAnsi="Times New Roman" w:cs="Times New Roman"/>
          <w:i/>
          <w:sz w:val="24"/>
          <w:szCs w:val="24"/>
        </w:rPr>
        <w:t>trust</w:t>
      </w:r>
      <w:r w:rsidR="00D84E93" w:rsidRPr="005137A1">
        <w:rPr>
          <w:rFonts w:ascii="Times New Roman" w:hAnsi="Times New Roman" w:cs="Times New Roman"/>
          <w:sz w:val="24"/>
          <w:szCs w:val="24"/>
        </w:rPr>
        <w:t xml:space="preserve"> che sono state oggetto di differente valutazione circa la loro legittimità:</w:t>
      </w:r>
    </w:p>
    <w:p w:rsidR="009A7260" w:rsidRPr="009A7260" w:rsidRDefault="00D84E93" w:rsidP="005137A1">
      <w:pPr>
        <w:pStyle w:val="Paragrafoelenco"/>
        <w:numPr>
          <w:ilvl w:val="0"/>
          <w:numId w:val="1"/>
        </w:numPr>
        <w:jc w:val="both"/>
        <w:rPr>
          <w:rFonts w:ascii="Times New Roman" w:hAnsi="Times New Roman" w:cs="Times New Roman"/>
          <w:sz w:val="24"/>
          <w:szCs w:val="24"/>
          <w:shd w:val="clear" w:color="auto" w:fill="FFFFFF"/>
        </w:rPr>
      </w:pPr>
      <w:r w:rsidRPr="005137A1">
        <w:rPr>
          <w:rFonts w:ascii="Times New Roman" w:hAnsi="Times New Roman" w:cs="Times New Roman"/>
          <w:sz w:val="24"/>
          <w:szCs w:val="24"/>
          <w:shd w:val="clear" w:color="auto" w:fill="FFFFFF"/>
        </w:rPr>
        <w:t xml:space="preserve">il </w:t>
      </w:r>
      <w:r w:rsidRPr="005137A1">
        <w:rPr>
          <w:rFonts w:ascii="Times New Roman" w:hAnsi="Times New Roman" w:cs="Times New Roman"/>
          <w:i/>
          <w:sz w:val="24"/>
          <w:szCs w:val="24"/>
          <w:shd w:val="clear" w:color="auto" w:fill="FFFFFF"/>
        </w:rPr>
        <w:t>trust</w:t>
      </w:r>
      <w:r w:rsidRPr="005137A1">
        <w:rPr>
          <w:rFonts w:ascii="Times New Roman" w:hAnsi="Times New Roman" w:cs="Times New Roman"/>
          <w:sz w:val="24"/>
          <w:szCs w:val="24"/>
          <w:shd w:val="clear" w:color="auto" w:fill="FFFFFF"/>
        </w:rPr>
        <w:t xml:space="preserve"> concluso per sostituire in </w:t>
      </w:r>
      <w:r w:rsidRPr="005137A1">
        <w:rPr>
          <w:rFonts w:ascii="Times New Roman" w:hAnsi="Times New Roman" w:cs="Times New Roman"/>
          <w:i/>
          <w:sz w:val="24"/>
          <w:szCs w:val="24"/>
          <w:shd w:val="clear" w:color="auto" w:fill="FFFFFF"/>
        </w:rPr>
        <w:t>toto</w:t>
      </w:r>
      <w:r w:rsidRPr="005137A1">
        <w:rPr>
          <w:rFonts w:ascii="Times New Roman" w:hAnsi="Times New Roman" w:cs="Times New Roman"/>
          <w:sz w:val="24"/>
          <w:szCs w:val="24"/>
          <w:shd w:val="clear" w:color="auto" w:fill="FFFFFF"/>
        </w:rPr>
        <w:t xml:space="preserve"> la procedura liquidatoria, al fine di realizzare, con altri mezzi, il risultato equivalente di recuperare l'attivo, pagare il passivo, ripartire il residuo e cancellare la società;</w:t>
      </w:r>
    </w:p>
    <w:p w:rsidR="00D84E93" w:rsidRPr="005137A1" w:rsidRDefault="00D84E93" w:rsidP="005137A1">
      <w:pPr>
        <w:pStyle w:val="Paragrafoelenco"/>
        <w:numPr>
          <w:ilvl w:val="0"/>
          <w:numId w:val="1"/>
        </w:numPr>
        <w:jc w:val="both"/>
        <w:rPr>
          <w:rFonts w:ascii="Times New Roman" w:hAnsi="Times New Roman" w:cs="Times New Roman"/>
          <w:sz w:val="24"/>
          <w:szCs w:val="24"/>
          <w:shd w:val="clear" w:color="auto" w:fill="FFFFFF"/>
        </w:rPr>
      </w:pPr>
      <w:r w:rsidRPr="005137A1">
        <w:rPr>
          <w:rFonts w:ascii="Times New Roman" w:hAnsi="Times New Roman" w:cs="Times New Roman"/>
          <w:sz w:val="24"/>
          <w:szCs w:val="24"/>
          <w:shd w:val="clear" w:color="auto" w:fill="FFFFFF"/>
        </w:rPr>
        <w:t xml:space="preserve">il </w:t>
      </w:r>
      <w:r w:rsidRPr="005137A1">
        <w:rPr>
          <w:rFonts w:ascii="Times New Roman" w:hAnsi="Times New Roman" w:cs="Times New Roman"/>
          <w:i/>
          <w:sz w:val="24"/>
          <w:szCs w:val="24"/>
          <w:shd w:val="clear" w:color="auto" w:fill="FFFFFF"/>
        </w:rPr>
        <w:t>trust</w:t>
      </w:r>
      <w:r w:rsidRPr="005137A1">
        <w:rPr>
          <w:rFonts w:ascii="Times New Roman" w:hAnsi="Times New Roman" w:cs="Times New Roman"/>
          <w:sz w:val="24"/>
          <w:szCs w:val="24"/>
          <w:shd w:val="clear" w:color="auto" w:fill="FFFFFF"/>
        </w:rPr>
        <w:t xml:space="preserve"> concluso quale alternativa alle misure concordate di risoluzione della crisi d'impresa (c.d. </w:t>
      </w:r>
      <w:r w:rsidRPr="005137A1">
        <w:rPr>
          <w:rFonts w:ascii="Times New Roman" w:hAnsi="Times New Roman" w:cs="Times New Roman"/>
          <w:i/>
          <w:sz w:val="24"/>
          <w:szCs w:val="24"/>
          <w:shd w:val="clear" w:color="auto" w:fill="FFFFFF"/>
        </w:rPr>
        <w:t xml:space="preserve">trust </w:t>
      </w:r>
      <w:proofErr w:type="spellStart"/>
      <w:r w:rsidRPr="005137A1">
        <w:rPr>
          <w:rFonts w:ascii="Times New Roman" w:hAnsi="Times New Roman" w:cs="Times New Roman"/>
          <w:i/>
          <w:sz w:val="24"/>
          <w:szCs w:val="24"/>
          <w:shd w:val="clear" w:color="auto" w:fill="FFFFFF"/>
        </w:rPr>
        <w:t>endo</w:t>
      </w:r>
      <w:proofErr w:type="spellEnd"/>
      <w:r w:rsidRPr="005137A1">
        <w:rPr>
          <w:rFonts w:ascii="Times New Roman" w:hAnsi="Times New Roman" w:cs="Times New Roman"/>
          <w:i/>
          <w:sz w:val="24"/>
          <w:szCs w:val="24"/>
          <w:shd w:val="clear" w:color="auto" w:fill="FFFFFF"/>
        </w:rPr>
        <w:t>-concorsuale</w:t>
      </w:r>
      <w:r w:rsidRPr="005137A1">
        <w:rPr>
          <w:rFonts w:ascii="Times New Roman" w:hAnsi="Times New Roman" w:cs="Times New Roman"/>
          <w:sz w:val="24"/>
          <w:szCs w:val="24"/>
          <w:shd w:val="clear" w:color="auto" w:fill="FFFFFF"/>
        </w:rPr>
        <w:t>)</w:t>
      </w:r>
      <w:r w:rsidR="006B3D78">
        <w:rPr>
          <w:rFonts w:ascii="Times New Roman" w:hAnsi="Times New Roman" w:cs="Times New Roman"/>
          <w:sz w:val="24"/>
          <w:szCs w:val="24"/>
          <w:shd w:val="clear" w:color="auto" w:fill="FFFFFF"/>
        </w:rPr>
        <w:t xml:space="preserve">, </w:t>
      </w:r>
      <w:r w:rsidR="00166C76">
        <w:rPr>
          <w:rFonts w:ascii="Times New Roman" w:hAnsi="Times New Roman" w:cs="Times New Roman"/>
          <w:sz w:val="24"/>
          <w:szCs w:val="24"/>
          <w:shd w:val="clear" w:color="auto" w:fill="FFFFFF"/>
        </w:rPr>
        <w:t>nel</w:t>
      </w:r>
      <w:r w:rsidR="006B3D78">
        <w:rPr>
          <w:rFonts w:ascii="Times New Roman" w:hAnsi="Times New Roman" w:cs="Times New Roman"/>
          <w:sz w:val="24"/>
          <w:szCs w:val="24"/>
          <w:shd w:val="clear" w:color="auto" w:fill="FFFFFF"/>
        </w:rPr>
        <w:t xml:space="preserve"> cui ambito potremmo ricondurre il </w:t>
      </w:r>
      <w:r w:rsidR="006B3D78">
        <w:rPr>
          <w:rFonts w:ascii="Times New Roman" w:hAnsi="Times New Roman" w:cs="Times New Roman"/>
          <w:i/>
          <w:sz w:val="24"/>
          <w:szCs w:val="24"/>
          <w:shd w:val="clear" w:color="auto" w:fill="FFFFFF"/>
        </w:rPr>
        <w:t xml:space="preserve">trust c.d. di salvataggio, </w:t>
      </w:r>
      <w:r w:rsidR="006B3D78">
        <w:rPr>
          <w:rFonts w:ascii="Times New Roman" w:hAnsi="Times New Roman" w:cs="Times New Roman"/>
          <w:sz w:val="24"/>
          <w:szCs w:val="24"/>
          <w:shd w:val="clear" w:color="auto" w:fill="FFFFFF"/>
        </w:rPr>
        <w:t>sopra richiamato.</w:t>
      </w:r>
    </w:p>
    <w:p w:rsidR="006B3D78" w:rsidRDefault="00D84E93" w:rsidP="006B3D78">
      <w:pPr>
        <w:jc w:val="both"/>
        <w:rPr>
          <w:rFonts w:ascii="Times New Roman" w:hAnsi="Times New Roman" w:cs="Times New Roman"/>
          <w:i/>
          <w:iCs/>
          <w:sz w:val="24"/>
          <w:szCs w:val="24"/>
          <w:shd w:val="clear" w:color="auto" w:fill="FFFFFF"/>
        </w:rPr>
      </w:pPr>
      <w:r w:rsidRPr="005137A1">
        <w:rPr>
          <w:rFonts w:ascii="Times New Roman" w:hAnsi="Times New Roman" w:cs="Times New Roman"/>
          <w:sz w:val="24"/>
          <w:szCs w:val="24"/>
          <w:shd w:val="clear" w:color="auto" w:fill="FFFFFF"/>
        </w:rPr>
        <w:t>Secondo i giudici di legittimità, nel primo caso "</w:t>
      </w:r>
      <w:r w:rsidRPr="005137A1">
        <w:rPr>
          <w:rFonts w:ascii="Times New Roman" w:hAnsi="Times New Roman" w:cs="Times New Roman"/>
          <w:i/>
          <w:iCs/>
          <w:sz w:val="24"/>
          <w:szCs w:val="24"/>
          <w:shd w:val="clear" w:color="auto" w:fill="FFFFFF"/>
        </w:rPr>
        <w:t xml:space="preserve">potrebbe dirsi lo strumento vietato, qualora si esiga che esso, per essere riconosciuto nel nostro ordinamento, assicuri un quid </w:t>
      </w:r>
      <w:proofErr w:type="spellStart"/>
      <w:r w:rsidRPr="005137A1">
        <w:rPr>
          <w:rFonts w:ascii="Times New Roman" w:hAnsi="Times New Roman" w:cs="Times New Roman"/>
          <w:i/>
          <w:iCs/>
          <w:sz w:val="24"/>
          <w:szCs w:val="24"/>
          <w:shd w:val="clear" w:color="auto" w:fill="FFFFFF"/>
        </w:rPr>
        <w:t>pluris</w:t>
      </w:r>
      <w:proofErr w:type="spellEnd"/>
      <w:r w:rsidRPr="005137A1">
        <w:rPr>
          <w:rFonts w:ascii="Times New Roman" w:hAnsi="Times New Roman" w:cs="Times New Roman"/>
          <w:i/>
          <w:iCs/>
          <w:sz w:val="24"/>
          <w:szCs w:val="24"/>
          <w:shd w:val="clear" w:color="auto" w:fill="FFFFFF"/>
        </w:rPr>
        <w:t xml:space="preserve"> rispetto a quelli già a disposizione dell'autonomia privata nel diritto interno. Non sembra però che l'ordinamento imponga questo limite, alla luce del sistema rinnovato dalle riforme attuate negli ultimi anni, che ammettono la gestione concordata delle stesse crisi d' impresa".</w:t>
      </w:r>
    </w:p>
    <w:p w:rsidR="007D2849" w:rsidRDefault="00D84E93" w:rsidP="005137A1">
      <w:pPr>
        <w:jc w:val="both"/>
        <w:rPr>
          <w:rFonts w:ascii="Times New Roman" w:hAnsi="Times New Roman" w:cs="Times New Roman"/>
          <w:sz w:val="24"/>
          <w:szCs w:val="24"/>
          <w:shd w:val="clear" w:color="auto" w:fill="FFFFFF"/>
        </w:rPr>
      </w:pPr>
      <w:r w:rsidRPr="005137A1">
        <w:rPr>
          <w:rFonts w:ascii="Times New Roman" w:hAnsi="Times New Roman" w:cs="Times New Roman"/>
          <w:sz w:val="24"/>
          <w:szCs w:val="24"/>
          <w:shd w:val="clear" w:color="auto" w:fill="FFFFFF"/>
        </w:rPr>
        <w:t>Nella seconda fattispecie, poi, la causa concreta va sottoposta ad un vaglio particolarmente attento, potendo di fatto contrastare con i fini di cui siano espressione norme imperative interne</w:t>
      </w:r>
      <w:r w:rsidR="006B3D78">
        <w:rPr>
          <w:rFonts w:ascii="Times New Roman" w:hAnsi="Times New Roman" w:cs="Times New Roman"/>
          <w:sz w:val="24"/>
          <w:szCs w:val="24"/>
          <w:shd w:val="clear" w:color="auto" w:fill="FFFFFF"/>
        </w:rPr>
        <w:t>:</w:t>
      </w:r>
      <w:r w:rsidR="006B3D78" w:rsidRPr="006B3D78">
        <w:rPr>
          <w:rFonts w:ascii="Times New Roman" w:hAnsi="Times New Roman" w:cs="Times New Roman"/>
          <w:bCs/>
          <w:sz w:val="24"/>
          <w:szCs w:val="24"/>
          <w:shd w:val="clear" w:color="auto" w:fill="FFFFFF"/>
        </w:rPr>
        <w:t xml:space="preserve"> </w:t>
      </w:r>
      <w:r w:rsidR="006B3D78" w:rsidRPr="009A7260">
        <w:rPr>
          <w:rFonts w:ascii="Times New Roman" w:hAnsi="Times New Roman" w:cs="Times New Roman"/>
          <w:bCs/>
          <w:sz w:val="24"/>
          <w:szCs w:val="24"/>
          <w:shd w:val="clear" w:color="auto" w:fill="FFFFFF"/>
        </w:rPr>
        <w:t>non ci si può arrestare allo scrutinio della "causa astratta"</w:t>
      </w:r>
      <w:r w:rsidR="006B3D78">
        <w:rPr>
          <w:rFonts w:ascii="Times New Roman" w:hAnsi="Times New Roman" w:cs="Times New Roman"/>
          <w:bCs/>
          <w:sz w:val="24"/>
          <w:szCs w:val="24"/>
          <w:shd w:val="clear" w:color="auto" w:fill="FFFFFF"/>
        </w:rPr>
        <w:t>,</w:t>
      </w:r>
      <w:r w:rsidR="006B3D78" w:rsidRPr="009A7260">
        <w:rPr>
          <w:rFonts w:ascii="Times New Roman" w:hAnsi="Times New Roman" w:cs="Times New Roman"/>
          <w:bCs/>
          <w:sz w:val="24"/>
          <w:szCs w:val="24"/>
          <w:shd w:val="clear" w:color="auto" w:fill="FFFFFF"/>
        </w:rPr>
        <w:t xml:space="preserve"> e cioè del programma di segregazione con il quale un soggetto svolge una determinata attività per conto e nell'interesse di un altro soggetto, secondo un programma prestabilito e in misura più continuativa e complessa di quella propria del mandato, ma occorre anche valutare la "causa concreta", che risulta dal regolamento d'interessi effettivamente perseguito</w:t>
      </w:r>
      <w:r w:rsidR="005F389F">
        <w:rPr>
          <w:rStyle w:val="Rimandonotaapidipagina"/>
          <w:rFonts w:ascii="Times New Roman" w:hAnsi="Times New Roman" w:cs="Times New Roman"/>
          <w:bCs/>
          <w:sz w:val="24"/>
          <w:szCs w:val="24"/>
          <w:shd w:val="clear" w:color="auto" w:fill="FFFFFF"/>
        </w:rPr>
        <w:footnoteReference w:id="5"/>
      </w:r>
      <w:r w:rsidR="006B3D78">
        <w:rPr>
          <w:rFonts w:ascii="Times New Roman" w:hAnsi="Times New Roman" w:cs="Times New Roman"/>
          <w:i/>
          <w:iCs/>
          <w:sz w:val="24"/>
          <w:szCs w:val="24"/>
          <w:shd w:val="clear" w:color="auto" w:fill="FFFFFF"/>
        </w:rPr>
        <w:t xml:space="preserve">. </w:t>
      </w:r>
      <w:r w:rsidR="006B3D78">
        <w:rPr>
          <w:rFonts w:ascii="Times New Roman" w:hAnsi="Times New Roman" w:cs="Times New Roman"/>
          <w:iCs/>
          <w:sz w:val="24"/>
          <w:szCs w:val="24"/>
          <w:shd w:val="clear" w:color="auto" w:fill="FFFFFF"/>
        </w:rPr>
        <w:t xml:space="preserve">La </w:t>
      </w:r>
      <w:r w:rsidRPr="005137A1">
        <w:rPr>
          <w:rFonts w:ascii="Times New Roman" w:hAnsi="Times New Roman" w:cs="Times New Roman"/>
          <w:sz w:val="24"/>
          <w:szCs w:val="24"/>
          <w:shd w:val="clear" w:color="auto" w:fill="FFFFFF"/>
        </w:rPr>
        <w:t>Corte osserva che la ricerca di soluzioni alternative al fallimento è vista con favore dal legislatore, a condizione che le iniziative negoziate si svolgano sotto il controllo del ceto creditorio o del giudice, mantenendo la natura officiosa della procedura, anche perch</w:t>
      </w:r>
      <w:r w:rsidR="009A7260">
        <w:rPr>
          <w:rFonts w:ascii="Times New Roman" w:hAnsi="Times New Roman" w:cs="Times New Roman"/>
          <w:sz w:val="24"/>
          <w:szCs w:val="24"/>
          <w:shd w:val="clear" w:color="auto" w:fill="FFFFFF"/>
        </w:rPr>
        <w:t>é</w:t>
      </w:r>
      <w:r w:rsidRPr="005137A1">
        <w:rPr>
          <w:rFonts w:ascii="Times New Roman" w:hAnsi="Times New Roman" w:cs="Times New Roman"/>
          <w:sz w:val="24"/>
          <w:szCs w:val="24"/>
          <w:shd w:val="clear" w:color="auto" w:fill="FFFFFF"/>
        </w:rPr>
        <w:t xml:space="preserve"> la soluzione concordata non investirebbe tutte le fasi dell'accertamento dei crediti, dell'acquisizione dell'attivo, del riparto, ma solo taluni momenti specifici.</w:t>
      </w:r>
    </w:p>
    <w:p w:rsidR="001B5D5E" w:rsidRDefault="007D2849" w:rsidP="001B5D5E">
      <w:pPr>
        <w:jc w:val="both"/>
        <w:rPr>
          <w:rFonts w:ascii="Times New Roman" w:hAnsi="Times New Roman" w:cs="Times New Roman"/>
          <w:sz w:val="24"/>
          <w:szCs w:val="24"/>
        </w:rPr>
      </w:pPr>
      <w:r>
        <w:rPr>
          <w:rFonts w:ascii="Times New Roman" w:hAnsi="Times New Roman" w:cs="Times New Roman"/>
          <w:sz w:val="24"/>
          <w:szCs w:val="24"/>
        </w:rPr>
        <w:t>Quindi, se da un lato</w:t>
      </w:r>
      <w:r w:rsidR="001B5D5E">
        <w:rPr>
          <w:rFonts w:ascii="Times New Roman" w:hAnsi="Times New Roman" w:cs="Times New Roman"/>
          <w:sz w:val="24"/>
          <w:szCs w:val="24"/>
        </w:rPr>
        <w:t>, secondo tale giurisprudenza,</w:t>
      </w:r>
      <w:r w:rsidR="001B5D5E" w:rsidRPr="001B5D5E">
        <w:rPr>
          <w:rFonts w:ascii="Times New Roman" w:hAnsi="Times New Roman" w:cs="Times New Roman"/>
          <w:sz w:val="24"/>
          <w:szCs w:val="24"/>
        </w:rPr>
        <w:t xml:space="preserve"> un trust </w:t>
      </w:r>
      <w:r w:rsidR="001B5D5E" w:rsidRPr="001B5D5E">
        <w:rPr>
          <w:rFonts w:ascii="Times New Roman" w:hAnsi="Times New Roman" w:cs="Times New Roman"/>
          <w:b/>
          <w:sz w:val="24"/>
          <w:szCs w:val="24"/>
        </w:rPr>
        <w:t>sostitutivo</w:t>
      </w:r>
      <w:r w:rsidR="001B5D5E" w:rsidRPr="001B5D5E">
        <w:rPr>
          <w:rFonts w:ascii="Times New Roman" w:hAnsi="Times New Roman" w:cs="Times New Roman"/>
          <w:sz w:val="24"/>
          <w:szCs w:val="24"/>
        </w:rPr>
        <w:t xml:space="preserve"> della procedura fallimentare sarebbe</w:t>
      </w:r>
      <w:r w:rsidR="001B5D5E">
        <w:rPr>
          <w:rFonts w:ascii="Times New Roman" w:hAnsi="Times New Roman" w:cs="Times New Roman"/>
          <w:sz w:val="24"/>
          <w:szCs w:val="24"/>
        </w:rPr>
        <w:t xml:space="preserve"> del tutto</w:t>
      </w:r>
      <w:r w:rsidR="001B5D5E" w:rsidRPr="001B5D5E">
        <w:rPr>
          <w:rFonts w:ascii="Times New Roman" w:hAnsi="Times New Roman" w:cs="Times New Roman"/>
          <w:sz w:val="24"/>
          <w:szCs w:val="24"/>
        </w:rPr>
        <w:t xml:space="preserve"> </w:t>
      </w:r>
      <w:r w:rsidR="001B5D5E" w:rsidRPr="001B5D5E">
        <w:rPr>
          <w:rFonts w:ascii="Times New Roman" w:hAnsi="Times New Roman" w:cs="Times New Roman"/>
          <w:b/>
          <w:sz w:val="24"/>
          <w:szCs w:val="24"/>
        </w:rPr>
        <w:t>nullo</w:t>
      </w:r>
      <w:r w:rsidR="001B5D5E" w:rsidRPr="001B5D5E">
        <w:rPr>
          <w:rFonts w:ascii="Times New Roman" w:hAnsi="Times New Roman" w:cs="Times New Roman"/>
          <w:sz w:val="24"/>
          <w:szCs w:val="24"/>
        </w:rPr>
        <w:t>,</w:t>
      </w:r>
      <w:r w:rsidR="008475B0">
        <w:rPr>
          <w:rFonts w:ascii="Times New Roman" w:hAnsi="Times New Roman" w:cs="Times New Roman"/>
          <w:sz w:val="24"/>
          <w:szCs w:val="24"/>
        </w:rPr>
        <w:t xml:space="preserve"> o meglio </w:t>
      </w:r>
      <w:r w:rsidR="008475B0">
        <w:rPr>
          <w:rFonts w:ascii="Times New Roman" w:hAnsi="Times New Roman" w:cs="Times New Roman"/>
          <w:i/>
          <w:sz w:val="24"/>
          <w:szCs w:val="24"/>
        </w:rPr>
        <w:t>inefficace,</w:t>
      </w:r>
      <w:r w:rsidR="001B5D5E" w:rsidRPr="001B5D5E">
        <w:rPr>
          <w:rFonts w:ascii="Times New Roman" w:hAnsi="Times New Roman" w:cs="Times New Roman"/>
          <w:sz w:val="24"/>
          <w:szCs w:val="24"/>
        </w:rPr>
        <w:t xml:space="preserve"> </w:t>
      </w:r>
      <w:r w:rsidR="001B5D5E">
        <w:rPr>
          <w:rFonts w:ascii="Times New Roman" w:hAnsi="Times New Roman" w:cs="Times New Roman"/>
          <w:sz w:val="24"/>
          <w:szCs w:val="24"/>
        </w:rPr>
        <w:t>dall’altro parrebbe ammissibile</w:t>
      </w:r>
      <w:r w:rsidRPr="007D2849">
        <w:rPr>
          <w:rFonts w:ascii="Times New Roman" w:hAnsi="Times New Roman" w:cs="Times New Roman"/>
          <w:sz w:val="24"/>
          <w:szCs w:val="24"/>
        </w:rPr>
        <w:t xml:space="preserve"> l’impiego del trust per svolgere la liquidazione da parte di una società in </w:t>
      </w:r>
      <w:proofErr w:type="spellStart"/>
      <w:r w:rsidRPr="001B5D5E">
        <w:rPr>
          <w:rFonts w:ascii="Times New Roman" w:hAnsi="Times New Roman" w:cs="Times New Roman"/>
          <w:i/>
          <w:sz w:val="24"/>
          <w:szCs w:val="24"/>
        </w:rPr>
        <w:t>bonis</w:t>
      </w:r>
      <w:proofErr w:type="spellEnd"/>
      <w:r w:rsidRPr="001B5D5E">
        <w:rPr>
          <w:rFonts w:ascii="Times New Roman" w:hAnsi="Times New Roman" w:cs="Times New Roman"/>
          <w:i/>
          <w:sz w:val="24"/>
          <w:szCs w:val="24"/>
        </w:rPr>
        <w:t>,</w:t>
      </w:r>
      <w:r w:rsidRPr="007D2849">
        <w:rPr>
          <w:rFonts w:ascii="Times New Roman" w:hAnsi="Times New Roman" w:cs="Times New Roman"/>
          <w:sz w:val="24"/>
          <w:szCs w:val="24"/>
        </w:rPr>
        <w:t xml:space="preserve"> senza danneggiare gli interessi dei creditori.</w:t>
      </w:r>
    </w:p>
    <w:p w:rsidR="008475B0" w:rsidRDefault="00736CED" w:rsidP="00736CED">
      <w:pPr>
        <w:jc w:val="both"/>
        <w:rPr>
          <w:rFonts w:ascii="Times New Roman" w:hAnsi="Times New Roman" w:cs="Times New Roman"/>
          <w:sz w:val="24"/>
          <w:szCs w:val="24"/>
        </w:rPr>
      </w:pPr>
      <w:r>
        <w:rPr>
          <w:rFonts w:ascii="Times New Roman" w:hAnsi="Times New Roman" w:cs="Times New Roman"/>
          <w:sz w:val="24"/>
          <w:szCs w:val="24"/>
        </w:rPr>
        <w:t>Sebbene durante suoi “primi anni di vita”, l’istituto in oggetto veniva visto con diffidenza dalla lettura, oggi appare</w:t>
      </w:r>
      <w:r w:rsidRPr="00736CED">
        <w:rPr>
          <w:rFonts w:ascii="Times New Roman" w:hAnsi="Times New Roman" w:cs="Times New Roman"/>
          <w:sz w:val="24"/>
          <w:szCs w:val="24"/>
        </w:rPr>
        <w:t xml:space="preserve"> sostanzialmente </w:t>
      </w:r>
      <w:proofErr w:type="spellStart"/>
      <w:r w:rsidRPr="00736CED">
        <w:rPr>
          <w:rFonts w:ascii="Times New Roman" w:hAnsi="Times New Roman" w:cs="Times New Roman"/>
          <w:i/>
          <w:sz w:val="24"/>
          <w:szCs w:val="24"/>
        </w:rPr>
        <w:t>jus</w:t>
      </w:r>
      <w:proofErr w:type="spellEnd"/>
      <w:r w:rsidRPr="00736CED">
        <w:rPr>
          <w:rFonts w:ascii="Times New Roman" w:hAnsi="Times New Roman" w:cs="Times New Roman"/>
          <w:i/>
          <w:sz w:val="24"/>
          <w:szCs w:val="24"/>
        </w:rPr>
        <w:t xml:space="preserve"> </w:t>
      </w:r>
      <w:proofErr w:type="spellStart"/>
      <w:r w:rsidRPr="00736CED">
        <w:rPr>
          <w:rFonts w:ascii="Times New Roman" w:hAnsi="Times New Roman" w:cs="Times New Roman"/>
          <w:i/>
          <w:sz w:val="24"/>
          <w:szCs w:val="24"/>
        </w:rPr>
        <w:t>receptum</w:t>
      </w:r>
      <w:proofErr w:type="spellEnd"/>
      <w:r w:rsidRPr="00736CED">
        <w:rPr>
          <w:rFonts w:ascii="Times New Roman" w:hAnsi="Times New Roman" w:cs="Times New Roman"/>
          <w:i/>
          <w:sz w:val="24"/>
          <w:szCs w:val="24"/>
        </w:rPr>
        <w:t xml:space="preserve"> </w:t>
      </w:r>
      <w:r w:rsidRPr="00736CED">
        <w:rPr>
          <w:rFonts w:ascii="Times New Roman" w:hAnsi="Times New Roman" w:cs="Times New Roman"/>
          <w:sz w:val="24"/>
          <w:szCs w:val="24"/>
        </w:rPr>
        <w:t xml:space="preserve">che il trust sia legittimamente utilizzabile nell’ordinamento italiano, secondo una ormai copiosa giurisprudenza. </w:t>
      </w:r>
      <w:r>
        <w:rPr>
          <w:rFonts w:ascii="Times New Roman" w:hAnsi="Times New Roman" w:cs="Times New Roman"/>
          <w:sz w:val="24"/>
          <w:szCs w:val="24"/>
        </w:rPr>
        <w:t>Sicuramente la strada da percorrere è ancora lunga perché</w:t>
      </w:r>
      <w:r w:rsidRPr="00736CED">
        <w:rPr>
          <w:rFonts w:ascii="Times New Roman" w:hAnsi="Times New Roman" w:cs="Times New Roman"/>
          <w:color w:val="FF0000"/>
          <w:sz w:val="24"/>
          <w:szCs w:val="24"/>
        </w:rPr>
        <w:t xml:space="preserve"> </w:t>
      </w:r>
      <w:r w:rsidR="008475B0">
        <w:rPr>
          <w:rFonts w:ascii="Times New Roman" w:hAnsi="Times New Roman" w:cs="Times New Roman"/>
          <w:color w:val="000000" w:themeColor="text1"/>
          <w:sz w:val="24"/>
          <w:szCs w:val="24"/>
        </w:rPr>
        <w:t>il trust trovi una sua “posizione” nel nostro ordinamento, visto che molte sono le perplessità</w:t>
      </w:r>
      <w:r w:rsidRPr="00736CED">
        <w:rPr>
          <w:rFonts w:ascii="Times New Roman" w:hAnsi="Times New Roman" w:cs="Times New Roman"/>
          <w:color w:val="FF0000"/>
          <w:sz w:val="24"/>
          <w:szCs w:val="24"/>
        </w:rPr>
        <w:t xml:space="preserve"> </w:t>
      </w:r>
      <w:r w:rsidR="008475B0">
        <w:rPr>
          <w:rFonts w:ascii="Times New Roman" w:hAnsi="Times New Roman" w:cs="Times New Roman"/>
          <w:sz w:val="24"/>
          <w:szCs w:val="24"/>
        </w:rPr>
        <w:t>che re</w:t>
      </w:r>
      <w:r w:rsidRPr="00736CED">
        <w:rPr>
          <w:rFonts w:ascii="Times New Roman" w:hAnsi="Times New Roman" w:cs="Times New Roman"/>
          <w:sz w:val="24"/>
          <w:szCs w:val="24"/>
        </w:rPr>
        <w:t xml:space="preserve">siduano in ordine alla compatibilità del trust con la disciplina delle procedure concorsuali a causa della previsione dell’art. 15 lettera e) della </w:t>
      </w:r>
      <w:r w:rsidR="008475B0">
        <w:rPr>
          <w:rFonts w:ascii="Times New Roman" w:hAnsi="Times New Roman" w:cs="Times New Roman"/>
          <w:sz w:val="24"/>
          <w:szCs w:val="24"/>
        </w:rPr>
        <w:t>C</w:t>
      </w:r>
      <w:r w:rsidRPr="00736CED">
        <w:rPr>
          <w:rFonts w:ascii="Times New Roman" w:hAnsi="Times New Roman" w:cs="Times New Roman"/>
          <w:sz w:val="24"/>
          <w:szCs w:val="24"/>
        </w:rPr>
        <w:t xml:space="preserve">onvenzione dell’Aja che contiene una riserva riguardante la protezione dei creditori in caso di insolvenza. Da ciò taluno trae argomento per ritenere esclusa la compatibilità del trust con le procedure concorsuali per violazione del principio della </w:t>
      </w:r>
      <w:r w:rsidRPr="008475B0">
        <w:rPr>
          <w:rFonts w:ascii="Times New Roman" w:hAnsi="Times New Roman" w:cs="Times New Roman"/>
          <w:i/>
          <w:sz w:val="24"/>
          <w:szCs w:val="24"/>
        </w:rPr>
        <w:t>par condicio creditorum</w:t>
      </w:r>
      <w:r w:rsidRPr="00736CED">
        <w:rPr>
          <w:rFonts w:ascii="Times New Roman" w:hAnsi="Times New Roman" w:cs="Times New Roman"/>
          <w:sz w:val="24"/>
          <w:szCs w:val="24"/>
        </w:rPr>
        <w:t>. Si tratta</w:t>
      </w:r>
      <w:r w:rsidR="008475B0">
        <w:rPr>
          <w:rFonts w:ascii="Times New Roman" w:hAnsi="Times New Roman" w:cs="Times New Roman"/>
          <w:sz w:val="24"/>
          <w:szCs w:val="24"/>
        </w:rPr>
        <w:t>,</w:t>
      </w:r>
      <w:r w:rsidRPr="00736CED">
        <w:rPr>
          <w:rFonts w:ascii="Times New Roman" w:hAnsi="Times New Roman" w:cs="Times New Roman"/>
          <w:sz w:val="24"/>
          <w:szCs w:val="24"/>
        </w:rPr>
        <w:t xml:space="preserve"> tuttavia</w:t>
      </w:r>
      <w:r w:rsidR="008475B0">
        <w:rPr>
          <w:rFonts w:ascii="Times New Roman" w:hAnsi="Times New Roman" w:cs="Times New Roman"/>
          <w:sz w:val="24"/>
          <w:szCs w:val="24"/>
        </w:rPr>
        <w:t>,</w:t>
      </w:r>
      <w:r w:rsidRPr="00736CED">
        <w:rPr>
          <w:rFonts w:ascii="Times New Roman" w:hAnsi="Times New Roman" w:cs="Times New Roman"/>
          <w:sz w:val="24"/>
          <w:szCs w:val="24"/>
        </w:rPr>
        <w:t xml:space="preserve"> di perplessità superabili. In primo luogo poiché la protezione di cui all’art. 15 della convenzione deve essere riferit</w:t>
      </w:r>
      <w:r w:rsidR="008475B0">
        <w:rPr>
          <w:rFonts w:ascii="Times New Roman" w:hAnsi="Times New Roman" w:cs="Times New Roman"/>
          <w:sz w:val="24"/>
          <w:szCs w:val="24"/>
        </w:rPr>
        <w:t>a</w:t>
      </w:r>
      <w:r w:rsidRPr="00736CED">
        <w:rPr>
          <w:rFonts w:ascii="Times New Roman" w:hAnsi="Times New Roman" w:cs="Times New Roman"/>
          <w:sz w:val="24"/>
          <w:szCs w:val="24"/>
        </w:rPr>
        <w:t xml:space="preserve"> all’insolvenza del disponente, talché tale argomento non è invocabile ogni volta che il trust non rechi pregiudizio ad uno o più creditori del medesimo. In secondo luogo poiché dottrina e giurisprudenza hanno a più </w:t>
      </w:r>
      <w:r w:rsidRPr="00736CED">
        <w:rPr>
          <w:rFonts w:ascii="Times New Roman" w:hAnsi="Times New Roman" w:cs="Times New Roman"/>
          <w:sz w:val="24"/>
          <w:szCs w:val="24"/>
        </w:rPr>
        <w:lastRenderedPageBreak/>
        <w:t>riprese osservato che l’art. 2740 c.c. non costituisce più un principio fondamentale ed inderogabile del nostro ordinamento, talché il dogma dell’unitarietà del patrimonio del debitore non implica di per s</w:t>
      </w:r>
      <w:r w:rsidR="008475B0">
        <w:rPr>
          <w:rFonts w:ascii="Times New Roman" w:hAnsi="Times New Roman" w:cs="Times New Roman"/>
          <w:sz w:val="24"/>
          <w:szCs w:val="24"/>
        </w:rPr>
        <w:t>é</w:t>
      </w:r>
      <w:r w:rsidRPr="00736CED">
        <w:rPr>
          <w:rFonts w:ascii="Times New Roman" w:hAnsi="Times New Roman" w:cs="Times New Roman"/>
          <w:sz w:val="24"/>
          <w:szCs w:val="24"/>
        </w:rPr>
        <w:t xml:space="preserve"> un impedimento insormontabile all’uso del trust. Appare oggi poco persuasivo ragionare ancora in termini di rapporto regola/eccezione tra principio di responsabilità patrimoniale generica e separazioni patrimoniali normativamente previste</w:t>
      </w:r>
      <w:r w:rsidR="008475B0">
        <w:rPr>
          <w:rStyle w:val="Rimandonotaapidipagina"/>
          <w:rFonts w:ascii="Times New Roman" w:hAnsi="Times New Roman" w:cs="Times New Roman"/>
          <w:sz w:val="24"/>
          <w:szCs w:val="24"/>
        </w:rPr>
        <w:footnoteReference w:id="6"/>
      </w:r>
      <w:r w:rsidRPr="00736CED">
        <w:rPr>
          <w:rFonts w:ascii="Times New Roman" w:hAnsi="Times New Roman" w:cs="Times New Roman"/>
          <w:sz w:val="24"/>
          <w:szCs w:val="24"/>
        </w:rPr>
        <w:t>. Più conveniente appare ritenere che la regola dettata dall’art. 2740 c.c. coesista con il complesso di regole che consentono all’autonomia privata di creare separazioni patrimoniali e tutte con pari dignità concorrono alla composizione del sistema, nel senso che vi sono varie aree di responsabilità patrimoniale limitata, solo al netto delle quali vale la regola residuale della garanzia patrimoniale generica sui beni del creditore.  Sebbene queste considerazioni valgano a dimostrare che non esiste un vero ostacolo assoluto all’impiego del trust nelle procedure concorsuali, ciò non implica che possa farsene un uso generico e illimitato</w:t>
      </w:r>
      <w:r w:rsidR="008475B0">
        <w:rPr>
          <w:rFonts w:ascii="Times New Roman" w:hAnsi="Times New Roman" w:cs="Times New Roman"/>
          <w:sz w:val="24"/>
          <w:szCs w:val="24"/>
        </w:rPr>
        <w:t xml:space="preserve">: </w:t>
      </w:r>
      <w:r w:rsidRPr="00736CED">
        <w:rPr>
          <w:rFonts w:ascii="Times New Roman" w:hAnsi="Times New Roman" w:cs="Times New Roman"/>
          <w:sz w:val="24"/>
          <w:szCs w:val="24"/>
        </w:rPr>
        <w:t>la legittimità dell’utilizzo del trust dipende dalla legittimità dell’intera operazione nel cui ambito si inserisce l’atto di segregazione.</w:t>
      </w:r>
    </w:p>
    <w:p w:rsidR="00736CED" w:rsidRDefault="00736CED" w:rsidP="00736CED">
      <w:pPr>
        <w:jc w:val="both"/>
        <w:rPr>
          <w:rFonts w:ascii="Times New Roman" w:hAnsi="Times New Roman" w:cs="Times New Roman"/>
          <w:sz w:val="24"/>
          <w:szCs w:val="24"/>
        </w:rPr>
      </w:pPr>
      <w:r w:rsidRPr="00736CED">
        <w:rPr>
          <w:rFonts w:ascii="Times New Roman" w:hAnsi="Times New Roman" w:cs="Times New Roman"/>
          <w:sz w:val="24"/>
          <w:szCs w:val="24"/>
        </w:rPr>
        <w:t>Nel particolare settore dei trust liquidatori tuttavia i giudici sono intervenuti con notevole rigore di fronte a fattispecie di uso abusivo del trust dichiarando spesso la nullità o inefficacia dell’atto istitutivo o degli atti di conferimento dei beni in trust e hanno disposto talora il sequestro conservativo dei beni trasferiti al</w:t>
      </w:r>
      <w:r w:rsidRPr="008475B0">
        <w:rPr>
          <w:rFonts w:ascii="Times New Roman" w:hAnsi="Times New Roman" w:cs="Times New Roman"/>
          <w:i/>
          <w:sz w:val="24"/>
          <w:szCs w:val="24"/>
        </w:rPr>
        <w:t xml:space="preserve"> </w:t>
      </w:r>
      <w:proofErr w:type="spellStart"/>
      <w:r w:rsidRPr="008475B0">
        <w:rPr>
          <w:rFonts w:ascii="Times New Roman" w:hAnsi="Times New Roman" w:cs="Times New Roman"/>
          <w:i/>
          <w:sz w:val="24"/>
          <w:szCs w:val="24"/>
        </w:rPr>
        <w:t>trustee</w:t>
      </w:r>
      <w:proofErr w:type="spellEnd"/>
      <w:r w:rsidR="00391D4C">
        <w:rPr>
          <w:rFonts w:ascii="Times New Roman" w:hAnsi="Times New Roman" w:cs="Times New Roman"/>
          <w:sz w:val="24"/>
          <w:szCs w:val="24"/>
        </w:rPr>
        <w:t>.</w:t>
      </w:r>
    </w:p>
    <w:p w:rsidR="006B3D78" w:rsidRPr="006B3D78" w:rsidRDefault="006B3630" w:rsidP="006B3630">
      <w:pPr>
        <w:jc w:val="both"/>
        <w:rPr>
          <w:rFonts w:ascii="Times New Roman" w:hAnsi="Times New Roman" w:cs="Times New Roman"/>
          <w:iCs/>
          <w:sz w:val="24"/>
          <w:szCs w:val="24"/>
          <w:shd w:val="clear" w:color="auto" w:fill="FFFFFF"/>
        </w:rPr>
      </w:pPr>
      <w:r w:rsidRPr="006B3630">
        <w:rPr>
          <w:rFonts w:ascii="Times New Roman" w:hAnsi="Times New Roman" w:cs="Times New Roman"/>
          <w:iCs/>
          <w:sz w:val="24"/>
          <w:szCs w:val="24"/>
          <w:shd w:val="clear" w:color="auto" w:fill="FFFFFF"/>
        </w:rPr>
        <w:t>Questi precedenti giurisprudenziali e i profondi mutamenti ordinamentali sopra sinteticamente richiamati indicano dunque la necessità</w:t>
      </w:r>
      <w:r>
        <w:rPr>
          <w:rFonts w:ascii="Times New Roman" w:hAnsi="Times New Roman" w:cs="Times New Roman"/>
          <w:iCs/>
          <w:sz w:val="24"/>
          <w:szCs w:val="24"/>
          <w:shd w:val="clear" w:color="auto" w:fill="FFFFFF"/>
        </w:rPr>
        <w:t xml:space="preserve"> da parte degli operatori del diritto, in particolare da parte dei notai, </w:t>
      </w:r>
      <w:r w:rsidRPr="006B3630">
        <w:rPr>
          <w:rFonts w:ascii="Times New Roman" w:hAnsi="Times New Roman" w:cs="Times New Roman"/>
          <w:iCs/>
          <w:sz w:val="24"/>
          <w:szCs w:val="24"/>
          <w:shd w:val="clear" w:color="auto" w:fill="FFFFFF"/>
        </w:rPr>
        <w:t xml:space="preserve">di un approccio prudente </w:t>
      </w:r>
      <w:r>
        <w:rPr>
          <w:rFonts w:ascii="Times New Roman" w:hAnsi="Times New Roman" w:cs="Times New Roman"/>
          <w:iCs/>
          <w:sz w:val="24"/>
          <w:szCs w:val="24"/>
          <w:shd w:val="clear" w:color="auto" w:fill="FFFFFF"/>
        </w:rPr>
        <w:t>n</w:t>
      </w:r>
      <w:r w:rsidRPr="006B3630">
        <w:rPr>
          <w:rFonts w:ascii="Times New Roman" w:hAnsi="Times New Roman" w:cs="Times New Roman"/>
          <w:iCs/>
          <w:sz w:val="24"/>
          <w:szCs w:val="24"/>
          <w:shd w:val="clear" w:color="auto" w:fill="FFFFFF"/>
        </w:rPr>
        <w:t>ella redazione del regolamento negoziale teso a disciplinare la fattispecie concreta per la quale è richiesto il suo intervento.</w:t>
      </w:r>
    </w:p>
    <w:sectPr w:rsidR="006B3D78" w:rsidRPr="006B3D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406" w:rsidRDefault="00066406" w:rsidP="005E60DA">
      <w:pPr>
        <w:spacing w:after="0" w:line="240" w:lineRule="auto"/>
      </w:pPr>
      <w:r>
        <w:separator/>
      </w:r>
    </w:p>
  </w:endnote>
  <w:endnote w:type="continuationSeparator" w:id="0">
    <w:p w:rsidR="00066406" w:rsidRDefault="00066406" w:rsidP="005E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406" w:rsidRDefault="00066406" w:rsidP="005E60DA">
      <w:pPr>
        <w:spacing w:after="0" w:line="240" w:lineRule="auto"/>
      </w:pPr>
      <w:r>
        <w:separator/>
      </w:r>
    </w:p>
  </w:footnote>
  <w:footnote w:type="continuationSeparator" w:id="0">
    <w:p w:rsidR="00066406" w:rsidRDefault="00066406" w:rsidP="005E60DA">
      <w:pPr>
        <w:spacing w:after="0" w:line="240" w:lineRule="auto"/>
      </w:pPr>
      <w:r>
        <w:continuationSeparator/>
      </w:r>
    </w:p>
  </w:footnote>
  <w:footnote w:id="1">
    <w:p w:rsidR="005F389F" w:rsidRPr="005F389F" w:rsidRDefault="005F389F" w:rsidP="005F389F">
      <w:pPr>
        <w:pStyle w:val="Testonotaapidipagina"/>
        <w:jc w:val="both"/>
        <w:rPr>
          <w:rFonts w:ascii="Times New Roman" w:hAnsi="Times New Roman" w:cs="Times New Roman"/>
        </w:rPr>
      </w:pPr>
      <w:r>
        <w:rPr>
          <w:rStyle w:val="Rimandonotaapidipagina"/>
        </w:rPr>
        <w:footnoteRef/>
      </w:r>
      <w:r>
        <w:t xml:space="preserve">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Forlì 4 febbraio 2015 in Contratti, 2015, 437;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Ravenna 22 maggio 2014 in www.ilcaso.it;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Reggio Emilia 12 agosto 2014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630;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Palermo 22 maggio 2014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633;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Ravenna 22 maggio 2014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635;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Reggio Emilia 27 gennaio 2014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643;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Milano 28 marzo 2014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650; </w:t>
      </w:r>
      <w:proofErr w:type="spellStart"/>
      <w:r w:rsidRPr="005F389F">
        <w:rPr>
          <w:rFonts w:ascii="Times New Roman" w:hAnsi="Times New Roman" w:cs="Times New Roman"/>
        </w:rPr>
        <w:t>Trib</w:t>
      </w:r>
      <w:proofErr w:type="spellEnd"/>
      <w:r w:rsidRPr="005F389F">
        <w:rPr>
          <w:rFonts w:ascii="Times New Roman" w:hAnsi="Times New Roman" w:cs="Times New Roman"/>
        </w:rPr>
        <w:t xml:space="preserve">. Bari 12 febbraio 2013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2014, 653.</w:t>
      </w:r>
    </w:p>
  </w:footnote>
  <w:footnote w:id="2">
    <w:p w:rsidR="005F389F" w:rsidRPr="005F389F" w:rsidRDefault="005F389F" w:rsidP="005F389F">
      <w:pPr>
        <w:pStyle w:val="Testonotaapidipagina"/>
        <w:jc w:val="both"/>
        <w:rPr>
          <w:rFonts w:ascii="Times New Roman" w:hAnsi="Times New Roman" w:cs="Times New Roman"/>
        </w:rPr>
      </w:pPr>
      <w:r>
        <w:rPr>
          <w:rStyle w:val="Rimandonotaapidipagina"/>
        </w:rPr>
        <w:footnoteRef/>
      </w:r>
      <w:r>
        <w:t xml:space="preserve"> </w:t>
      </w:r>
      <w:proofErr w:type="spellStart"/>
      <w:r w:rsidRPr="005F389F">
        <w:rPr>
          <w:rFonts w:ascii="Times New Roman" w:hAnsi="Times New Roman" w:cs="Times New Roman"/>
        </w:rPr>
        <w:t>Cfr.L</w:t>
      </w:r>
      <w:proofErr w:type="spellEnd"/>
      <w:r w:rsidRPr="005F389F">
        <w:rPr>
          <w:rFonts w:ascii="Times New Roman" w:hAnsi="Times New Roman" w:cs="Times New Roman"/>
        </w:rPr>
        <w:t xml:space="preserve">. PANZANI, Trust e concordato preventivo, in Fallimento, 2005, 553 </w:t>
      </w:r>
      <w:proofErr w:type="spellStart"/>
      <w:r w:rsidRPr="005F389F">
        <w:rPr>
          <w:rFonts w:ascii="Times New Roman" w:hAnsi="Times New Roman" w:cs="Times New Roman"/>
        </w:rPr>
        <w:t>ss</w:t>
      </w:r>
      <w:proofErr w:type="spellEnd"/>
      <w:r w:rsidRPr="005F389F">
        <w:rPr>
          <w:rFonts w:ascii="Times New Roman" w:hAnsi="Times New Roman" w:cs="Times New Roman"/>
        </w:rPr>
        <w:t xml:space="preserve">; G. </w:t>
      </w:r>
      <w:proofErr w:type="gramStart"/>
      <w:r w:rsidRPr="005F389F">
        <w:rPr>
          <w:rFonts w:ascii="Times New Roman" w:hAnsi="Times New Roman" w:cs="Times New Roman"/>
        </w:rPr>
        <w:t>LO</w:t>
      </w:r>
      <w:proofErr w:type="gramEnd"/>
      <w:r w:rsidRPr="005F389F">
        <w:rPr>
          <w:rFonts w:ascii="Times New Roman" w:hAnsi="Times New Roman" w:cs="Times New Roman"/>
        </w:rPr>
        <w:t xml:space="preserve"> CASCIO, Il concordato preventivo ed il trust, in Fallimento, 2007, 245 </w:t>
      </w:r>
      <w:proofErr w:type="spellStart"/>
      <w:r w:rsidRPr="005F389F">
        <w:rPr>
          <w:rFonts w:ascii="Times New Roman" w:hAnsi="Times New Roman" w:cs="Times New Roman"/>
        </w:rPr>
        <w:t>ss</w:t>
      </w:r>
      <w:proofErr w:type="spellEnd"/>
      <w:r w:rsidRPr="005F389F">
        <w:rPr>
          <w:rFonts w:ascii="Times New Roman" w:hAnsi="Times New Roman" w:cs="Times New Roman"/>
        </w:rPr>
        <w:t xml:space="preserve">; ID., Proposta di concordato preventivo mediante trust, in Fallimento, 2009, 340 </w:t>
      </w:r>
      <w:proofErr w:type="spellStart"/>
      <w:r w:rsidRPr="005F389F">
        <w:rPr>
          <w:rFonts w:ascii="Times New Roman" w:hAnsi="Times New Roman" w:cs="Times New Roman"/>
        </w:rPr>
        <w:t>ss</w:t>
      </w:r>
      <w:proofErr w:type="spellEnd"/>
      <w:r w:rsidRPr="005F389F">
        <w:rPr>
          <w:rFonts w:ascii="Times New Roman" w:hAnsi="Times New Roman" w:cs="Times New Roman"/>
        </w:rPr>
        <w:t xml:space="preserve">; C. D’ARRIGO, L’impiego del trust nella gestione negoziale della crisi d’impresa, in La crisi d’impresa. Questioni controverse del nuovo diritto fallimentare a cura di F. DI MARZIO, Padova 2010, 451 </w:t>
      </w:r>
      <w:proofErr w:type="spellStart"/>
      <w:r w:rsidRPr="005F389F">
        <w:rPr>
          <w:rFonts w:ascii="Times New Roman" w:hAnsi="Times New Roman" w:cs="Times New Roman"/>
        </w:rPr>
        <w:t>ss</w:t>
      </w:r>
      <w:proofErr w:type="spellEnd"/>
      <w:r w:rsidRPr="005F389F">
        <w:rPr>
          <w:rFonts w:ascii="Times New Roman" w:hAnsi="Times New Roman" w:cs="Times New Roman"/>
        </w:rPr>
        <w:t xml:space="preserve">; G. FANTICINI, L’ingloriosa fine del trust liquidatorio istituito dall’imprenditore insolvente: </w:t>
      </w:r>
      <w:proofErr w:type="spellStart"/>
      <w:r w:rsidRPr="005F389F">
        <w:rPr>
          <w:rFonts w:ascii="Times New Roman" w:hAnsi="Times New Roman" w:cs="Times New Roman"/>
        </w:rPr>
        <w:t>tamquam</w:t>
      </w:r>
      <w:proofErr w:type="spellEnd"/>
      <w:r w:rsidRPr="005F389F">
        <w:rPr>
          <w:rFonts w:ascii="Times New Roman" w:hAnsi="Times New Roman" w:cs="Times New Roman"/>
        </w:rPr>
        <w:t xml:space="preserve"> non </w:t>
      </w:r>
      <w:proofErr w:type="spellStart"/>
      <w:r w:rsidRPr="005F389F">
        <w:rPr>
          <w:rFonts w:ascii="Times New Roman" w:hAnsi="Times New Roman" w:cs="Times New Roman"/>
        </w:rPr>
        <w:t>esset</w:t>
      </w:r>
      <w:proofErr w:type="spellEnd"/>
      <w:r w:rsidRPr="005F389F">
        <w:rPr>
          <w:rFonts w:ascii="Times New Roman" w:hAnsi="Times New Roman" w:cs="Times New Roman"/>
        </w:rPr>
        <w:t xml:space="preserve">!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xml:space="preserve">., 2014, 585 ss.; A. FAROLFI, Il trust liquidatorio secondo le risultanze della prassi e della giurisprudenza in Trusts </w:t>
      </w:r>
      <w:proofErr w:type="spellStart"/>
      <w:r w:rsidRPr="005F389F">
        <w:rPr>
          <w:rFonts w:ascii="Times New Roman" w:hAnsi="Times New Roman" w:cs="Times New Roman"/>
        </w:rPr>
        <w:t>att</w:t>
      </w:r>
      <w:proofErr w:type="spellEnd"/>
      <w:r w:rsidRPr="005F389F">
        <w:rPr>
          <w:rFonts w:ascii="Times New Roman" w:hAnsi="Times New Roman" w:cs="Times New Roman"/>
        </w:rPr>
        <w:t xml:space="preserve">. </w:t>
      </w:r>
      <w:proofErr w:type="spellStart"/>
      <w:r w:rsidRPr="005F389F">
        <w:rPr>
          <w:rFonts w:ascii="Times New Roman" w:hAnsi="Times New Roman" w:cs="Times New Roman"/>
        </w:rPr>
        <w:t>fid</w:t>
      </w:r>
      <w:proofErr w:type="spellEnd"/>
      <w:r w:rsidRPr="005F389F">
        <w:rPr>
          <w:rFonts w:ascii="Times New Roman" w:hAnsi="Times New Roman" w:cs="Times New Roman"/>
        </w:rPr>
        <w:t>., 2014, 616 ss., ove ampie citazioni di dottrina e giurisprudenza.</w:t>
      </w:r>
    </w:p>
  </w:footnote>
  <w:footnote w:id="3">
    <w:p w:rsidR="005E60DA" w:rsidRPr="005137A1" w:rsidRDefault="005E60DA" w:rsidP="005F389F">
      <w:pPr>
        <w:pStyle w:val="Testonotaapidipagina"/>
        <w:jc w:val="both"/>
        <w:rPr>
          <w:rFonts w:ascii="Times New Roman" w:hAnsi="Times New Roman" w:cs="Times New Roman"/>
        </w:rPr>
      </w:pPr>
      <w:r w:rsidRPr="005F389F">
        <w:rPr>
          <w:rStyle w:val="Rimandonotaapidipagina"/>
          <w:rFonts w:ascii="Times New Roman" w:hAnsi="Times New Roman" w:cs="Times New Roman"/>
        </w:rPr>
        <w:footnoteRef/>
      </w:r>
      <w:r w:rsidRPr="005F389F">
        <w:rPr>
          <w:rFonts w:ascii="Times New Roman" w:hAnsi="Times New Roman" w:cs="Times New Roman"/>
        </w:rPr>
        <w:t xml:space="preserve"> A. BUSANI, in </w:t>
      </w:r>
      <w:proofErr w:type="spellStart"/>
      <w:r w:rsidRPr="005F389F">
        <w:rPr>
          <w:rFonts w:ascii="Times New Roman" w:hAnsi="Times New Roman" w:cs="Times New Roman"/>
        </w:rPr>
        <w:t>Busani</w:t>
      </w:r>
      <w:proofErr w:type="spellEnd"/>
      <w:r w:rsidRPr="005F389F">
        <w:rPr>
          <w:rFonts w:ascii="Times New Roman" w:hAnsi="Times New Roman" w:cs="Times New Roman"/>
        </w:rPr>
        <w:t xml:space="preserve"> – </w:t>
      </w:r>
      <w:proofErr w:type="spellStart"/>
      <w:r w:rsidRPr="005F389F">
        <w:rPr>
          <w:rFonts w:ascii="Times New Roman" w:hAnsi="Times New Roman" w:cs="Times New Roman"/>
        </w:rPr>
        <w:t>Fanara</w:t>
      </w:r>
      <w:proofErr w:type="spellEnd"/>
      <w:r w:rsidRPr="005F389F">
        <w:rPr>
          <w:rFonts w:ascii="Times New Roman" w:hAnsi="Times New Roman" w:cs="Times New Roman"/>
        </w:rPr>
        <w:t xml:space="preserve"> – Mannella, Trust e crisi</w:t>
      </w:r>
      <w:r w:rsidRPr="005137A1">
        <w:rPr>
          <w:rFonts w:ascii="Times New Roman" w:hAnsi="Times New Roman" w:cs="Times New Roman"/>
        </w:rPr>
        <w:t xml:space="preserve"> di impresa, Milano, 2013, 56; D. MURITANO, Note sul trust istituito da imprese in crisi (in funzione liquidatoria) studio del CNN n. 161 – 2011/I.</w:t>
      </w:r>
    </w:p>
  </w:footnote>
  <w:footnote w:id="4">
    <w:p w:rsidR="005F389F" w:rsidRPr="005F389F" w:rsidRDefault="005F389F">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Cass. </w:t>
      </w:r>
      <w:proofErr w:type="spellStart"/>
      <w:r>
        <w:rPr>
          <w:rFonts w:ascii="Times New Roman" w:hAnsi="Times New Roman" w:cs="Times New Roman"/>
        </w:rPr>
        <w:t>Civ</w:t>
      </w:r>
      <w:proofErr w:type="spellEnd"/>
      <w:r>
        <w:rPr>
          <w:rFonts w:ascii="Times New Roman" w:hAnsi="Times New Roman" w:cs="Times New Roman"/>
        </w:rPr>
        <w:t xml:space="preserve">., </w:t>
      </w:r>
      <w:r w:rsidRPr="005F389F">
        <w:rPr>
          <w:rFonts w:ascii="Times New Roman" w:hAnsi="Times New Roman" w:cs="Times New Roman"/>
        </w:rPr>
        <w:t>9 maggio 2014, n.ro 10105</w:t>
      </w:r>
      <w:r>
        <w:rPr>
          <w:rFonts w:ascii="Times New Roman" w:hAnsi="Times New Roman" w:cs="Times New Roman"/>
        </w:rPr>
        <w:t>.</w:t>
      </w:r>
    </w:p>
  </w:footnote>
  <w:footnote w:id="5">
    <w:p w:rsidR="005F389F" w:rsidRPr="005F389F" w:rsidRDefault="005F389F">
      <w:pPr>
        <w:pStyle w:val="Testonotaapidipagina"/>
        <w:rPr>
          <w:i/>
        </w:rPr>
      </w:pPr>
      <w:r>
        <w:rPr>
          <w:rStyle w:val="Rimandonotaapidipagina"/>
        </w:rPr>
        <w:footnoteRef/>
      </w:r>
      <w:r>
        <w:t xml:space="preserve"> </w:t>
      </w:r>
      <w:r w:rsidRPr="005F389F">
        <w:rPr>
          <w:rFonts w:ascii="Times New Roman" w:hAnsi="Times New Roman" w:cs="Times New Roman"/>
        </w:rPr>
        <w:t xml:space="preserve">Cfr. </w:t>
      </w:r>
      <w:r>
        <w:rPr>
          <w:rFonts w:ascii="Times New Roman" w:hAnsi="Times New Roman" w:cs="Times New Roman"/>
        </w:rPr>
        <w:t xml:space="preserve">M. Palazzo </w:t>
      </w:r>
      <w:r w:rsidRPr="005F389F">
        <w:rPr>
          <w:rFonts w:ascii="Times New Roman" w:hAnsi="Times New Roman" w:cs="Times New Roman"/>
          <w:i/>
        </w:rPr>
        <w:t>Studio 315-2015/I CNN</w:t>
      </w:r>
    </w:p>
  </w:footnote>
  <w:footnote w:id="6">
    <w:p w:rsidR="008475B0" w:rsidRPr="008475B0" w:rsidRDefault="008475B0">
      <w:pPr>
        <w:pStyle w:val="Testonotaapidipagina"/>
        <w:rPr>
          <w:rFonts w:ascii="Times New Roman" w:hAnsi="Times New Roman" w:cs="Times New Roman"/>
        </w:rPr>
      </w:pPr>
      <w:r>
        <w:rPr>
          <w:rStyle w:val="Rimandonotaapidipagina"/>
        </w:rPr>
        <w:footnoteRef/>
      </w:r>
      <w:r>
        <w:t xml:space="preserve"> </w:t>
      </w:r>
      <w:r w:rsidRPr="008475B0">
        <w:rPr>
          <w:rFonts w:ascii="Times New Roman" w:hAnsi="Times New Roman" w:cs="Times New Roman"/>
        </w:rPr>
        <w:t xml:space="preserve">C. SCOGNAMIGLIO, Negozi di destinazione, trust e negozio fiduciario, in Gli strumenti di articolazione del patrimonio profili di competitività del sistema, a cura di M. Bianca e </w:t>
      </w:r>
      <w:proofErr w:type="spellStart"/>
      <w:r w:rsidRPr="008475B0">
        <w:rPr>
          <w:rFonts w:ascii="Times New Roman" w:hAnsi="Times New Roman" w:cs="Times New Roman"/>
        </w:rPr>
        <w:t>Capaldo</w:t>
      </w:r>
      <w:proofErr w:type="spellEnd"/>
      <w:r w:rsidRPr="008475B0">
        <w:rPr>
          <w:rFonts w:ascii="Times New Roman" w:hAnsi="Times New Roman" w:cs="Times New Roman"/>
        </w:rPr>
        <w:t xml:space="preserve">, Milano, 2013; F. MACARIO, Principi generali e nuovi scenari del sistema della responsabilità patrimoniale, in Giustizia civile, 2015, p. 59 </w:t>
      </w:r>
      <w:proofErr w:type="gramStart"/>
      <w:r w:rsidRPr="008475B0">
        <w:rPr>
          <w:rFonts w:ascii="Times New Roman" w:hAnsi="Times New Roman" w:cs="Times New Roman"/>
        </w:rPr>
        <w:t>ss.</w:t>
      </w:r>
      <w:bookmarkStart w:id="0" w:name="_GoBack"/>
      <w:bookmarkEnd w:id="0"/>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0D8E"/>
    <w:multiLevelType w:val="hybridMultilevel"/>
    <w:tmpl w:val="B9B045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22"/>
    <w:rsid w:val="00066406"/>
    <w:rsid w:val="001104BB"/>
    <w:rsid w:val="00133218"/>
    <w:rsid w:val="00141DEF"/>
    <w:rsid w:val="00166C76"/>
    <w:rsid w:val="001B5D5E"/>
    <w:rsid w:val="002E47DB"/>
    <w:rsid w:val="0035483C"/>
    <w:rsid w:val="00391D4C"/>
    <w:rsid w:val="004C2A9B"/>
    <w:rsid w:val="005137A1"/>
    <w:rsid w:val="005E60DA"/>
    <w:rsid w:val="005F389F"/>
    <w:rsid w:val="0060260B"/>
    <w:rsid w:val="00647309"/>
    <w:rsid w:val="006B3630"/>
    <w:rsid w:val="006B3D78"/>
    <w:rsid w:val="00736CED"/>
    <w:rsid w:val="00762D21"/>
    <w:rsid w:val="007D2849"/>
    <w:rsid w:val="008475B0"/>
    <w:rsid w:val="00923722"/>
    <w:rsid w:val="009A7260"/>
    <w:rsid w:val="00BA49AF"/>
    <w:rsid w:val="00BC1A5E"/>
    <w:rsid w:val="00BD6527"/>
    <w:rsid w:val="00C662CC"/>
    <w:rsid w:val="00D84E93"/>
    <w:rsid w:val="00DA4663"/>
    <w:rsid w:val="00F36BE8"/>
    <w:rsid w:val="00FE0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A7A5"/>
  <w15:chartTrackingRefBased/>
  <w15:docId w15:val="{4D46ADFC-BEF1-4A89-883D-D2E838E0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5E60D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E60DA"/>
    <w:rPr>
      <w:sz w:val="20"/>
      <w:szCs w:val="20"/>
    </w:rPr>
  </w:style>
  <w:style w:type="character" w:styleId="Rimandonotadichiusura">
    <w:name w:val="endnote reference"/>
    <w:basedOn w:val="Carpredefinitoparagrafo"/>
    <w:uiPriority w:val="99"/>
    <w:semiHidden/>
    <w:unhideWhenUsed/>
    <w:rsid w:val="005E60DA"/>
    <w:rPr>
      <w:vertAlign w:val="superscript"/>
    </w:rPr>
  </w:style>
  <w:style w:type="paragraph" w:styleId="Testonotaapidipagina">
    <w:name w:val="footnote text"/>
    <w:basedOn w:val="Normale"/>
    <w:link w:val="TestonotaapidipaginaCarattere"/>
    <w:uiPriority w:val="99"/>
    <w:semiHidden/>
    <w:unhideWhenUsed/>
    <w:rsid w:val="005E60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60DA"/>
    <w:rPr>
      <w:sz w:val="20"/>
      <w:szCs w:val="20"/>
    </w:rPr>
  </w:style>
  <w:style w:type="character" w:styleId="Rimandonotaapidipagina">
    <w:name w:val="footnote reference"/>
    <w:basedOn w:val="Carpredefinitoparagrafo"/>
    <w:uiPriority w:val="99"/>
    <w:semiHidden/>
    <w:unhideWhenUsed/>
    <w:rsid w:val="005E60DA"/>
    <w:rPr>
      <w:vertAlign w:val="superscript"/>
    </w:rPr>
  </w:style>
  <w:style w:type="paragraph" w:styleId="Paragrafoelenco">
    <w:name w:val="List Paragraph"/>
    <w:basedOn w:val="Normale"/>
    <w:uiPriority w:val="34"/>
    <w:qFormat/>
    <w:rsid w:val="00D84E93"/>
    <w:pPr>
      <w:ind w:left="720"/>
      <w:contextualSpacing/>
    </w:pPr>
  </w:style>
  <w:style w:type="paragraph" w:styleId="NormaleWeb">
    <w:name w:val="Normal (Web)"/>
    <w:basedOn w:val="Normale"/>
    <w:uiPriority w:val="99"/>
    <w:unhideWhenUsed/>
    <w:rsid w:val="002E47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47DB"/>
    <w:rPr>
      <w:i/>
      <w:iCs/>
    </w:rPr>
  </w:style>
  <w:style w:type="character" w:styleId="Enfasigrassetto">
    <w:name w:val="Strong"/>
    <w:basedOn w:val="Carpredefinitoparagrafo"/>
    <w:uiPriority w:val="22"/>
    <w:qFormat/>
    <w:rsid w:val="002E4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2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454EA-BD68-4F58-AE24-8A27A6F6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2294</Words>
  <Characters>13080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Moro</dc:creator>
  <cp:keywords/>
  <dc:description/>
  <cp:lastModifiedBy>Silvia De Moro</cp:lastModifiedBy>
  <cp:revision>10</cp:revision>
  <dcterms:created xsi:type="dcterms:W3CDTF">2018-04-09T11:59:00Z</dcterms:created>
  <dcterms:modified xsi:type="dcterms:W3CDTF">2018-04-14T20:07:00Z</dcterms:modified>
</cp:coreProperties>
</file>