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AB129" w14:textId="29FA2921" w:rsidR="001750B4" w:rsidRPr="001750B4" w:rsidRDefault="001750B4" w:rsidP="001750B4">
      <w:pPr>
        <w:spacing w:line="360" w:lineRule="auto"/>
        <w:jc w:val="center"/>
        <w:rPr>
          <w:rFonts w:ascii="Times New Roman" w:hAnsi="Times New Roman" w:cs="Times New Roman"/>
          <w:b/>
          <w:bCs/>
          <w:sz w:val="44"/>
          <w:szCs w:val="44"/>
        </w:rPr>
      </w:pPr>
      <w:r w:rsidRPr="001750B4">
        <w:rPr>
          <w:rFonts w:ascii="Times New Roman" w:hAnsi="Times New Roman" w:cs="Times New Roman"/>
          <w:b/>
          <w:bCs/>
          <w:sz w:val="44"/>
          <w:szCs w:val="44"/>
        </w:rPr>
        <w:t>UNIVERSITA’ DEGLI STUDI “ROMA TRE”</w:t>
      </w:r>
    </w:p>
    <w:p w14:paraId="454B516E" w14:textId="77777777" w:rsidR="001750B4" w:rsidRPr="001750B4" w:rsidRDefault="001750B4" w:rsidP="001750B4">
      <w:pPr>
        <w:pStyle w:val="Titolo1"/>
        <w:jc w:val="center"/>
        <w:rPr>
          <w:sz w:val="44"/>
          <w:szCs w:val="44"/>
        </w:rPr>
      </w:pPr>
      <w:r w:rsidRPr="001750B4">
        <w:rPr>
          <w:sz w:val="44"/>
          <w:szCs w:val="44"/>
        </w:rPr>
        <w:t>DIPARTIMENTO DI GIURISPRUDENZA</w:t>
      </w:r>
    </w:p>
    <w:p w14:paraId="757FB323" w14:textId="7F97DF14" w:rsidR="001750B4" w:rsidRPr="001750B4" w:rsidRDefault="001750B4" w:rsidP="001750B4">
      <w:pPr>
        <w:pStyle w:val="Titolo1"/>
        <w:jc w:val="center"/>
        <w:rPr>
          <w:b/>
          <w:bCs/>
          <w:sz w:val="44"/>
          <w:szCs w:val="44"/>
        </w:rPr>
      </w:pPr>
      <w:r>
        <w:rPr>
          <w:sz w:val="44"/>
          <w:szCs w:val="44"/>
        </w:rPr>
        <w:t>CORSO DI LAUREA GIURISPRUDENZA</w:t>
      </w:r>
    </w:p>
    <w:p w14:paraId="3F083F2D" w14:textId="77777777" w:rsidR="001750B4" w:rsidRDefault="0024328D">
      <w:pPr>
        <w:spacing w:line="360" w:lineRule="auto"/>
        <w:rPr>
          <w:b/>
          <w:bCs/>
          <w:sz w:val="32"/>
        </w:rPr>
      </w:pPr>
      <w:r>
        <w:rPr>
          <w:b/>
          <w:smallCaps/>
          <w:noProof/>
          <w:spacing w:val="20"/>
          <w:sz w:val="20"/>
        </w:rPr>
        <w:object w:dxaOrig="1440" w:dyaOrig="1440" w14:anchorId="21C65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9.05pt;margin-top:18.9pt;width:143.15pt;height:85.2pt;z-index:251659264;visibility:visible;mso-wrap-edited:f" fillcolor="black">
            <v:imagedata r:id="rId10" o:title="" grayscale="t" bilevel="t"/>
          </v:shape>
          <o:OLEObject Type="Embed" ProgID="Word.Picture.8" ShapeID="_x0000_s1026" DrawAspect="Content" ObjectID="_1724762919" r:id="rId11"/>
        </w:object>
      </w:r>
    </w:p>
    <w:p w14:paraId="3A6C65C2" w14:textId="77777777" w:rsidR="001750B4" w:rsidRDefault="001750B4">
      <w:pPr>
        <w:spacing w:line="360" w:lineRule="auto"/>
        <w:jc w:val="center"/>
        <w:rPr>
          <w:b/>
          <w:smallCaps/>
          <w:spacing w:val="20"/>
          <w:sz w:val="32"/>
        </w:rPr>
      </w:pPr>
    </w:p>
    <w:p w14:paraId="6B889718" w14:textId="77777777" w:rsidR="001750B4" w:rsidRDefault="001750B4">
      <w:pPr>
        <w:spacing w:line="360" w:lineRule="auto"/>
        <w:jc w:val="center"/>
        <w:rPr>
          <w:b/>
          <w:smallCaps/>
          <w:spacing w:val="20"/>
          <w:sz w:val="32"/>
        </w:rPr>
      </w:pPr>
    </w:p>
    <w:p w14:paraId="53D7899F" w14:textId="1AA8F911" w:rsidR="001750B4" w:rsidRDefault="001750B4" w:rsidP="001750B4">
      <w:pPr>
        <w:spacing w:line="360" w:lineRule="auto"/>
        <w:rPr>
          <w:b/>
          <w:smallCaps/>
          <w:spacing w:val="20"/>
          <w:sz w:val="32"/>
        </w:rPr>
      </w:pPr>
    </w:p>
    <w:p w14:paraId="0EC7754D" w14:textId="77777777" w:rsidR="001750B4" w:rsidRPr="001750B4" w:rsidRDefault="001750B4">
      <w:pPr>
        <w:pStyle w:val="Titolo2"/>
        <w:spacing w:line="360" w:lineRule="auto"/>
        <w:rPr>
          <w:sz w:val="44"/>
          <w:szCs w:val="44"/>
        </w:rPr>
      </w:pPr>
      <w:r w:rsidRPr="001750B4">
        <w:rPr>
          <w:sz w:val="44"/>
          <w:szCs w:val="44"/>
        </w:rPr>
        <w:t>TESI DI LAUREA</w:t>
      </w:r>
    </w:p>
    <w:p w14:paraId="14EBCAF7" w14:textId="77777777" w:rsidR="001750B4" w:rsidRPr="001750B4" w:rsidRDefault="001750B4">
      <w:pPr>
        <w:jc w:val="center"/>
        <w:rPr>
          <w:rFonts w:ascii="Times New Roman" w:hAnsi="Times New Roman" w:cs="Times New Roman"/>
          <w:sz w:val="32"/>
          <w:szCs w:val="32"/>
        </w:rPr>
      </w:pPr>
      <w:r w:rsidRPr="001750B4">
        <w:rPr>
          <w:rFonts w:ascii="Times New Roman" w:hAnsi="Times New Roman" w:cs="Times New Roman"/>
          <w:sz w:val="32"/>
          <w:szCs w:val="32"/>
        </w:rPr>
        <w:t>in</w:t>
      </w:r>
    </w:p>
    <w:p w14:paraId="34D61DDA" w14:textId="0EB1B86D" w:rsidR="001750B4" w:rsidRPr="001750B4" w:rsidRDefault="001750B4">
      <w:pPr>
        <w:rPr>
          <w:rFonts w:ascii="Times New Roman" w:hAnsi="Times New Roman" w:cs="Times New Roman"/>
          <w:sz w:val="40"/>
          <w:szCs w:val="40"/>
        </w:rPr>
      </w:pPr>
      <w:r w:rsidRPr="001750B4">
        <w:rPr>
          <w:rFonts w:ascii="Times New Roman" w:hAnsi="Times New Roman" w:cs="Times New Roman"/>
          <w:sz w:val="40"/>
          <w:szCs w:val="40"/>
        </w:rPr>
        <w:t xml:space="preserve">             </w:t>
      </w:r>
      <w:r w:rsidR="0005644B">
        <w:rPr>
          <w:rFonts w:ascii="Times New Roman" w:hAnsi="Times New Roman" w:cs="Times New Roman"/>
          <w:sz w:val="40"/>
          <w:szCs w:val="40"/>
        </w:rPr>
        <w:t xml:space="preserve">                       </w:t>
      </w:r>
      <w:r w:rsidRPr="001750B4">
        <w:rPr>
          <w:rFonts w:ascii="Times New Roman" w:hAnsi="Times New Roman" w:cs="Times New Roman"/>
          <w:sz w:val="40"/>
          <w:szCs w:val="40"/>
        </w:rPr>
        <w:t xml:space="preserve">                                                 </w:t>
      </w:r>
    </w:p>
    <w:p w14:paraId="6F231DB5" w14:textId="4F2504F5" w:rsidR="001750B4" w:rsidRPr="001750B4" w:rsidRDefault="001750B4" w:rsidP="001750B4">
      <w:pPr>
        <w:spacing w:line="360" w:lineRule="auto"/>
        <w:jc w:val="center"/>
        <w:rPr>
          <w:rFonts w:ascii="Times New Roman" w:hAnsi="Times New Roman" w:cs="Times New Roman"/>
          <w:b/>
          <w:bCs/>
          <w:sz w:val="40"/>
          <w:szCs w:val="40"/>
        </w:rPr>
      </w:pPr>
      <w:r w:rsidRPr="001750B4">
        <w:rPr>
          <w:rFonts w:ascii="Times New Roman" w:hAnsi="Times New Roman" w:cs="Times New Roman"/>
          <w:b/>
          <w:bCs/>
          <w:sz w:val="40"/>
          <w:szCs w:val="40"/>
        </w:rPr>
        <w:t>DIRITTO CANONICO</w:t>
      </w:r>
    </w:p>
    <w:p w14:paraId="21E42B04" w14:textId="32CF14C5" w:rsidR="001750B4" w:rsidRPr="001750B4" w:rsidRDefault="001750B4" w:rsidP="001750B4">
      <w:pPr>
        <w:spacing w:line="360" w:lineRule="auto"/>
        <w:jc w:val="center"/>
        <w:rPr>
          <w:b/>
          <w:bCs/>
          <w:sz w:val="40"/>
          <w:szCs w:val="40"/>
        </w:rPr>
      </w:pPr>
      <w:r w:rsidRPr="001750B4">
        <w:rPr>
          <w:rStyle w:val="fontstyle01"/>
          <w:sz w:val="40"/>
          <w:szCs w:val="40"/>
        </w:rPr>
        <w:t>Diritto canonico codificato e diritto missionario</w:t>
      </w:r>
    </w:p>
    <w:p w14:paraId="0D2C1B65" w14:textId="738205F2" w:rsidR="001750B4" w:rsidRPr="001750B4" w:rsidRDefault="001750B4" w:rsidP="0005644B">
      <w:pPr>
        <w:pStyle w:val="Titolo3"/>
        <w:jc w:val="both"/>
        <w:rPr>
          <w:sz w:val="40"/>
          <w:szCs w:val="40"/>
        </w:rPr>
      </w:pPr>
      <w:r w:rsidRPr="001750B4">
        <w:rPr>
          <w:b/>
          <w:bCs/>
          <w:sz w:val="40"/>
          <w:szCs w:val="40"/>
        </w:rPr>
        <w:t xml:space="preserve">Relatore: </w:t>
      </w:r>
      <w:r w:rsidRPr="001750B4">
        <w:rPr>
          <w:sz w:val="40"/>
          <w:szCs w:val="40"/>
        </w:rPr>
        <w:t>Chiar.mo</w:t>
      </w:r>
      <w:r w:rsidRPr="001750B4">
        <w:rPr>
          <w:sz w:val="40"/>
          <w:szCs w:val="40"/>
        </w:rPr>
        <w:tab/>
      </w:r>
      <w:r w:rsidRPr="001750B4">
        <w:rPr>
          <w:sz w:val="40"/>
          <w:szCs w:val="40"/>
        </w:rPr>
        <w:tab/>
      </w:r>
      <w:r w:rsidRPr="001750B4">
        <w:rPr>
          <w:sz w:val="40"/>
          <w:szCs w:val="40"/>
        </w:rPr>
        <w:tab/>
      </w:r>
      <w:r w:rsidRPr="001750B4">
        <w:rPr>
          <w:sz w:val="40"/>
          <w:szCs w:val="40"/>
        </w:rPr>
        <w:tab/>
        <w:t xml:space="preserve">          </w:t>
      </w:r>
      <w:r>
        <w:rPr>
          <w:sz w:val="40"/>
          <w:szCs w:val="40"/>
        </w:rPr>
        <w:t xml:space="preserve">       </w:t>
      </w:r>
      <w:r w:rsidR="00C71CCF">
        <w:rPr>
          <w:b/>
          <w:bCs/>
          <w:sz w:val="40"/>
          <w:szCs w:val="40"/>
        </w:rPr>
        <w:t>Laureanda:</w:t>
      </w:r>
      <w:r>
        <w:rPr>
          <w:sz w:val="40"/>
          <w:szCs w:val="40"/>
        </w:rPr>
        <w:t xml:space="preserve">                               Prof. Carlo Fantappiè</w:t>
      </w:r>
      <w:r w:rsidR="0005644B">
        <w:rPr>
          <w:sz w:val="40"/>
          <w:szCs w:val="40"/>
        </w:rPr>
        <w:t xml:space="preserve">                                        Chiara Ottaviano</w:t>
      </w:r>
    </w:p>
    <w:p w14:paraId="3AD6D744" w14:textId="56F62E85" w:rsidR="001750B4" w:rsidRPr="0005644B" w:rsidRDefault="0005644B">
      <w:pPr>
        <w:spacing w:line="360" w:lineRule="auto"/>
        <w:rPr>
          <w:rFonts w:ascii="Times New Roman" w:hAnsi="Times New Roman" w:cs="Times New Roman"/>
          <w:sz w:val="40"/>
          <w:szCs w:val="40"/>
        </w:rPr>
      </w:pPr>
      <w:r>
        <w:rPr>
          <w:sz w:val="32"/>
        </w:rPr>
        <w:t xml:space="preserve">                                                     </w:t>
      </w:r>
      <w:r w:rsidR="001750B4">
        <w:rPr>
          <w:sz w:val="32"/>
        </w:rPr>
        <w:t xml:space="preserve">                </w:t>
      </w:r>
      <w:r>
        <w:rPr>
          <w:sz w:val="32"/>
        </w:rPr>
        <w:t xml:space="preserve">                             </w:t>
      </w:r>
      <w:r w:rsidRPr="0005644B">
        <w:rPr>
          <w:rFonts w:ascii="Times New Roman" w:hAnsi="Times New Roman" w:cs="Times New Roman"/>
          <w:sz w:val="40"/>
          <w:szCs w:val="40"/>
        </w:rPr>
        <w:t>Matri 498217</w:t>
      </w:r>
      <w:r w:rsidR="001750B4" w:rsidRPr="0005644B">
        <w:rPr>
          <w:rFonts w:ascii="Times New Roman" w:hAnsi="Times New Roman" w:cs="Times New Roman"/>
          <w:sz w:val="40"/>
          <w:szCs w:val="40"/>
        </w:rPr>
        <w:t xml:space="preserve">                         </w:t>
      </w:r>
    </w:p>
    <w:p w14:paraId="239E1377" w14:textId="4456B4B8" w:rsidR="001750B4" w:rsidRDefault="001750B4">
      <w:pPr>
        <w:spacing w:line="360" w:lineRule="auto"/>
        <w:rPr>
          <w:sz w:val="32"/>
        </w:rPr>
      </w:pPr>
    </w:p>
    <w:p w14:paraId="4D5FDBB2" w14:textId="77777777" w:rsidR="0005644B" w:rsidRDefault="0005644B">
      <w:pPr>
        <w:spacing w:line="360" w:lineRule="auto"/>
        <w:rPr>
          <w:sz w:val="32"/>
        </w:rPr>
      </w:pPr>
    </w:p>
    <w:p w14:paraId="4EB1589E" w14:textId="77F477CC" w:rsidR="004F05A9" w:rsidRDefault="001750B4" w:rsidP="00D01718">
      <w:pPr>
        <w:spacing w:line="360" w:lineRule="auto"/>
        <w:jc w:val="center"/>
        <w:rPr>
          <w:rFonts w:ascii="Times New Roman" w:hAnsi="Times New Roman" w:cs="Times New Roman"/>
          <w:sz w:val="32"/>
          <w:szCs w:val="32"/>
        </w:rPr>
      </w:pPr>
      <w:r w:rsidRPr="0005644B">
        <w:rPr>
          <w:rFonts w:ascii="Times New Roman" w:hAnsi="Times New Roman" w:cs="Times New Roman"/>
          <w:b/>
          <w:bCs/>
          <w:sz w:val="32"/>
          <w:szCs w:val="32"/>
        </w:rPr>
        <w:t>Anno Accademico 2021 – 2022</w:t>
      </w:r>
    </w:p>
    <w:p w14:paraId="78A4B422" w14:textId="3380893C" w:rsidR="00D01718" w:rsidRDefault="00D01718" w:rsidP="00D01718">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INDICE</w:t>
      </w:r>
    </w:p>
    <w:p w14:paraId="651D8615" w14:textId="77777777" w:rsidR="00D01718" w:rsidRPr="00D01718" w:rsidRDefault="00D01718" w:rsidP="00D01718">
      <w:pPr>
        <w:spacing w:line="360" w:lineRule="auto"/>
        <w:jc w:val="center"/>
        <w:rPr>
          <w:rFonts w:ascii="Times New Roman" w:hAnsi="Times New Roman" w:cs="Times New Roman"/>
          <w:sz w:val="32"/>
          <w:szCs w:val="32"/>
        </w:rPr>
      </w:pPr>
    </w:p>
    <w:p w14:paraId="0766B614" w14:textId="430BAB07" w:rsidR="007C6CCB" w:rsidRDefault="007C6CCB" w:rsidP="007C6CCB">
      <w:pPr>
        <w:spacing w:after="0" w:line="360" w:lineRule="auto"/>
        <w:ind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INTRODUZIONE………………………………………………………………p. 2</w:t>
      </w:r>
    </w:p>
    <w:p w14:paraId="2CBD8C92" w14:textId="6C15CF7C" w:rsidR="007C6CCB" w:rsidRDefault="007C6CCB" w:rsidP="00484F9B">
      <w:pPr>
        <w:spacing w:after="0" w:line="360" w:lineRule="auto"/>
        <w:ind w:left="680" w:right="340"/>
        <w:jc w:val="both"/>
        <w:rPr>
          <w:rFonts w:ascii="Times New Roman" w:hAnsi="Times New Roman" w:cs="Times New Roman"/>
          <w:color w:val="000000" w:themeColor="text1"/>
          <w:sz w:val="28"/>
          <w:szCs w:val="28"/>
        </w:rPr>
      </w:pPr>
    </w:p>
    <w:p w14:paraId="0399E841" w14:textId="77777777" w:rsidR="007C6CCB" w:rsidRPr="004F05A9" w:rsidRDefault="007C6CCB" w:rsidP="00F202D0">
      <w:pPr>
        <w:spacing w:line="360" w:lineRule="auto"/>
        <w:ind w:right="340"/>
        <w:rPr>
          <w:rFonts w:ascii="Times New Roman" w:hAnsi="Times New Roman" w:cs="Times New Roman"/>
          <w:sz w:val="28"/>
          <w:szCs w:val="28"/>
        </w:rPr>
      </w:pPr>
      <w:r w:rsidRPr="004F05A9">
        <w:rPr>
          <w:rFonts w:ascii="Times New Roman" w:hAnsi="Times New Roman" w:cs="Times New Roman"/>
          <w:sz w:val="28"/>
          <w:szCs w:val="28"/>
        </w:rPr>
        <w:t>CAPITOLO 1</w:t>
      </w:r>
    </w:p>
    <w:p w14:paraId="116572C7" w14:textId="063F5BC3" w:rsidR="007C6CCB" w:rsidRPr="007C6CCB" w:rsidRDefault="007C6CCB" w:rsidP="007C6CCB">
      <w:pPr>
        <w:pStyle w:val="Paragrafoelenco"/>
        <w:numPr>
          <w:ilvl w:val="1"/>
          <w:numId w:val="31"/>
        </w:numPr>
        <w:spacing w:line="360" w:lineRule="auto"/>
        <w:ind w:right="340"/>
        <w:rPr>
          <w:rFonts w:ascii="Times New Roman" w:hAnsi="Times New Roman" w:cs="Times New Roman"/>
          <w:sz w:val="28"/>
          <w:szCs w:val="28"/>
        </w:rPr>
      </w:pPr>
      <w:r w:rsidRPr="007C6CCB">
        <w:rPr>
          <w:rFonts w:ascii="Times New Roman" w:hAnsi="Times New Roman" w:cs="Times New Roman"/>
          <w:sz w:val="28"/>
          <w:szCs w:val="28"/>
        </w:rPr>
        <w:t>Origine del concetto di missione</w:t>
      </w:r>
      <w:r>
        <w:rPr>
          <w:rFonts w:ascii="Times New Roman" w:hAnsi="Times New Roman" w:cs="Times New Roman"/>
          <w:sz w:val="28"/>
          <w:szCs w:val="28"/>
        </w:rPr>
        <w:t>……………………………………………</w:t>
      </w:r>
      <w:r w:rsidRPr="007C6CCB">
        <w:rPr>
          <w:rFonts w:ascii="Times New Roman" w:hAnsi="Times New Roman" w:cs="Times New Roman"/>
          <w:sz w:val="28"/>
          <w:szCs w:val="28"/>
        </w:rPr>
        <w:t>p</w:t>
      </w:r>
      <w:r>
        <w:rPr>
          <w:rFonts w:ascii="Times New Roman" w:hAnsi="Times New Roman" w:cs="Times New Roman"/>
          <w:sz w:val="28"/>
          <w:szCs w:val="28"/>
        </w:rPr>
        <w:t xml:space="preserve">. </w:t>
      </w:r>
      <w:r w:rsidRPr="007C6CCB">
        <w:rPr>
          <w:rFonts w:ascii="Times New Roman" w:hAnsi="Times New Roman" w:cs="Times New Roman"/>
          <w:sz w:val="28"/>
          <w:szCs w:val="28"/>
        </w:rPr>
        <w:t>5</w:t>
      </w:r>
    </w:p>
    <w:p w14:paraId="53FB3F01" w14:textId="7ABCA57D" w:rsidR="007C6CCB" w:rsidRPr="007C6CCB" w:rsidRDefault="007C6CCB" w:rsidP="007C6CCB">
      <w:pPr>
        <w:pStyle w:val="Paragrafoelenco"/>
        <w:numPr>
          <w:ilvl w:val="1"/>
          <w:numId w:val="31"/>
        </w:numPr>
        <w:spacing w:line="360" w:lineRule="auto"/>
        <w:ind w:right="340"/>
        <w:rPr>
          <w:rFonts w:ascii="Times New Roman" w:hAnsi="Times New Roman" w:cs="Times New Roman"/>
          <w:sz w:val="28"/>
          <w:szCs w:val="28"/>
        </w:rPr>
      </w:pPr>
      <w:r w:rsidRPr="007C6CCB">
        <w:rPr>
          <w:rFonts w:ascii="Times New Roman" w:hAnsi="Times New Roman" w:cs="Times New Roman"/>
          <w:sz w:val="28"/>
          <w:szCs w:val="28"/>
        </w:rPr>
        <w:t xml:space="preserve"> Nascita e descrizione delle attività svolte dalla Sa</w:t>
      </w:r>
      <w:r w:rsidR="003B56D5">
        <w:rPr>
          <w:rFonts w:ascii="Times New Roman" w:hAnsi="Times New Roman" w:cs="Times New Roman"/>
          <w:sz w:val="28"/>
          <w:szCs w:val="28"/>
        </w:rPr>
        <w:t>cra Congregazione di Propaganda…………………………………………………………....</w:t>
      </w:r>
      <w:r>
        <w:rPr>
          <w:rFonts w:ascii="Times New Roman" w:hAnsi="Times New Roman" w:cs="Times New Roman"/>
          <w:sz w:val="28"/>
          <w:szCs w:val="28"/>
        </w:rPr>
        <w:t>…...p. 13</w:t>
      </w:r>
    </w:p>
    <w:p w14:paraId="68ACE96B" w14:textId="1A2BD35F" w:rsidR="007C6CCB" w:rsidRPr="0021782C" w:rsidRDefault="007C6CCB" w:rsidP="007C6CCB">
      <w:pPr>
        <w:pStyle w:val="Paragrafoelenco"/>
        <w:numPr>
          <w:ilvl w:val="1"/>
          <w:numId w:val="30"/>
        </w:numPr>
        <w:spacing w:after="0" w:line="360" w:lineRule="auto"/>
        <w:ind w:right="680"/>
        <w:jc w:val="both"/>
        <w:rPr>
          <w:rFonts w:ascii="Times New Roman" w:hAnsi="Times New Roman" w:cs="Times New Roman"/>
          <w:sz w:val="28"/>
          <w:szCs w:val="28"/>
        </w:rPr>
      </w:pPr>
      <w:r>
        <w:rPr>
          <w:rFonts w:ascii="Times New Roman" w:hAnsi="Times New Roman" w:cs="Times New Roman"/>
          <w:sz w:val="28"/>
          <w:szCs w:val="28"/>
        </w:rPr>
        <w:t xml:space="preserve"> </w:t>
      </w:r>
      <w:r w:rsidRPr="0021782C">
        <w:rPr>
          <w:rFonts w:ascii="Times New Roman" w:hAnsi="Times New Roman" w:cs="Times New Roman"/>
          <w:sz w:val="28"/>
          <w:szCs w:val="28"/>
        </w:rPr>
        <w:t>La nascita della Sacra Congregazione della Chiesa Orientale</w:t>
      </w:r>
      <w:r>
        <w:rPr>
          <w:rFonts w:ascii="Times New Roman" w:hAnsi="Times New Roman" w:cs="Times New Roman"/>
          <w:sz w:val="28"/>
          <w:szCs w:val="28"/>
        </w:rPr>
        <w:t>……………………………………………………………...p. 24</w:t>
      </w:r>
    </w:p>
    <w:p w14:paraId="4C83A8D4" w14:textId="72A2A68B" w:rsidR="007C6CCB" w:rsidRPr="0021782C" w:rsidRDefault="007C6CCB" w:rsidP="007C6CCB">
      <w:pPr>
        <w:pStyle w:val="Paragrafoelenco"/>
        <w:numPr>
          <w:ilvl w:val="1"/>
          <w:numId w:val="30"/>
        </w:numPr>
        <w:spacing w:after="0" w:line="360" w:lineRule="auto"/>
        <w:ind w:left="340" w:right="680"/>
        <w:jc w:val="both"/>
        <w:rPr>
          <w:rFonts w:ascii="Times New Roman" w:hAnsi="Times New Roman" w:cs="Times New Roman"/>
          <w:sz w:val="28"/>
          <w:szCs w:val="28"/>
        </w:rPr>
      </w:pPr>
      <w:r>
        <w:rPr>
          <w:rFonts w:ascii="Times New Roman" w:hAnsi="Times New Roman" w:cs="Times New Roman"/>
          <w:sz w:val="28"/>
          <w:szCs w:val="28"/>
        </w:rPr>
        <w:t xml:space="preserve"> </w:t>
      </w:r>
      <w:r w:rsidRPr="0021782C">
        <w:rPr>
          <w:rFonts w:ascii="Times New Roman" w:hAnsi="Times New Roman" w:cs="Times New Roman"/>
          <w:sz w:val="28"/>
          <w:szCs w:val="28"/>
        </w:rPr>
        <w:t>La descrizione della gerarchia centrale e periferica</w:t>
      </w:r>
      <w:r>
        <w:rPr>
          <w:rFonts w:ascii="Times New Roman" w:hAnsi="Times New Roman" w:cs="Times New Roman"/>
          <w:sz w:val="28"/>
          <w:szCs w:val="28"/>
        </w:rPr>
        <w:t>……………….........p. 27</w:t>
      </w:r>
    </w:p>
    <w:p w14:paraId="71F0A9A0" w14:textId="77777777" w:rsidR="007C6CCB" w:rsidRDefault="007C6CCB" w:rsidP="00F202D0">
      <w:pPr>
        <w:spacing w:line="360" w:lineRule="auto"/>
        <w:ind w:right="340"/>
        <w:rPr>
          <w:rFonts w:ascii="Times New Roman" w:hAnsi="Times New Roman" w:cs="Times New Roman"/>
          <w:sz w:val="28"/>
          <w:szCs w:val="28"/>
        </w:rPr>
      </w:pPr>
    </w:p>
    <w:p w14:paraId="38A84C72" w14:textId="77777777" w:rsidR="007C6CCB" w:rsidRDefault="007C6CCB" w:rsidP="00F202D0">
      <w:pPr>
        <w:spacing w:line="360" w:lineRule="auto"/>
        <w:ind w:right="340"/>
        <w:rPr>
          <w:rFonts w:ascii="Times New Roman" w:hAnsi="Times New Roman" w:cs="Times New Roman"/>
          <w:sz w:val="28"/>
          <w:szCs w:val="28"/>
        </w:rPr>
      </w:pPr>
      <w:r>
        <w:rPr>
          <w:rFonts w:ascii="Times New Roman" w:hAnsi="Times New Roman" w:cs="Times New Roman"/>
          <w:sz w:val="28"/>
          <w:szCs w:val="28"/>
        </w:rPr>
        <w:t>CAPITOLO 2</w:t>
      </w:r>
    </w:p>
    <w:p w14:paraId="2B898BDB" w14:textId="043A2498" w:rsidR="007C6CCB" w:rsidRPr="00D935CC" w:rsidRDefault="007C6CCB" w:rsidP="00F202D0">
      <w:pPr>
        <w:pStyle w:val="Paragrafoelenco"/>
        <w:numPr>
          <w:ilvl w:val="1"/>
          <w:numId w:val="3"/>
        </w:numPr>
        <w:spacing w:after="100" w:afterAutospacing="1" w:line="360" w:lineRule="auto"/>
        <w:ind w:left="340" w:right="680"/>
        <w:jc w:val="both"/>
        <w:rPr>
          <w:rFonts w:ascii="Times New Roman" w:hAnsi="Times New Roman" w:cs="Times New Roman"/>
          <w:sz w:val="28"/>
          <w:szCs w:val="28"/>
        </w:rPr>
      </w:pPr>
      <w:r w:rsidRPr="00D935CC">
        <w:rPr>
          <w:rFonts w:ascii="Times New Roman" w:hAnsi="Times New Roman" w:cs="Times New Roman"/>
          <w:sz w:val="28"/>
          <w:szCs w:val="28"/>
        </w:rPr>
        <w:t>L’evangelizzazione in India e Indocina</w:t>
      </w:r>
      <w:r>
        <w:rPr>
          <w:rFonts w:ascii="Times New Roman" w:hAnsi="Times New Roman" w:cs="Times New Roman"/>
          <w:sz w:val="28"/>
          <w:szCs w:val="28"/>
        </w:rPr>
        <w:t>…………………………………p. 34</w:t>
      </w:r>
    </w:p>
    <w:p w14:paraId="56C70D40" w14:textId="39719E4C" w:rsidR="007C6CCB" w:rsidRDefault="007C6CCB" w:rsidP="00F202D0">
      <w:pPr>
        <w:pStyle w:val="Paragrafoelenco"/>
        <w:numPr>
          <w:ilvl w:val="1"/>
          <w:numId w:val="3"/>
        </w:numPr>
        <w:spacing w:line="360" w:lineRule="auto"/>
        <w:ind w:left="340" w:right="680"/>
        <w:jc w:val="both"/>
        <w:rPr>
          <w:rFonts w:ascii="Times New Roman" w:hAnsi="Times New Roman" w:cs="Times New Roman"/>
          <w:sz w:val="28"/>
          <w:szCs w:val="28"/>
        </w:rPr>
      </w:pPr>
      <w:r w:rsidRPr="00D935CC">
        <w:rPr>
          <w:rFonts w:ascii="Times New Roman" w:hAnsi="Times New Roman" w:cs="Times New Roman"/>
          <w:sz w:val="28"/>
          <w:szCs w:val="28"/>
        </w:rPr>
        <w:t>L’evangelizzazione in Cina e Giappone</w:t>
      </w:r>
      <w:r>
        <w:rPr>
          <w:rFonts w:ascii="Times New Roman" w:hAnsi="Times New Roman" w:cs="Times New Roman"/>
          <w:sz w:val="28"/>
          <w:szCs w:val="28"/>
        </w:rPr>
        <w:t>…………………………………p.43</w:t>
      </w:r>
    </w:p>
    <w:p w14:paraId="2D542F09" w14:textId="77777777" w:rsidR="007C6CCB" w:rsidRPr="00304B3B" w:rsidRDefault="007C6CCB" w:rsidP="00F202D0">
      <w:pPr>
        <w:pStyle w:val="Paragrafoelenco"/>
        <w:spacing w:line="360" w:lineRule="auto"/>
        <w:ind w:left="340" w:right="680"/>
        <w:jc w:val="both"/>
        <w:rPr>
          <w:rFonts w:ascii="Times New Roman" w:hAnsi="Times New Roman" w:cs="Times New Roman"/>
          <w:sz w:val="28"/>
          <w:szCs w:val="28"/>
        </w:rPr>
      </w:pPr>
    </w:p>
    <w:p w14:paraId="119D3D7F" w14:textId="77777777" w:rsidR="007C6CCB" w:rsidRDefault="007C6CCB" w:rsidP="00F202D0">
      <w:pPr>
        <w:spacing w:line="360" w:lineRule="auto"/>
        <w:ind w:right="340"/>
        <w:rPr>
          <w:rFonts w:ascii="Times New Roman" w:hAnsi="Times New Roman" w:cs="Times New Roman"/>
          <w:sz w:val="28"/>
          <w:szCs w:val="28"/>
        </w:rPr>
      </w:pPr>
      <w:r>
        <w:rPr>
          <w:rFonts w:ascii="Times New Roman" w:hAnsi="Times New Roman" w:cs="Times New Roman"/>
          <w:sz w:val="28"/>
          <w:szCs w:val="28"/>
        </w:rPr>
        <w:t>CAPITOLO 3</w:t>
      </w:r>
    </w:p>
    <w:p w14:paraId="584CE0B7" w14:textId="570163D6" w:rsidR="007C6CCB" w:rsidRPr="00103D76" w:rsidRDefault="007C6CCB" w:rsidP="007C6CCB">
      <w:pPr>
        <w:pStyle w:val="Paragrafoelenco"/>
        <w:numPr>
          <w:ilvl w:val="1"/>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3D76">
        <w:rPr>
          <w:rFonts w:ascii="Times New Roman" w:hAnsi="Times New Roman" w:cs="Times New Roman"/>
          <w:sz w:val="28"/>
          <w:szCs w:val="28"/>
        </w:rPr>
        <w:t>Le circoscrizioni ecclesiastiche</w:t>
      </w:r>
      <w:r>
        <w:rPr>
          <w:rFonts w:ascii="Times New Roman" w:hAnsi="Times New Roman" w:cs="Times New Roman"/>
          <w:sz w:val="28"/>
          <w:szCs w:val="28"/>
        </w:rPr>
        <w:t>………………………………………....p. 56</w:t>
      </w:r>
    </w:p>
    <w:p w14:paraId="1855B36F" w14:textId="5FE0A783"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103D76">
        <w:rPr>
          <w:rFonts w:ascii="Times New Roman" w:hAnsi="Times New Roman" w:cs="Times New Roman"/>
          <w:sz w:val="28"/>
          <w:szCs w:val="28"/>
        </w:rPr>
        <w:t>La mutazione dei confini</w:t>
      </w:r>
      <w:r>
        <w:rPr>
          <w:rFonts w:ascii="Times New Roman" w:hAnsi="Times New Roman" w:cs="Times New Roman"/>
          <w:sz w:val="28"/>
          <w:szCs w:val="28"/>
        </w:rPr>
        <w:t>……………………………………………......p. 58</w:t>
      </w:r>
    </w:p>
    <w:p w14:paraId="2AD172D5" w14:textId="1B660CC8"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Pr="00103D76">
        <w:rPr>
          <w:rFonts w:ascii="Times New Roman" w:hAnsi="Times New Roman" w:cs="Times New Roman"/>
          <w:sz w:val="28"/>
          <w:szCs w:val="28"/>
        </w:rPr>
        <w:t>Africa</w:t>
      </w:r>
      <w:r>
        <w:rPr>
          <w:rFonts w:ascii="Times New Roman" w:hAnsi="Times New Roman" w:cs="Times New Roman"/>
          <w:sz w:val="28"/>
          <w:szCs w:val="28"/>
        </w:rPr>
        <w:t>……………………………………………………………………p. 59</w:t>
      </w:r>
    </w:p>
    <w:p w14:paraId="402F101F" w14:textId="565D2BA8" w:rsidR="007C6CCB" w:rsidRPr="00E15932"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2.3 </w:t>
      </w:r>
      <w:r w:rsidRPr="00E15932">
        <w:rPr>
          <w:rFonts w:ascii="Times New Roman" w:hAnsi="Times New Roman" w:cs="Times New Roman"/>
          <w:sz w:val="28"/>
          <w:szCs w:val="28"/>
        </w:rPr>
        <w:t>Asia</w:t>
      </w:r>
      <w:r>
        <w:rPr>
          <w:rFonts w:ascii="Times New Roman" w:hAnsi="Times New Roman" w:cs="Times New Roman"/>
          <w:sz w:val="28"/>
          <w:szCs w:val="28"/>
        </w:rPr>
        <w:t>……………………………………………………………………...p. 72</w:t>
      </w:r>
    </w:p>
    <w:p w14:paraId="688A5EAF" w14:textId="40359322"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2.3.1 </w:t>
      </w:r>
      <w:r w:rsidRPr="00103D76">
        <w:rPr>
          <w:rFonts w:ascii="Times New Roman" w:hAnsi="Times New Roman" w:cs="Times New Roman"/>
          <w:sz w:val="28"/>
          <w:szCs w:val="28"/>
        </w:rPr>
        <w:t>India</w:t>
      </w:r>
      <w:r>
        <w:rPr>
          <w:rFonts w:ascii="Times New Roman" w:hAnsi="Times New Roman" w:cs="Times New Roman"/>
          <w:sz w:val="28"/>
          <w:szCs w:val="28"/>
        </w:rPr>
        <w:t>………………</w:t>
      </w:r>
      <w:r w:rsidR="00F202D0">
        <w:rPr>
          <w:rFonts w:ascii="Times New Roman" w:hAnsi="Times New Roman" w:cs="Times New Roman"/>
          <w:sz w:val="28"/>
          <w:szCs w:val="28"/>
        </w:rPr>
        <w:t>…………………………………………………...p. 73</w:t>
      </w:r>
    </w:p>
    <w:p w14:paraId="1F5F4F38" w14:textId="55ED59A9"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2.3.2 </w:t>
      </w:r>
      <w:r w:rsidRPr="00103D76">
        <w:rPr>
          <w:rFonts w:ascii="Times New Roman" w:hAnsi="Times New Roman" w:cs="Times New Roman"/>
          <w:sz w:val="28"/>
          <w:szCs w:val="28"/>
        </w:rPr>
        <w:t>Indocina</w:t>
      </w:r>
      <w:r w:rsidR="00F202D0">
        <w:rPr>
          <w:rFonts w:ascii="Times New Roman" w:hAnsi="Times New Roman" w:cs="Times New Roman"/>
          <w:sz w:val="28"/>
          <w:szCs w:val="28"/>
        </w:rPr>
        <w:t>……………………………………………………………</w:t>
      </w:r>
      <w:r w:rsidR="004F05A9">
        <w:rPr>
          <w:rFonts w:ascii="Times New Roman" w:hAnsi="Times New Roman" w:cs="Times New Roman"/>
          <w:sz w:val="28"/>
          <w:szCs w:val="28"/>
        </w:rPr>
        <w:t>....</w:t>
      </w:r>
      <w:r w:rsidR="00F202D0">
        <w:rPr>
          <w:rFonts w:ascii="Times New Roman" w:hAnsi="Times New Roman" w:cs="Times New Roman"/>
          <w:sz w:val="28"/>
          <w:szCs w:val="28"/>
        </w:rPr>
        <w:t>.p. 79</w:t>
      </w:r>
    </w:p>
    <w:p w14:paraId="266EE38C" w14:textId="2CDBEFD9"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2.3.3 </w:t>
      </w:r>
      <w:r w:rsidRPr="00103D76">
        <w:rPr>
          <w:rFonts w:ascii="Times New Roman" w:hAnsi="Times New Roman" w:cs="Times New Roman"/>
          <w:sz w:val="28"/>
          <w:szCs w:val="28"/>
        </w:rPr>
        <w:t>Cina</w:t>
      </w:r>
      <w:r w:rsidR="00F202D0">
        <w:rPr>
          <w:rFonts w:ascii="Times New Roman" w:hAnsi="Times New Roman" w:cs="Times New Roman"/>
          <w:sz w:val="28"/>
          <w:szCs w:val="28"/>
        </w:rPr>
        <w:t>……………………………………………………………………p. 82</w:t>
      </w:r>
    </w:p>
    <w:p w14:paraId="071C414A" w14:textId="52B831AF"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2.3.4 </w:t>
      </w:r>
      <w:r w:rsidRPr="00103D76">
        <w:rPr>
          <w:rFonts w:ascii="Times New Roman" w:hAnsi="Times New Roman" w:cs="Times New Roman"/>
          <w:sz w:val="28"/>
          <w:szCs w:val="28"/>
        </w:rPr>
        <w:t>Giappone</w:t>
      </w:r>
      <w:r w:rsidR="00F202D0">
        <w:rPr>
          <w:rFonts w:ascii="Times New Roman" w:hAnsi="Times New Roman" w:cs="Times New Roman"/>
          <w:sz w:val="28"/>
          <w:szCs w:val="28"/>
        </w:rPr>
        <w:t>………………………………………………………………p. 86</w:t>
      </w:r>
    </w:p>
    <w:p w14:paraId="620155AC" w14:textId="52556AFC" w:rsidR="007C6CCB" w:rsidRPr="00E15932"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2.4 </w:t>
      </w:r>
      <w:r w:rsidRPr="00E15932">
        <w:rPr>
          <w:rFonts w:ascii="Times New Roman" w:hAnsi="Times New Roman" w:cs="Times New Roman"/>
          <w:sz w:val="28"/>
          <w:szCs w:val="28"/>
        </w:rPr>
        <w:t>America</w:t>
      </w:r>
      <w:r w:rsidR="00F202D0">
        <w:rPr>
          <w:rFonts w:ascii="Times New Roman" w:hAnsi="Times New Roman" w:cs="Times New Roman"/>
          <w:sz w:val="28"/>
          <w:szCs w:val="28"/>
        </w:rPr>
        <w:t>………………………………………………………………</w:t>
      </w:r>
      <w:r w:rsidR="004F05A9">
        <w:rPr>
          <w:rFonts w:ascii="Times New Roman" w:hAnsi="Times New Roman" w:cs="Times New Roman"/>
          <w:sz w:val="28"/>
          <w:szCs w:val="28"/>
        </w:rPr>
        <w:t>....</w:t>
      </w:r>
      <w:r w:rsidR="00F202D0">
        <w:rPr>
          <w:rFonts w:ascii="Times New Roman" w:hAnsi="Times New Roman" w:cs="Times New Roman"/>
          <w:sz w:val="28"/>
          <w:szCs w:val="28"/>
        </w:rPr>
        <w:t>.p. 88</w:t>
      </w:r>
    </w:p>
    <w:p w14:paraId="6840A49D" w14:textId="5DC2BB31"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2.4.1 </w:t>
      </w:r>
      <w:r w:rsidRPr="00103D76">
        <w:rPr>
          <w:rFonts w:ascii="Times New Roman" w:hAnsi="Times New Roman" w:cs="Times New Roman"/>
          <w:sz w:val="28"/>
          <w:szCs w:val="28"/>
        </w:rPr>
        <w:t>America del Nord</w:t>
      </w:r>
      <w:r w:rsidR="00F202D0">
        <w:rPr>
          <w:rFonts w:ascii="Times New Roman" w:hAnsi="Times New Roman" w:cs="Times New Roman"/>
          <w:sz w:val="28"/>
          <w:szCs w:val="28"/>
        </w:rPr>
        <w:t>……………………………………………………...p. 89</w:t>
      </w:r>
    </w:p>
    <w:p w14:paraId="12F801EA" w14:textId="51EE1645"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2.4.2 </w:t>
      </w:r>
      <w:r w:rsidRPr="00103D76">
        <w:rPr>
          <w:rFonts w:ascii="Times New Roman" w:hAnsi="Times New Roman" w:cs="Times New Roman"/>
          <w:sz w:val="28"/>
          <w:szCs w:val="28"/>
        </w:rPr>
        <w:t>America del Sud</w:t>
      </w:r>
      <w:r w:rsidR="00F202D0">
        <w:rPr>
          <w:rFonts w:ascii="Times New Roman" w:hAnsi="Times New Roman" w:cs="Times New Roman"/>
          <w:sz w:val="28"/>
          <w:szCs w:val="28"/>
        </w:rPr>
        <w:t>……………………………………………………….p. 90</w:t>
      </w:r>
    </w:p>
    <w:p w14:paraId="4F6E308B" w14:textId="18A11390"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2.4.3 </w:t>
      </w:r>
      <w:r w:rsidRPr="00103D76">
        <w:rPr>
          <w:rFonts w:ascii="Times New Roman" w:hAnsi="Times New Roman" w:cs="Times New Roman"/>
          <w:sz w:val="28"/>
          <w:szCs w:val="28"/>
        </w:rPr>
        <w:t>America centrale</w:t>
      </w:r>
      <w:r w:rsidR="00F202D0">
        <w:rPr>
          <w:rFonts w:ascii="Times New Roman" w:hAnsi="Times New Roman" w:cs="Times New Roman"/>
          <w:sz w:val="28"/>
          <w:szCs w:val="28"/>
        </w:rPr>
        <w:t>……………………………………………………….p. 93</w:t>
      </w:r>
    </w:p>
    <w:p w14:paraId="514929B9" w14:textId="3CAA50C4"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2.5 </w:t>
      </w:r>
      <w:r w:rsidRPr="00103D76">
        <w:rPr>
          <w:rFonts w:ascii="Times New Roman" w:hAnsi="Times New Roman" w:cs="Times New Roman"/>
          <w:sz w:val="28"/>
          <w:szCs w:val="28"/>
        </w:rPr>
        <w:t>Oceania</w:t>
      </w:r>
      <w:r w:rsidR="00F202D0">
        <w:rPr>
          <w:rFonts w:ascii="Times New Roman" w:hAnsi="Times New Roman" w:cs="Times New Roman"/>
          <w:sz w:val="28"/>
          <w:szCs w:val="28"/>
        </w:rPr>
        <w:t>…………………………………………………………………..p. 94</w:t>
      </w:r>
    </w:p>
    <w:p w14:paraId="7ED28741" w14:textId="2C532166" w:rsidR="007C6CCB" w:rsidRPr="00103D76"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2.5.1 </w:t>
      </w:r>
      <w:r w:rsidRPr="00103D76">
        <w:rPr>
          <w:rFonts w:ascii="Times New Roman" w:hAnsi="Times New Roman" w:cs="Times New Roman"/>
          <w:sz w:val="28"/>
          <w:szCs w:val="28"/>
        </w:rPr>
        <w:t>Nuova Guinea</w:t>
      </w:r>
      <w:r w:rsidR="00F202D0">
        <w:rPr>
          <w:rFonts w:ascii="Times New Roman" w:hAnsi="Times New Roman" w:cs="Times New Roman"/>
          <w:sz w:val="28"/>
          <w:szCs w:val="28"/>
        </w:rPr>
        <w:t>……………………………………………………….....p. 95</w:t>
      </w:r>
    </w:p>
    <w:p w14:paraId="6D9BBBC7" w14:textId="329997E4" w:rsidR="007C6CCB" w:rsidRPr="00E15932" w:rsidRDefault="007C6CCB" w:rsidP="00F2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2.6 Conclusioni</w:t>
      </w:r>
      <w:r w:rsidR="00F202D0">
        <w:rPr>
          <w:rFonts w:ascii="Times New Roman" w:hAnsi="Times New Roman" w:cs="Times New Roman"/>
          <w:sz w:val="28"/>
          <w:szCs w:val="28"/>
        </w:rPr>
        <w:t>………………………………………………………………p. 99</w:t>
      </w:r>
    </w:p>
    <w:p w14:paraId="0A7FA22E" w14:textId="77777777" w:rsidR="007C6CCB" w:rsidRDefault="007C6CCB" w:rsidP="00F202D0">
      <w:pPr>
        <w:spacing w:line="360" w:lineRule="auto"/>
        <w:ind w:right="340"/>
        <w:rPr>
          <w:rFonts w:ascii="Times New Roman" w:hAnsi="Times New Roman" w:cs="Times New Roman"/>
          <w:sz w:val="28"/>
          <w:szCs w:val="28"/>
        </w:rPr>
      </w:pPr>
      <w:r>
        <w:rPr>
          <w:rFonts w:ascii="Times New Roman" w:hAnsi="Times New Roman" w:cs="Times New Roman"/>
          <w:sz w:val="28"/>
          <w:szCs w:val="28"/>
        </w:rPr>
        <w:t xml:space="preserve"> </w:t>
      </w:r>
    </w:p>
    <w:p w14:paraId="5D7D6CF1" w14:textId="77777777" w:rsidR="007C6CCB" w:rsidRDefault="007C6CCB" w:rsidP="00F202D0">
      <w:pPr>
        <w:spacing w:line="360" w:lineRule="auto"/>
        <w:ind w:right="340"/>
        <w:rPr>
          <w:rFonts w:ascii="Times New Roman" w:hAnsi="Times New Roman" w:cs="Times New Roman"/>
          <w:sz w:val="28"/>
          <w:szCs w:val="28"/>
        </w:rPr>
      </w:pPr>
    </w:p>
    <w:p w14:paraId="2FC9362A" w14:textId="77777777" w:rsidR="007C6CCB" w:rsidRDefault="007C6CCB" w:rsidP="00F202D0">
      <w:pPr>
        <w:spacing w:line="360" w:lineRule="auto"/>
        <w:ind w:right="340"/>
        <w:rPr>
          <w:rFonts w:ascii="Times New Roman" w:hAnsi="Times New Roman" w:cs="Times New Roman"/>
          <w:sz w:val="28"/>
          <w:szCs w:val="28"/>
        </w:rPr>
      </w:pPr>
      <w:r>
        <w:rPr>
          <w:rFonts w:ascii="Times New Roman" w:hAnsi="Times New Roman" w:cs="Times New Roman"/>
          <w:sz w:val="28"/>
          <w:szCs w:val="28"/>
        </w:rPr>
        <w:t>CAPITOLO 4</w:t>
      </w:r>
    </w:p>
    <w:p w14:paraId="552FB037" w14:textId="4DED5532" w:rsidR="007C6CCB" w:rsidRPr="000248D1" w:rsidRDefault="007C6CCB" w:rsidP="007C6CCB">
      <w:pPr>
        <w:pStyle w:val="Paragrafoelenco"/>
        <w:numPr>
          <w:ilvl w:val="1"/>
          <w:numId w:val="9"/>
        </w:num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Nuove istituzioni e organi centrali e periferici</w:t>
      </w:r>
      <w:r w:rsidR="00F202D0">
        <w:rPr>
          <w:rFonts w:ascii="Times New Roman" w:hAnsi="Times New Roman" w:cs="Times New Roman"/>
          <w:sz w:val="28"/>
          <w:szCs w:val="28"/>
        </w:rPr>
        <w:t>………………………....p. 103</w:t>
      </w:r>
    </w:p>
    <w:p w14:paraId="21880859" w14:textId="7EAC8AFC" w:rsidR="007C6CCB" w:rsidRDefault="007C6CCB" w:rsidP="007C6CCB">
      <w:pPr>
        <w:pStyle w:val="Paragrafoelenco"/>
        <w:numPr>
          <w:ilvl w:val="2"/>
          <w:numId w:val="12"/>
        </w:numPr>
        <w:spacing w:after="0" w:line="360" w:lineRule="auto"/>
        <w:ind w:right="340"/>
        <w:jc w:val="both"/>
        <w:rPr>
          <w:rFonts w:ascii="Times New Roman" w:hAnsi="Times New Roman" w:cs="Times New Roman"/>
          <w:sz w:val="28"/>
          <w:szCs w:val="28"/>
        </w:rPr>
      </w:pPr>
      <w:r w:rsidRPr="00083EC9">
        <w:rPr>
          <w:rFonts w:ascii="Times New Roman" w:hAnsi="Times New Roman" w:cs="Times New Roman"/>
          <w:sz w:val="28"/>
          <w:szCs w:val="28"/>
        </w:rPr>
        <w:t>Creazione e modifica degli istituti missionari</w:t>
      </w:r>
      <w:r w:rsidR="00F202D0">
        <w:rPr>
          <w:rFonts w:ascii="Times New Roman" w:hAnsi="Times New Roman" w:cs="Times New Roman"/>
          <w:sz w:val="28"/>
          <w:szCs w:val="28"/>
        </w:rPr>
        <w:t>...............................p. 104</w:t>
      </w:r>
    </w:p>
    <w:p w14:paraId="7AB4F40D" w14:textId="4AC720B5" w:rsidR="007C6CCB" w:rsidRPr="00083EC9" w:rsidRDefault="007C6CCB" w:rsidP="007C6CCB">
      <w:pPr>
        <w:pStyle w:val="Paragrafoelenco"/>
        <w:numPr>
          <w:ilvl w:val="2"/>
          <w:numId w:val="12"/>
        </w:numPr>
        <w:spacing w:after="0" w:line="360" w:lineRule="auto"/>
        <w:ind w:right="340"/>
        <w:jc w:val="both"/>
        <w:rPr>
          <w:rFonts w:ascii="Times New Roman" w:hAnsi="Times New Roman" w:cs="Times New Roman"/>
          <w:sz w:val="28"/>
          <w:szCs w:val="28"/>
        </w:rPr>
      </w:pPr>
      <w:r w:rsidRPr="00083EC9">
        <w:rPr>
          <w:rFonts w:ascii="Times New Roman" w:hAnsi="Times New Roman" w:cs="Times New Roman"/>
          <w:sz w:val="28"/>
          <w:szCs w:val="28"/>
        </w:rPr>
        <w:t>Statuto giuridico del personale missionario</w:t>
      </w:r>
      <w:r w:rsidR="00F202D0">
        <w:rPr>
          <w:rFonts w:ascii="Times New Roman" w:hAnsi="Times New Roman" w:cs="Times New Roman"/>
          <w:sz w:val="28"/>
          <w:szCs w:val="28"/>
        </w:rPr>
        <w:t>...................................p. 112</w:t>
      </w:r>
    </w:p>
    <w:p w14:paraId="0B039FFF" w14:textId="687199BC" w:rsidR="007C6CCB" w:rsidRPr="000248D1" w:rsidRDefault="007C6CCB" w:rsidP="00F202D0">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1.1.3 </w:t>
      </w:r>
      <w:r w:rsidRPr="000248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48D1">
        <w:rPr>
          <w:rFonts w:ascii="Times New Roman" w:hAnsi="Times New Roman" w:cs="Times New Roman"/>
          <w:sz w:val="28"/>
          <w:szCs w:val="28"/>
        </w:rPr>
        <w:t>Pontificie Opere Missionarie</w:t>
      </w:r>
      <w:r w:rsidR="00F202D0">
        <w:rPr>
          <w:rFonts w:ascii="Times New Roman" w:hAnsi="Times New Roman" w:cs="Times New Roman"/>
          <w:sz w:val="28"/>
          <w:szCs w:val="28"/>
        </w:rPr>
        <w:t>.........................................................p. 114</w:t>
      </w:r>
    </w:p>
    <w:p w14:paraId="251DA41F" w14:textId="51816DAF" w:rsidR="007C6CCB" w:rsidRDefault="007C6CCB" w:rsidP="00F202D0">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1.1.4 </w:t>
      </w:r>
      <w:r w:rsidRPr="000248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48D1">
        <w:rPr>
          <w:rFonts w:ascii="Times New Roman" w:hAnsi="Times New Roman" w:cs="Times New Roman"/>
          <w:sz w:val="28"/>
          <w:szCs w:val="28"/>
        </w:rPr>
        <w:t>L’organizzazione di Propaganda Fide e le strutture dipendenti</w:t>
      </w:r>
      <w:r w:rsidR="00F202D0">
        <w:rPr>
          <w:rFonts w:ascii="Times New Roman" w:hAnsi="Times New Roman" w:cs="Times New Roman"/>
          <w:sz w:val="28"/>
          <w:szCs w:val="28"/>
        </w:rPr>
        <w:t>................................................................................................p. 126</w:t>
      </w:r>
    </w:p>
    <w:p w14:paraId="7D2E12B9" w14:textId="41AF74FA" w:rsidR="007C6CCB" w:rsidRPr="000248D1" w:rsidRDefault="007C6CCB" w:rsidP="00F202D0">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1.1.5   </w:t>
      </w:r>
      <w:r w:rsidRPr="000248D1">
        <w:rPr>
          <w:rFonts w:ascii="Times New Roman" w:hAnsi="Times New Roman" w:cs="Times New Roman"/>
          <w:sz w:val="28"/>
          <w:szCs w:val="28"/>
        </w:rPr>
        <w:t>Le nuove associazioni e congregazioni religiose</w:t>
      </w:r>
      <w:r w:rsidR="00F202D0">
        <w:rPr>
          <w:rFonts w:ascii="Times New Roman" w:hAnsi="Times New Roman" w:cs="Times New Roman"/>
          <w:sz w:val="28"/>
          <w:szCs w:val="28"/>
        </w:rPr>
        <w:t>.........................p. 131</w:t>
      </w:r>
    </w:p>
    <w:p w14:paraId="6B913EC3" w14:textId="0E6FC1C3" w:rsidR="007C6CCB" w:rsidRDefault="007C6CCB" w:rsidP="00F202D0">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1.1.6 </w:t>
      </w:r>
      <w:r w:rsidRPr="000248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48D1">
        <w:rPr>
          <w:rFonts w:ascii="Times New Roman" w:hAnsi="Times New Roman" w:cs="Times New Roman"/>
          <w:sz w:val="28"/>
          <w:szCs w:val="28"/>
        </w:rPr>
        <w:t>Le iniziative per la raccolta di fondi per le missioni</w:t>
      </w:r>
      <w:r w:rsidR="00F202D0">
        <w:rPr>
          <w:rFonts w:ascii="Times New Roman" w:hAnsi="Times New Roman" w:cs="Times New Roman"/>
          <w:sz w:val="28"/>
          <w:szCs w:val="28"/>
        </w:rPr>
        <w:t>....................p. 133</w:t>
      </w:r>
    </w:p>
    <w:p w14:paraId="3E21ACE9" w14:textId="77777777" w:rsidR="007C6CCB" w:rsidRPr="000248D1" w:rsidRDefault="007C6CCB" w:rsidP="00F202D0">
      <w:pPr>
        <w:spacing w:after="0" w:line="360" w:lineRule="auto"/>
        <w:ind w:left="680" w:right="340"/>
        <w:jc w:val="both"/>
        <w:rPr>
          <w:rFonts w:ascii="Times New Roman" w:hAnsi="Times New Roman" w:cs="Times New Roman"/>
          <w:sz w:val="28"/>
          <w:szCs w:val="28"/>
        </w:rPr>
      </w:pPr>
    </w:p>
    <w:p w14:paraId="2CF33A0B" w14:textId="57286A95" w:rsidR="007C6CCB" w:rsidRDefault="007C6CCB" w:rsidP="007C6CCB">
      <w:pPr>
        <w:pStyle w:val="Paragrafoelenco"/>
        <w:numPr>
          <w:ilvl w:val="1"/>
          <w:numId w:val="10"/>
        </w:num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 Legislazione missionaria</w:t>
      </w:r>
      <w:r w:rsidR="00F202D0">
        <w:rPr>
          <w:rFonts w:ascii="Times New Roman" w:hAnsi="Times New Roman" w:cs="Times New Roman"/>
          <w:sz w:val="28"/>
          <w:szCs w:val="28"/>
        </w:rPr>
        <w:t>........................................................................p. 134</w:t>
      </w:r>
    </w:p>
    <w:p w14:paraId="0A0671D8" w14:textId="4E24B7D6" w:rsidR="007C6CCB" w:rsidRDefault="007C6CCB" w:rsidP="007C6CCB">
      <w:pPr>
        <w:pStyle w:val="Paragrafoelenco"/>
        <w:numPr>
          <w:ilvl w:val="2"/>
          <w:numId w:val="10"/>
        </w:numPr>
        <w:spacing w:after="0" w:line="360" w:lineRule="auto"/>
        <w:ind w:right="340"/>
        <w:jc w:val="both"/>
        <w:rPr>
          <w:rFonts w:ascii="Times New Roman" w:hAnsi="Times New Roman" w:cs="Times New Roman"/>
          <w:sz w:val="28"/>
          <w:szCs w:val="28"/>
        </w:rPr>
      </w:pPr>
      <w:r w:rsidRPr="00083EC9">
        <w:rPr>
          <w:rFonts w:ascii="Times New Roman" w:hAnsi="Times New Roman" w:cs="Times New Roman"/>
          <w:sz w:val="28"/>
          <w:szCs w:val="28"/>
        </w:rPr>
        <w:t>Organizzazione ecclesiastica delle missioni</w:t>
      </w:r>
      <w:r w:rsidR="00F202D0">
        <w:rPr>
          <w:rFonts w:ascii="Times New Roman" w:hAnsi="Times New Roman" w:cs="Times New Roman"/>
          <w:sz w:val="28"/>
          <w:szCs w:val="28"/>
        </w:rPr>
        <w:t>..................................p. 135</w:t>
      </w:r>
    </w:p>
    <w:p w14:paraId="344A27A3" w14:textId="5BFA1F73" w:rsidR="007C6CCB" w:rsidRPr="003A1F35" w:rsidRDefault="007C6CCB" w:rsidP="007C6CCB">
      <w:pPr>
        <w:pStyle w:val="Paragrafoelenco"/>
        <w:numPr>
          <w:ilvl w:val="2"/>
          <w:numId w:val="10"/>
        </w:numPr>
        <w:spacing w:after="0" w:line="360" w:lineRule="auto"/>
        <w:ind w:right="340"/>
        <w:jc w:val="both"/>
        <w:rPr>
          <w:rFonts w:ascii="Times New Roman" w:hAnsi="Times New Roman" w:cs="Times New Roman"/>
          <w:sz w:val="28"/>
          <w:szCs w:val="28"/>
        </w:rPr>
      </w:pPr>
      <w:r w:rsidRPr="003A1F35">
        <w:rPr>
          <w:rFonts w:ascii="Times New Roman" w:hAnsi="Times New Roman" w:cs="Times New Roman"/>
          <w:sz w:val="28"/>
          <w:szCs w:val="28"/>
        </w:rPr>
        <w:t>Relazioni quinquennali sullo stato delle missioni</w:t>
      </w:r>
      <w:r w:rsidR="00F202D0">
        <w:rPr>
          <w:rFonts w:ascii="Times New Roman" w:hAnsi="Times New Roman" w:cs="Times New Roman"/>
          <w:sz w:val="28"/>
          <w:szCs w:val="28"/>
        </w:rPr>
        <w:t>..........................p. 136</w:t>
      </w:r>
    </w:p>
    <w:p w14:paraId="1BDF6C96" w14:textId="16891710" w:rsidR="007C6CCB" w:rsidRDefault="007C6CCB" w:rsidP="007C6CCB">
      <w:pPr>
        <w:pStyle w:val="Paragrafoelenco"/>
        <w:numPr>
          <w:ilvl w:val="2"/>
          <w:numId w:val="10"/>
        </w:numPr>
        <w:spacing w:after="0" w:line="360" w:lineRule="auto"/>
        <w:ind w:right="340"/>
        <w:jc w:val="both"/>
        <w:rPr>
          <w:rFonts w:ascii="Times New Roman" w:hAnsi="Times New Roman" w:cs="Times New Roman"/>
          <w:sz w:val="28"/>
          <w:szCs w:val="28"/>
        </w:rPr>
      </w:pPr>
      <w:r>
        <w:rPr>
          <w:rFonts w:ascii="Times New Roman" w:hAnsi="Times New Roman" w:cs="Times New Roman"/>
          <w:sz w:val="28"/>
          <w:szCs w:val="28"/>
        </w:rPr>
        <w:t>Creazione di nuova missione</w:t>
      </w:r>
      <w:r w:rsidR="00F202D0">
        <w:rPr>
          <w:rFonts w:ascii="Times New Roman" w:hAnsi="Times New Roman" w:cs="Times New Roman"/>
          <w:sz w:val="28"/>
          <w:szCs w:val="28"/>
        </w:rPr>
        <w:t>.........................................................p. 138</w:t>
      </w:r>
    </w:p>
    <w:p w14:paraId="65557E32" w14:textId="77777777" w:rsidR="007C6CCB" w:rsidRPr="003A1F35" w:rsidRDefault="007C6CCB" w:rsidP="00F202D0">
      <w:pPr>
        <w:spacing w:after="0" w:line="360" w:lineRule="auto"/>
        <w:ind w:right="340"/>
        <w:jc w:val="both"/>
        <w:rPr>
          <w:rFonts w:ascii="Times New Roman" w:hAnsi="Times New Roman" w:cs="Times New Roman"/>
          <w:sz w:val="28"/>
          <w:szCs w:val="28"/>
        </w:rPr>
      </w:pPr>
    </w:p>
    <w:p w14:paraId="1BD73DDA" w14:textId="57D6646D" w:rsidR="007C6CCB" w:rsidRDefault="007C6CCB" w:rsidP="007C6CCB">
      <w:pPr>
        <w:pStyle w:val="Paragrafoelenco"/>
        <w:numPr>
          <w:ilvl w:val="1"/>
          <w:numId w:val="10"/>
        </w:numPr>
        <w:spacing w:after="0" w:line="360" w:lineRule="auto"/>
        <w:ind w:right="340"/>
        <w:jc w:val="both"/>
        <w:rPr>
          <w:rFonts w:ascii="Times New Roman" w:hAnsi="Times New Roman" w:cs="Times New Roman"/>
          <w:sz w:val="28"/>
          <w:szCs w:val="28"/>
        </w:rPr>
      </w:pPr>
      <w:r>
        <w:rPr>
          <w:rFonts w:ascii="Times New Roman" w:hAnsi="Times New Roman" w:cs="Times New Roman"/>
          <w:sz w:val="28"/>
          <w:szCs w:val="28"/>
        </w:rPr>
        <w:t xml:space="preserve"> </w:t>
      </w:r>
      <w:r w:rsidRPr="00083EC9">
        <w:rPr>
          <w:rFonts w:ascii="Times New Roman" w:hAnsi="Times New Roman" w:cs="Times New Roman"/>
          <w:sz w:val="28"/>
          <w:szCs w:val="28"/>
        </w:rPr>
        <w:t>Legislazione sui missiona</w:t>
      </w:r>
      <w:r>
        <w:rPr>
          <w:rFonts w:ascii="Times New Roman" w:hAnsi="Times New Roman" w:cs="Times New Roman"/>
          <w:sz w:val="28"/>
          <w:szCs w:val="28"/>
        </w:rPr>
        <w:t>ri</w:t>
      </w:r>
      <w:r w:rsidR="00F202D0">
        <w:rPr>
          <w:rFonts w:ascii="Times New Roman" w:hAnsi="Times New Roman" w:cs="Times New Roman"/>
          <w:sz w:val="28"/>
          <w:szCs w:val="28"/>
        </w:rPr>
        <w:t>....................................................................p. 140</w:t>
      </w:r>
    </w:p>
    <w:p w14:paraId="2B6C8713" w14:textId="2E0B325E" w:rsidR="007C6CCB" w:rsidRPr="002C0D9F" w:rsidRDefault="007C6CCB" w:rsidP="007C6CCB">
      <w:pPr>
        <w:pStyle w:val="Paragrafoelenco"/>
        <w:numPr>
          <w:ilvl w:val="2"/>
          <w:numId w:val="10"/>
        </w:numPr>
        <w:spacing w:after="0" w:line="360" w:lineRule="auto"/>
        <w:ind w:right="340"/>
        <w:jc w:val="both"/>
        <w:rPr>
          <w:rFonts w:ascii="Times New Roman" w:hAnsi="Times New Roman" w:cs="Times New Roman"/>
          <w:sz w:val="28"/>
          <w:szCs w:val="28"/>
        </w:rPr>
      </w:pPr>
      <w:r w:rsidRPr="002C0D9F">
        <w:rPr>
          <w:rFonts w:ascii="Times New Roman" w:hAnsi="Times New Roman" w:cs="Times New Roman"/>
          <w:sz w:val="28"/>
          <w:szCs w:val="28"/>
        </w:rPr>
        <w:t>Elezione vicari generali</w:t>
      </w:r>
      <w:r w:rsidR="00F202D0">
        <w:rPr>
          <w:rFonts w:ascii="Times New Roman" w:hAnsi="Times New Roman" w:cs="Times New Roman"/>
          <w:sz w:val="28"/>
          <w:szCs w:val="28"/>
        </w:rPr>
        <w:t>.................................................................p. 141</w:t>
      </w:r>
    </w:p>
    <w:p w14:paraId="7D86A430" w14:textId="56DB4BC1" w:rsidR="007C6CCB" w:rsidRPr="002C0D9F" w:rsidRDefault="007C6CCB" w:rsidP="007C6CCB">
      <w:pPr>
        <w:pStyle w:val="Paragrafoelenco"/>
        <w:numPr>
          <w:ilvl w:val="2"/>
          <w:numId w:val="10"/>
        </w:numPr>
        <w:spacing w:after="0" w:line="360" w:lineRule="auto"/>
        <w:ind w:right="340"/>
        <w:jc w:val="both"/>
        <w:rPr>
          <w:rFonts w:ascii="Times New Roman" w:hAnsi="Times New Roman" w:cs="Times New Roman"/>
          <w:sz w:val="28"/>
          <w:szCs w:val="28"/>
        </w:rPr>
      </w:pPr>
      <w:r>
        <w:rPr>
          <w:rFonts w:ascii="Times New Roman" w:hAnsi="Times New Roman" w:cs="Times New Roman"/>
          <w:sz w:val="28"/>
          <w:szCs w:val="28"/>
        </w:rPr>
        <w:t>Disciplina dei sacerdoti missionari</w:t>
      </w:r>
      <w:r w:rsidR="00F202D0">
        <w:rPr>
          <w:rFonts w:ascii="Times New Roman" w:hAnsi="Times New Roman" w:cs="Times New Roman"/>
          <w:sz w:val="28"/>
          <w:szCs w:val="28"/>
        </w:rPr>
        <w:t>................................................p. 144</w:t>
      </w:r>
    </w:p>
    <w:p w14:paraId="3155BFCC" w14:textId="27E7039F" w:rsidR="007C6CCB" w:rsidRDefault="007C6CCB" w:rsidP="00F202D0">
      <w:pPr>
        <w:pStyle w:val="Paragrafoelenco"/>
        <w:spacing w:after="0" w:line="360" w:lineRule="auto"/>
        <w:ind w:left="360" w:right="340"/>
        <w:jc w:val="both"/>
        <w:rPr>
          <w:rFonts w:ascii="Times New Roman" w:hAnsi="Times New Roman" w:cs="Times New Roman"/>
          <w:sz w:val="28"/>
          <w:szCs w:val="28"/>
        </w:rPr>
      </w:pPr>
      <w:r>
        <w:rPr>
          <w:rFonts w:ascii="Times New Roman" w:hAnsi="Times New Roman" w:cs="Times New Roman"/>
          <w:sz w:val="28"/>
          <w:szCs w:val="28"/>
        </w:rPr>
        <w:t xml:space="preserve">2.2.3 </w:t>
      </w:r>
      <w:r w:rsidRPr="005D5E20">
        <w:rPr>
          <w:rFonts w:ascii="Times New Roman" w:hAnsi="Times New Roman" w:cs="Times New Roman"/>
          <w:sz w:val="28"/>
          <w:szCs w:val="28"/>
        </w:rPr>
        <w:t xml:space="preserve">Formazione culturale dei </w:t>
      </w:r>
      <w:r w:rsidR="00F202D0">
        <w:rPr>
          <w:rFonts w:ascii="Times New Roman" w:hAnsi="Times New Roman" w:cs="Times New Roman"/>
          <w:sz w:val="28"/>
          <w:szCs w:val="28"/>
        </w:rPr>
        <w:t>missionari...................................................p. 145</w:t>
      </w:r>
    </w:p>
    <w:p w14:paraId="41ABC06A" w14:textId="181D1204" w:rsidR="007C6CCB" w:rsidRPr="005D5E20" w:rsidRDefault="007C6CCB" w:rsidP="00F202D0">
      <w:pPr>
        <w:pStyle w:val="Paragrafoelenco"/>
        <w:spacing w:after="0" w:line="360" w:lineRule="auto"/>
        <w:ind w:left="360" w:right="340"/>
        <w:jc w:val="both"/>
        <w:rPr>
          <w:rFonts w:ascii="Times New Roman" w:hAnsi="Times New Roman" w:cs="Times New Roman"/>
          <w:sz w:val="28"/>
          <w:szCs w:val="28"/>
        </w:rPr>
      </w:pPr>
      <w:r>
        <w:rPr>
          <w:rFonts w:ascii="Times New Roman" w:hAnsi="Times New Roman" w:cs="Times New Roman"/>
          <w:sz w:val="28"/>
          <w:szCs w:val="28"/>
        </w:rPr>
        <w:t xml:space="preserve">2.2.4 </w:t>
      </w:r>
      <w:r w:rsidRPr="005D5E20">
        <w:rPr>
          <w:rFonts w:ascii="Times New Roman" w:hAnsi="Times New Roman" w:cs="Times New Roman"/>
          <w:sz w:val="28"/>
          <w:szCs w:val="28"/>
        </w:rPr>
        <w:t>Rispetto delle culture locali</w:t>
      </w:r>
      <w:r w:rsidR="00F202D0">
        <w:rPr>
          <w:rFonts w:ascii="Times New Roman" w:hAnsi="Times New Roman" w:cs="Times New Roman"/>
          <w:sz w:val="28"/>
          <w:szCs w:val="28"/>
        </w:rPr>
        <w:t>.................................................................p. 146</w:t>
      </w:r>
    </w:p>
    <w:p w14:paraId="75016B09" w14:textId="290D5804" w:rsidR="007C6CCB" w:rsidRDefault="007C6CCB" w:rsidP="00F202D0">
      <w:pPr>
        <w:pStyle w:val="Paragrafoelenco"/>
        <w:spacing w:after="0" w:line="360" w:lineRule="auto"/>
        <w:ind w:left="360" w:right="340"/>
        <w:jc w:val="both"/>
        <w:rPr>
          <w:rFonts w:ascii="Times New Roman" w:hAnsi="Times New Roman" w:cs="Times New Roman"/>
          <w:sz w:val="28"/>
          <w:szCs w:val="28"/>
        </w:rPr>
      </w:pPr>
      <w:r>
        <w:rPr>
          <w:rFonts w:ascii="Times New Roman" w:hAnsi="Times New Roman" w:cs="Times New Roman"/>
          <w:sz w:val="28"/>
          <w:szCs w:val="28"/>
        </w:rPr>
        <w:t xml:space="preserve">2.2.5 </w:t>
      </w:r>
      <w:r w:rsidRPr="005D5E20">
        <w:rPr>
          <w:rFonts w:ascii="Times New Roman" w:hAnsi="Times New Roman" w:cs="Times New Roman"/>
          <w:sz w:val="28"/>
          <w:szCs w:val="28"/>
        </w:rPr>
        <w:t>Scelta dei calendari liturgici nelle missioni</w:t>
      </w:r>
      <w:r w:rsidR="00F202D0">
        <w:rPr>
          <w:rFonts w:ascii="Times New Roman" w:hAnsi="Times New Roman" w:cs="Times New Roman"/>
          <w:sz w:val="28"/>
          <w:szCs w:val="28"/>
        </w:rPr>
        <w:t>.........................................p. 147</w:t>
      </w:r>
    </w:p>
    <w:p w14:paraId="527431E1" w14:textId="36484076" w:rsidR="007C6CCB" w:rsidRDefault="007C6CCB" w:rsidP="00F202D0">
      <w:pPr>
        <w:pStyle w:val="Paragrafoelenco"/>
        <w:spacing w:after="0" w:line="360" w:lineRule="auto"/>
        <w:ind w:left="1040" w:right="340"/>
        <w:jc w:val="both"/>
        <w:rPr>
          <w:rFonts w:ascii="Times New Roman" w:hAnsi="Times New Roman" w:cs="Times New Roman"/>
          <w:sz w:val="28"/>
          <w:szCs w:val="28"/>
        </w:rPr>
      </w:pPr>
    </w:p>
    <w:p w14:paraId="0CDDC689" w14:textId="77777777" w:rsidR="00F202D0" w:rsidRPr="00D97E29" w:rsidRDefault="00F202D0" w:rsidP="00F202D0">
      <w:pPr>
        <w:pStyle w:val="Paragrafoelenco"/>
        <w:spacing w:after="0" w:line="360" w:lineRule="auto"/>
        <w:ind w:left="1040" w:right="340"/>
        <w:jc w:val="both"/>
        <w:rPr>
          <w:rFonts w:ascii="Times New Roman" w:hAnsi="Times New Roman" w:cs="Times New Roman"/>
          <w:sz w:val="28"/>
          <w:szCs w:val="28"/>
        </w:rPr>
      </w:pPr>
    </w:p>
    <w:p w14:paraId="4EAA5715" w14:textId="28DBEEF2" w:rsidR="007C6CCB" w:rsidRDefault="007C6CCB" w:rsidP="00F202D0">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 3.1 </w:t>
      </w:r>
      <w:r w:rsidRPr="000248D1">
        <w:rPr>
          <w:rFonts w:ascii="Times New Roman" w:hAnsi="Times New Roman" w:cs="Times New Roman"/>
          <w:sz w:val="28"/>
          <w:szCs w:val="28"/>
        </w:rPr>
        <w:t>Facoltà, indulti e privilegi</w:t>
      </w:r>
      <w:r w:rsidR="00F202D0">
        <w:rPr>
          <w:rFonts w:ascii="Times New Roman" w:hAnsi="Times New Roman" w:cs="Times New Roman"/>
          <w:sz w:val="28"/>
          <w:szCs w:val="28"/>
        </w:rPr>
        <w:t>................................................................p. 148</w:t>
      </w:r>
    </w:p>
    <w:p w14:paraId="77DBB25E" w14:textId="060C8315" w:rsidR="007C6CCB" w:rsidRDefault="007C6CCB" w:rsidP="00F202D0">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3.1.1 La nascita dei privilegi</w:t>
      </w:r>
      <w:r w:rsidR="00F202D0">
        <w:rPr>
          <w:rFonts w:ascii="Times New Roman" w:hAnsi="Times New Roman" w:cs="Times New Roman"/>
          <w:sz w:val="28"/>
          <w:szCs w:val="28"/>
        </w:rPr>
        <w:t>...................................................................p. 151</w:t>
      </w:r>
    </w:p>
    <w:p w14:paraId="4256B603" w14:textId="2D290356" w:rsidR="007C6CCB" w:rsidRDefault="007C6CCB" w:rsidP="00F202D0">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3.1.2 I privilegi di cui godevano gli organi dipendenti da Propaganda Fide</w:t>
      </w:r>
      <w:r w:rsidR="00F202D0">
        <w:rPr>
          <w:rFonts w:ascii="Times New Roman" w:hAnsi="Times New Roman" w:cs="Times New Roman"/>
          <w:sz w:val="28"/>
          <w:szCs w:val="28"/>
        </w:rPr>
        <w:t>..........................................................................................................p. 153</w:t>
      </w:r>
    </w:p>
    <w:p w14:paraId="1391604B" w14:textId="6E71A98F" w:rsidR="007C6CCB" w:rsidRDefault="007C6CCB" w:rsidP="00F202D0">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3.1.3 </w:t>
      </w:r>
      <w:r w:rsidRPr="00F47539">
        <w:rPr>
          <w:rFonts w:ascii="Times New Roman" w:hAnsi="Times New Roman" w:cs="Times New Roman"/>
          <w:sz w:val="28"/>
          <w:szCs w:val="28"/>
        </w:rPr>
        <w:t>I privilegi concessi alle società che vivevano in comune senza voti</w:t>
      </w:r>
      <w:r w:rsidR="00F202D0">
        <w:rPr>
          <w:rFonts w:ascii="Times New Roman" w:hAnsi="Times New Roman" w:cs="Times New Roman"/>
          <w:sz w:val="28"/>
          <w:szCs w:val="28"/>
        </w:rPr>
        <w:t>...........................................................................................................p. 154</w:t>
      </w:r>
    </w:p>
    <w:p w14:paraId="4B27D07F" w14:textId="177369F6" w:rsidR="007C6CCB" w:rsidRDefault="007C6CCB" w:rsidP="00F202D0">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3.1.4 </w:t>
      </w:r>
      <w:r w:rsidRPr="00F47539">
        <w:rPr>
          <w:rFonts w:ascii="Times New Roman" w:hAnsi="Times New Roman" w:cs="Times New Roman"/>
          <w:sz w:val="28"/>
          <w:szCs w:val="28"/>
        </w:rPr>
        <w:t>I privilegi</w:t>
      </w:r>
      <w:r>
        <w:rPr>
          <w:rFonts w:ascii="Times New Roman" w:hAnsi="Times New Roman" w:cs="Times New Roman"/>
          <w:sz w:val="28"/>
          <w:szCs w:val="28"/>
        </w:rPr>
        <w:t>, facoltà e indulti</w:t>
      </w:r>
      <w:r w:rsidRPr="00F47539">
        <w:rPr>
          <w:rFonts w:ascii="Times New Roman" w:hAnsi="Times New Roman" w:cs="Times New Roman"/>
          <w:sz w:val="28"/>
          <w:szCs w:val="28"/>
        </w:rPr>
        <w:t xml:space="preserve"> concessi ai vicari e agli ordinari</w:t>
      </w:r>
      <w:r w:rsidR="00F202D0">
        <w:rPr>
          <w:rFonts w:ascii="Times New Roman" w:hAnsi="Times New Roman" w:cs="Times New Roman"/>
          <w:sz w:val="28"/>
          <w:szCs w:val="28"/>
        </w:rPr>
        <w:t>....................................................................................................p. 155</w:t>
      </w:r>
    </w:p>
    <w:p w14:paraId="51767B44" w14:textId="12E9D87B" w:rsidR="007C6CCB" w:rsidRPr="00F47539" w:rsidRDefault="007C6CCB" w:rsidP="00F202D0">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3.1.5 </w:t>
      </w:r>
      <w:r w:rsidRPr="00F47539">
        <w:rPr>
          <w:rFonts w:ascii="Times New Roman" w:hAnsi="Times New Roman" w:cs="Times New Roman"/>
          <w:sz w:val="28"/>
          <w:szCs w:val="28"/>
        </w:rPr>
        <w:t>Il privilegio paolino</w:t>
      </w:r>
      <w:r>
        <w:rPr>
          <w:rFonts w:ascii="Times New Roman" w:hAnsi="Times New Roman" w:cs="Times New Roman"/>
          <w:sz w:val="28"/>
          <w:szCs w:val="28"/>
        </w:rPr>
        <w:t xml:space="preserve"> e</w:t>
      </w:r>
      <w:r w:rsidRPr="00F47539">
        <w:rPr>
          <w:rFonts w:ascii="Times New Roman" w:hAnsi="Times New Roman" w:cs="Times New Roman"/>
          <w:sz w:val="28"/>
          <w:szCs w:val="28"/>
        </w:rPr>
        <w:t xml:space="preserve"> </w:t>
      </w:r>
      <w:r w:rsidR="004F05A9">
        <w:rPr>
          <w:rFonts w:ascii="Times New Roman" w:hAnsi="Times New Roman" w:cs="Times New Roman"/>
          <w:sz w:val="28"/>
          <w:szCs w:val="28"/>
        </w:rPr>
        <w:t xml:space="preserve">le </w:t>
      </w:r>
      <w:r w:rsidRPr="00F47539">
        <w:rPr>
          <w:rFonts w:ascii="Times New Roman" w:hAnsi="Times New Roman" w:cs="Times New Roman"/>
          <w:sz w:val="28"/>
          <w:szCs w:val="28"/>
        </w:rPr>
        <w:t>missioni</w:t>
      </w:r>
      <w:r w:rsidR="00F202D0">
        <w:rPr>
          <w:rFonts w:ascii="Times New Roman" w:hAnsi="Times New Roman" w:cs="Times New Roman"/>
          <w:sz w:val="28"/>
          <w:szCs w:val="28"/>
        </w:rPr>
        <w:t>...............................................</w:t>
      </w:r>
      <w:r w:rsidR="004F05A9">
        <w:rPr>
          <w:rFonts w:ascii="Times New Roman" w:hAnsi="Times New Roman" w:cs="Times New Roman"/>
          <w:sz w:val="28"/>
          <w:szCs w:val="28"/>
        </w:rPr>
        <w:t>.</w:t>
      </w:r>
      <w:r w:rsidR="00F202D0">
        <w:rPr>
          <w:rFonts w:ascii="Times New Roman" w:hAnsi="Times New Roman" w:cs="Times New Roman"/>
          <w:sz w:val="28"/>
          <w:szCs w:val="28"/>
        </w:rPr>
        <w:t>...p. 160</w:t>
      </w:r>
    </w:p>
    <w:p w14:paraId="4963C575" w14:textId="3C67D61E" w:rsidR="007C6CCB" w:rsidRDefault="007C6CCB" w:rsidP="00F202D0">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3.1.6 Le cause matr</w:t>
      </w:r>
      <w:r w:rsidR="004F05A9">
        <w:rPr>
          <w:rFonts w:ascii="Times New Roman" w:hAnsi="Times New Roman" w:cs="Times New Roman"/>
          <w:sz w:val="28"/>
          <w:szCs w:val="28"/>
        </w:rPr>
        <w:t>imoniali nelle missioni.............................................p. 162</w:t>
      </w:r>
    </w:p>
    <w:p w14:paraId="139AE69C" w14:textId="77777777" w:rsidR="007C6CCB" w:rsidRPr="000248D1" w:rsidRDefault="007C6CCB" w:rsidP="00F202D0">
      <w:pPr>
        <w:pStyle w:val="Paragrafoelenco"/>
        <w:spacing w:after="0" w:line="360" w:lineRule="auto"/>
        <w:ind w:left="680" w:right="340"/>
        <w:jc w:val="both"/>
        <w:rPr>
          <w:rFonts w:ascii="Times New Roman" w:hAnsi="Times New Roman" w:cs="Times New Roman"/>
          <w:sz w:val="28"/>
          <w:szCs w:val="28"/>
        </w:rPr>
      </w:pPr>
    </w:p>
    <w:p w14:paraId="388D9EA0" w14:textId="77777777" w:rsidR="007C6CCB" w:rsidRDefault="007C6CCB" w:rsidP="00F202D0">
      <w:pPr>
        <w:spacing w:line="360" w:lineRule="auto"/>
        <w:ind w:right="340"/>
        <w:rPr>
          <w:rFonts w:ascii="Times New Roman" w:hAnsi="Times New Roman" w:cs="Times New Roman"/>
          <w:sz w:val="28"/>
          <w:szCs w:val="28"/>
        </w:rPr>
      </w:pPr>
      <w:r>
        <w:rPr>
          <w:rFonts w:ascii="Times New Roman" w:hAnsi="Times New Roman" w:cs="Times New Roman"/>
          <w:sz w:val="28"/>
          <w:szCs w:val="28"/>
        </w:rPr>
        <w:t>CONCLUSIONI</w:t>
      </w:r>
    </w:p>
    <w:p w14:paraId="2C0B438E" w14:textId="1E07A156" w:rsidR="007C6CCB" w:rsidRPr="00125F42" w:rsidRDefault="007C6CCB" w:rsidP="00F202D0">
      <w:pPr>
        <w:pStyle w:val="Paragrafoelenco"/>
        <w:spacing w:after="0" w:line="360" w:lineRule="auto"/>
        <w:ind w:right="340"/>
        <w:jc w:val="both"/>
        <w:rPr>
          <w:rFonts w:ascii="Times New Roman" w:hAnsi="Times New Roman" w:cs="Times New Roman"/>
          <w:sz w:val="28"/>
          <w:szCs w:val="28"/>
        </w:rPr>
      </w:pPr>
      <w:r>
        <w:rPr>
          <w:rFonts w:ascii="Times New Roman" w:hAnsi="Times New Roman" w:cs="Times New Roman"/>
          <w:sz w:val="28"/>
          <w:szCs w:val="28"/>
        </w:rPr>
        <w:t xml:space="preserve">1.1 </w:t>
      </w:r>
      <w:r w:rsidRPr="00125F42">
        <w:rPr>
          <w:rFonts w:ascii="Times New Roman" w:hAnsi="Times New Roman" w:cs="Times New Roman"/>
          <w:sz w:val="28"/>
          <w:szCs w:val="28"/>
        </w:rPr>
        <w:t>L’importanza storica del diritto missionario</w:t>
      </w:r>
      <w:r>
        <w:rPr>
          <w:rFonts w:ascii="Times New Roman" w:hAnsi="Times New Roman" w:cs="Times New Roman"/>
          <w:sz w:val="28"/>
          <w:szCs w:val="28"/>
        </w:rPr>
        <w:t xml:space="preserve"> ed il suo utilizzo da parte di Propaganda Fide</w:t>
      </w:r>
      <w:r w:rsidR="004F05A9">
        <w:rPr>
          <w:rFonts w:ascii="Times New Roman" w:hAnsi="Times New Roman" w:cs="Times New Roman"/>
          <w:sz w:val="28"/>
          <w:szCs w:val="28"/>
        </w:rPr>
        <w:t>......................................................................................p. 165</w:t>
      </w:r>
    </w:p>
    <w:p w14:paraId="472B79D9" w14:textId="07F0F704" w:rsidR="007C6CCB" w:rsidRPr="00125F42" w:rsidRDefault="007C6CCB" w:rsidP="007C6CCB">
      <w:pPr>
        <w:pStyle w:val="Paragrafoelenco"/>
        <w:numPr>
          <w:ilvl w:val="2"/>
          <w:numId w:val="18"/>
        </w:numPr>
        <w:spacing w:after="0" w:line="360" w:lineRule="auto"/>
        <w:ind w:right="340"/>
        <w:jc w:val="both"/>
        <w:rPr>
          <w:rFonts w:ascii="Times New Roman" w:hAnsi="Times New Roman" w:cs="Times New Roman"/>
          <w:sz w:val="28"/>
          <w:szCs w:val="28"/>
        </w:rPr>
      </w:pPr>
      <w:r w:rsidRPr="00125F42">
        <w:rPr>
          <w:rFonts w:ascii="Times New Roman" w:hAnsi="Times New Roman" w:cs="Times New Roman"/>
          <w:sz w:val="28"/>
          <w:szCs w:val="28"/>
        </w:rPr>
        <w:t>Le specificità del diritto missionario nella Chiesa</w:t>
      </w:r>
      <w:r w:rsidR="004F05A9">
        <w:rPr>
          <w:rFonts w:ascii="Times New Roman" w:hAnsi="Times New Roman" w:cs="Times New Roman"/>
          <w:sz w:val="28"/>
          <w:szCs w:val="28"/>
        </w:rPr>
        <w:t>........................p. 168</w:t>
      </w:r>
    </w:p>
    <w:p w14:paraId="69EE5CCF" w14:textId="0B51DFED" w:rsidR="007C6CCB" w:rsidRDefault="007C6CCB" w:rsidP="007C6CCB">
      <w:pPr>
        <w:pStyle w:val="Paragrafoelenco"/>
        <w:numPr>
          <w:ilvl w:val="2"/>
          <w:numId w:val="18"/>
        </w:numPr>
        <w:spacing w:after="0" w:line="360" w:lineRule="auto"/>
        <w:ind w:right="340"/>
        <w:jc w:val="both"/>
        <w:rPr>
          <w:rFonts w:ascii="Times New Roman" w:hAnsi="Times New Roman" w:cs="Times New Roman"/>
          <w:sz w:val="28"/>
          <w:szCs w:val="28"/>
        </w:rPr>
      </w:pPr>
      <w:r>
        <w:rPr>
          <w:rFonts w:ascii="Times New Roman" w:hAnsi="Times New Roman" w:cs="Times New Roman"/>
          <w:sz w:val="28"/>
          <w:szCs w:val="28"/>
        </w:rPr>
        <w:t>I cambiamenti nel diritto missiona</w:t>
      </w:r>
      <w:r w:rsidR="004F05A9">
        <w:rPr>
          <w:rFonts w:ascii="Times New Roman" w:hAnsi="Times New Roman" w:cs="Times New Roman"/>
          <w:sz w:val="28"/>
          <w:szCs w:val="28"/>
        </w:rPr>
        <w:t>rio con il CIC del 1917..............................................................................................p. 171</w:t>
      </w:r>
    </w:p>
    <w:p w14:paraId="786B6F60" w14:textId="5F36031D" w:rsidR="007C6CCB" w:rsidRPr="00125F42" w:rsidRDefault="007C6CCB" w:rsidP="007C6CCB">
      <w:pPr>
        <w:pStyle w:val="Paragrafoelenco"/>
        <w:numPr>
          <w:ilvl w:val="2"/>
          <w:numId w:val="18"/>
        </w:numPr>
        <w:spacing w:after="0" w:line="360" w:lineRule="auto"/>
        <w:ind w:right="340"/>
        <w:jc w:val="both"/>
        <w:rPr>
          <w:rFonts w:ascii="Times New Roman" w:hAnsi="Times New Roman" w:cs="Times New Roman"/>
          <w:sz w:val="28"/>
          <w:szCs w:val="28"/>
        </w:rPr>
      </w:pPr>
      <w:r w:rsidRPr="00125F42">
        <w:rPr>
          <w:rFonts w:ascii="Times New Roman" w:hAnsi="Times New Roman" w:cs="Times New Roman"/>
          <w:sz w:val="28"/>
          <w:szCs w:val="28"/>
        </w:rPr>
        <w:t>Il diritto missionario e il Concilio Vaticano II</w:t>
      </w:r>
      <w:r w:rsidR="004F05A9">
        <w:rPr>
          <w:rFonts w:ascii="Times New Roman" w:hAnsi="Times New Roman" w:cs="Times New Roman"/>
          <w:sz w:val="28"/>
          <w:szCs w:val="28"/>
        </w:rPr>
        <w:t>..............................p. 174</w:t>
      </w:r>
    </w:p>
    <w:p w14:paraId="4C9CB195" w14:textId="77777777" w:rsidR="007C6CCB" w:rsidRPr="00304B3B" w:rsidRDefault="007C6CCB" w:rsidP="00F202D0">
      <w:pPr>
        <w:spacing w:line="360" w:lineRule="auto"/>
        <w:ind w:right="340"/>
        <w:rPr>
          <w:rFonts w:ascii="Times New Roman" w:hAnsi="Times New Roman" w:cs="Times New Roman"/>
          <w:sz w:val="28"/>
          <w:szCs w:val="28"/>
        </w:rPr>
      </w:pPr>
    </w:p>
    <w:p w14:paraId="1BC5A602" w14:textId="77777777" w:rsidR="007C6CCB" w:rsidRDefault="007C6CCB" w:rsidP="00484F9B">
      <w:pPr>
        <w:spacing w:after="0" w:line="360" w:lineRule="auto"/>
        <w:ind w:left="680" w:right="340"/>
        <w:jc w:val="both"/>
        <w:rPr>
          <w:rFonts w:ascii="Times New Roman" w:hAnsi="Times New Roman" w:cs="Times New Roman"/>
          <w:color w:val="000000" w:themeColor="text1"/>
          <w:sz w:val="28"/>
          <w:szCs w:val="28"/>
        </w:rPr>
      </w:pPr>
    </w:p>
    <w:p w14:paraId="3357467D" w14:textId="36B815AB" w:rsidR="0024328D" w:rsidRDefault="0024328D" w:rsidP="00484F9B">
      <w:pPr>
        <w:spacing w:after="0" w:line="360" w:lineRule="auto"/>
        <w:ind w:left="680"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FONTI.....................................................................................................p. 183</w:t>
      </w:r>
    </w:p>
    <w:p w14:paraId="2641B911" w14:textId="03A7ADE7" w:rsidR="000966E6" w:rsidRDefault="004F05A9" w:rsidP="0024328D">
      <w:pPr>
        <w:spacing w:after="0" w:line="360" w:lineRule="auto"/>
        <w:ind w:left="680"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BIBLIOGR</w:t>
      </w:r>
      <w:r w:rsidR="0024328D">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FIA...........................................................</w:t>
      </w:r>
      <w:r w:rsidR="0024328D">
        <w:rPr>
          <w:rFonts w:ascii="Times New Roman" w:hAnsi="Times New Roman" w:cs="Times New Roman"/>
          <w:color w:val="000000" w:themeColor="text1"/>
          <w:sz w:val="28"/>
          <w:szCs w:val="28"/>
        </w:rPr>
        <w:t>..........................p. 2</w:t>
      </w:r>
      <w:r>
        <w:rPr>
          <w:rFonts w:ascii="Times New Roman" w:hAnsi="Times New Roman" w:cs="Times New Roman"/>
          <w:color w:val="000000" w:themeColor="text1"/>
          <w:sz w:val="28"/>
          <w:szCs w:val="28"/>
        </w:rPr>
        <w:t>04</w:t>
      </w:r>
    </w:p>
    <w:p w14:paraId="4C98023D" w14:textId="19A735A1" w:rsidR="0024328D" w:rsidRDefault="0024328D" w:rsidP="0024328D">
      <w:pPr>
        <w:spacing w:after="0" w:line="360" w:lineRule="auto"/>
        <w:ind w:left="680"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SITOGRAFIA.........................................................................................</w:t>
      </w:r>
      <w:bookmarkStart w:id="0" w:name="_GoBack"/>
      <w:bookmarkEnd w:id="0"/>
      <w:r>
        <w:rPr>
          <w:rFonts w:ascii="Times New Roman" w:hAnsi="Times New Roman" w:cs="Times New Roman"/>
          <w:color w:val="000000" w:themeColor="text1"/>
          <w:sz w:val="28"/>
          <w:szCs w:val="28"/>
        </w:rPr>
        <w:t>p. 213</w:t>
      </w:r>
    </w:p>
    <w:p w14:paraId="49A3B767" w14:textId="16390D9F" w:rsidR="004F05A9" w:rsidRDefault="004F05A9" w:rsidP="00484F9B">
      <w:pPr>
        <w:spacing w:after="0" w:line="360" w:lineRule="auto"/>
        <w:ind w:left="680"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APPENDICE...........................................................................................p. 215</w:t>
      </w:r>
    </w:p>
    <w:p w14:paraId="75A62747" w14:textId="486EEE01" w:rsidR="007C6CCB" w:rsidRDefault="007C6CCB" w:rsidP="00484F9B">
      <w:pPr>
        <w:spacing w:after="0" w:line="360" w:lineRule="auto"/>
        <w:ind w:left="680" w:right="340"/>
        <w:jc w:val="both"/>
        <w:rPr>
          <w:rFonts w:ascii="Times New Roman" w:hAnsi="Times New Roman" w:cs="Times New Roman"/>
          <w:color w:val="000000" w:themeColor="text1"/>
          <w:sz w:val="28"/>
          <w:szCs w:val="28"/>
        </w:rPr>
      </w:pPr>
    </w:p>
    <w:p w14:paraId="2B3C2296" w14:textId="04860ED9" w:rsidR="007C6CCB" w:rsidRDefault="007C6CCB" w:rsidP="00484F9B">
      <w:pPr>
        <w:spacing w:after="0" w:line="360" w:lineRule="auto"/>
        <w:ind w:left="680" w:right="340"/>
        <w:jc w:val="both"/>
        <w:rPr>
          <w:rFonts w:ascii="Times New Roman" w:hAnsi="Times New Roman" w:cs="Times New Roman"/>
          <w:color w:val="000000" w:themeColor="text1"/>
          <w:sz w:val="28"/>
          <w:szCs w:val="28"/>
        </w:rPr>
      </w:pPr>
    </w:p>
    <w:p w14:paraId="25F4580D" w14:textId="77777777" w:rsidR="00D01718" w:rsidRDefault="00D01718" w:rsidP="00484F9B">
      <w:pPr>
        <w:spacing w:after="0" w:line="360" w:lineRule="auto"/>
        <w:ind w:left="680" w:right="340"/>
        <w:jc w:val="both"/>
        <w:rPr>
          <w:rFonts w:ascii="Times New Roman" w:hAnsi="Times New Roman" w:cs="Times New Roman"/>
          <w:color w:val="000000" w:themeColor="text1"/>
          <w:sz w:val="28"/>
          <w:szCs w:val="28"/>
        </w:rPr>
      </w:pPr>
    </w:p>
    <w:p w14:paraId="32472C72" w14:textId="77777777" w:rsidR="001750B4" w:rsidRDefault="001750B4" w:rsidP="007C6CCB">
      <w:pPr>
        <w:spacing w:after="0" w:line="360" w:lineRule="auto"/>
        <w:ind w:left="680" w:right="340"/>
        <w:jc w:val="center"/>
        <w:rPr>
          <w:rFonts w:ascii="Times New Roman" w:hAnsi="Times New Roman" w:cs="Times New Roman"/>
          <w:color w:val="000000" w:themeColor="text1"/>
          <w:sz w:val="28"/>
          <w:szCs w:val="28"/>
        </w:rPr>
      </w:pPr>
    </w:p>
    <w:p w14:paraId="4B860852" w14:textId="51FB570B" w:rsidR="00F24444" w:rsidRPr="00383122" w:rsidRDefault="00F24444" w:rsidP="007C6CCB">
      <w:pPr>
        <w:spacing w:after="0" w:line="360" w:lineRule="auto"/>
        <w:ind w:left="680" w:right="340"/>
        <w:jc w:val="center"/>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INTRODUZIONE</w:t>
      </w:r>
    </w:p>
    <w:p w14:paraId="6FFA0DCC"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p>
    <w:p w14:paraId="66F04D68"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Le motivazioni che mi hanno portata a decidere di svolgere una tesi in diritto missionario sono riconducibili per prima cosa alla natura stessa del diritto canonico, che è storicamente rilevantissimo, in quanto non è solo «un ammasso di regole e canoni, (…) ma è espressione di una mentalità giuridica formata da scienza e prassi, in grado di generare incisi influssi a livello di mentalità ben oltre i confini della comunità ecclesiale»</w:t>
      </w:r>
      <w:r w:rsidRPr="00383122">
        <w:rPr>
          <w:rStyle w:val="Rimandonotaapidipagina"/>
          <w:rFonts w:ascii="Times New Roman" w:hAnsi="Times New Roman" w:cs="Times New Roman"/>
          <w:color w:val="000000" w:themeColor="text1"/>
          <w:sz w:val="28"/>
          <w:szCs w:val="28"/>
        </w:rPr>
        <w:footnoteReference w:id="1"/>
      </w:r>
      <w:r w:rsidRPr="00383122">
        <w:rPr>
          <w:rFonts w:ascii="Times New Roman" w:hAnsi="Times New Roman" w:cs="Times New Roman"/>
          <w:color w:val="000000" w:themeColor="text1"/>
          <w:sz w:val="28"/>
          <w:szCs w:val="28"/>
        </w:rPr>
        <w:t>. L’idea di dedicare una tesi al diritto missionario, più specificatamente al suo rapporto con il CIC del 1917 è sorta in me, a causa dell’interesse, per la natura di tale diritto, che ha un carattere estremamente malleabile, poiché non bada tanto all’aspetto formale o all’eventuale presenza di possibili contraddizioni intestine dei suoi istituti, quanto piuttosto al raggiungimento del suo obiettivo primario, ossia la massimizzazione dell’opera di evangelizzazione, tramite il pieno coinvolgimento di tutti i singoli individui.</w:t>
      </w:r>
    </w:p>
    <w:p w14:paraId="314463BB" w14:textId="77777777" w:rsidR="00F24444" w:rsidRPr="00383122" w:rsidRDefault="00F24444" w:rsidP="00484F9B">
      <w:pPr>
        <w:spacing w:after="0" w:line="360" w:lineRule="auto"/>
        <w:ind w:left="680" w:right="340"/>
        <w:jc w:val="both"/>
        <w:rPr>
          <w:color w:val="000000" w:themeColor="text1"/>
        </w:rPr>
      </w:pPr>
      <w:r w:rsidRPr="00383122">
        <w:rPr>
          <w:rFonts w:ascii="Times New Roman" w:hAnsi="Times New Roman" w:cs="Times New Roman"/>
          <w:color w:val="000000" w:themeColor="text1"/>
          <w:sz w:val="28"/>
          <w:szCs w:val="28"/>
        </w:rPr>
        <w:t>Inoltre grande interesse per me ha avuto anche l’origine storica di tale diritto, che riuscì a dare un carattere più coerente alle missioni, solo nel XIII secolo, grazie all’iniziative di ordini religiosi, allora di recente formazione, come i francescani e i domenicani, che iniziarono a organizzare scuole per formare chierici incaricati di diffondere ove possibile il messaggio di Cristo. Ne derivò una forte spinta verso Oriente, di cui furono protagonisti ecclesiastici che erano insieme missionari, diplomatici ed esploratori. I risultati non furono però duraturi.</w:t>
      </w:r>
      <w:r w:rsidRPr="00383122">
        <w:rPr>
          <w:color w:val="000000" w:themeColor="text1"/>
        </w:rPr>
        <w:t xml:space="preserve"> </w:t>
      </w:r>
      <w:r w:rsidRPr="00383122">
        <w:rPr>
          <w:rFonts w:ascii="Times New Roman" w:hAnsi="Times New Roman" w:cs="Times New Roman"/>
          <w:color w:val="000000" w:themeColor="text1"/>
          <w:sz w:val="28"/>
          <w:szCs w:val="28"/>
        </w:rPr>
        <w:t xml:space="preserve">La scoperta e la colonizzazione di alcuni territori nelle Americhe, in Africa e in Asia, diedero forte impulso all’attività missionaria. L’evangelizzazione fu affidata agli ordini regolari ovvero ai francescani, domenicani, cappuccini e così via e i missionari ebbero anche un ruolo fondamentale nel denunciare le violenze che caratterizzarono l’opera dei </w:t>
      </w:r>
      <w:r w:rsidRPr="00383122">
        <w:rPr>
          <w:rFonts w:ascii="Times New Roman" w:hAnsi="Times New Roman" w:cs="Times New Roman"/>
          <w:color w:val="000000" w:themeColor="text1"/>
          <w:sz w:val="28"/>
          <w:szCs w:val="28"/>
        </w:rPr>
        <w:lastRenderedPageBreak/>
        <w:t xml:space="preserve">colonizzatori. Inoltre fondamentale fu l’opera portata avanti dall’ordine dei gesuiti, fondato da Ignazio di Loyola e riconosciuto dalla Chiesa nel 1540, che riuscì a delineare nuove prospettive, per l’attività missionaria. I gesuiti si consideravano missionari al servizio del papa e avevano l’obiettivo di diffondere la parola di Cristo. A questo fine organizzarono un loro sistema di istruzione per i giovani nobili e i rampolli delle classi dirigenti. Attivi sul fronte interno, i gesuiti furono anche presenti nelle realtà coloniali. In America Meridionale elaborarono un nuovo modello di organizzazione coloniale, le </w:t>
      </w:r>
      <w:r w:rsidRPr="00383122">
        <w:rPr>
          <w:rFonts w:ascii="Times New Roman" w:hAnsi="Times New Roman" w:cs="Times New Roman"/>
          <w:i/>
          <w:color w:val="000000" w:themeColor="text1"/>
          <w:sz w:val="28"/>
          <w:szCs w:val="28"/>
        </w:rPr>
        <w:t>reducciónes</w:t>
      </w:r>
      <w:r w:rsidRPr="00383122">
        <w:rPr>
          <w:rFonts w:ascii="Times New Roman" w:hAnsi="Times New Roman" w:cs="Times New Roman"/>
          <w:color w:val="000000" w:themeColor="text1"/>
          <w:sz w:val="28"/>
          <w:szCs w:val="28"/>
        </w:rPr>
        <w:t>, più rispettoso dei diritti degli Indios</w:t>
      </w:r>
      <w:r w:rsidRPr="00383122">
        <w:rPr>
          <w:rStyle w:val="Rimandonotaapidipagina"/>
          <w:rFonts w:ascii="Times New Roman" w:hAnsi="Times New Roman" w:cs="Times New Roman"/>
          <w:color w:val="000000" w:themeColor="text1"/>
          <w:sz w:val="28"/>
          <w:szCs w:val="28"/>
        </w:rPr>
        <w:footnoteReference w:id="2"/>
      </w:r>
      <w:r w:rsidRPr="00383122">
        <w:rPr>
          <w:rFonts w:ascii="Times New Roman" w:hAnsi="Times New Roman" w:cs="Times New Roman"/>
          <w:color w:val="000000" w:themeColor="text1"/>
          <w:sz w:val="28"/>
          <w:szCs w:val="28"/>
        </w:rPr>
        <w:t>. Questa esperienza li mise in concorrenza, e anche in contrasto, con le monarchie spagnola e portoghese, poco inclini a tollerare modelli alternativi al proprio.</w:t>
      </w:r>
      <w:r w:rsidRPr="00383122">
        <w:rPr>
          <w:color w:val="000000" w:themeColor="text1"/>
        </w:rPr>
        <w:t xml:space="preserve"> </w:t>
      </w:r>
    </w:p>
    <w:p w14:paraId="135096D2"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 Cinquecento l’attività missionaria si intensificò in tutto il mondo. In Cina il gesuita Matteo Ricci conseguì rilevanti successi tra il 1583 e il 1610; in Giappone fu invece Francesco Saverio, anch’egli gesuita, a introdurre il cristianesimo. Qui però, a partire dalla fine del secolo esplose una violenta reazione anticristiana. Tali eventi e la difficoltà sempre maggiore dei missionari di tenersi liberi dalle pressioni delle maggiori potenze coloniali spinsero papa Gregorio XV a istituire nel 1622 la Congregazione de Propaganda Fide, per garantire un maggior controllo all’attività missionaria. In questo modo i missionari si trovavano a dover obbedire solo a vicari apostolici nominati dalla Congregazione. Inoltre a questi veniva raccomandato di non occuparsi di politica e di rispettare usi e costumi dei popoli tra cui si trovavano.</w:t>
      </w:r>
    </w:p>
    <w:p w14:paraId="15B6AA4B"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Durante tale periodo si sviluppa il paradigma tridentino, il cui obiettivo era risolvere la crisi dei «fondamenti teologici, metafisici e gnoseologici dello </w:t>
      </w:r>
      <w:r w:rsidRPr="00383122">
        <w:rPr>
          <w:rFonts w:ascii="Times New Roman" w:hAnsi="Times New Roman" w:cs="Times New Roman"/>
          <w:i/>
          <w:color w:val="000000" w:themeColor="text1"/>
          <w:sz w:val="28"/>
          <w:szCs w:val="28"/>
        </w:rPr>
        <w:t>ius commune</w:t>
      </w:r>
      <w:r w:rsidRPr="00383122">
        <w:rPr>
          <w:rFonts w:ascii="Times New Roman" w:hAnsi="Times New Roman" w:cs="Times New Roman"/>
          <w:color w:val="000000" w:themeColor="text1"/>
          <w:sz w:val="28"/>
          <w:szCs w:val="28"/>
        </w:rPr>
        <w:t xml:space="preserve"> che aveva percorso l’Europa, a seguito della riforma protestante (1517), attraverso la rifondazione dell’ordine etico-giuridico»</w:t>
      </w:r>
      <w:r w:rsidRPr="00383122">
        <w:rPr>
          <w:rStyle w:val="Rimandonotaapidipagina"/>
          <w:rFonts w:ascii="Times New Roman" w:hAnsi="Times New Roman" w:cs="Times New Roman"/>
          <w:color w:val="000000" w:themeColor="text1"/>
          <w:sz w:val="28"/>
          <w:szCs w:val="28"/>
        </w:rPr>
        <w:footnoteReference w:id="3"/>
      </w:r>
      <w:r w:rsidRPr="00383122">
        <w:rPr>
          <w:rFonts w:ascii="Times New Roman" w:hAnsi="Times New Roman" w:cs="Times New Roman"/>
          <w:color w:val="000000" w:themeColor="text1"/>
          <w:sz w:val="28"/>
          <w:szCs w:val="28"/>
        </w:rPr>
        <w:t xml:space="preserve">. Il nuovo </w:t>
      </w:r>
      <w:r w:rsidRPr="00383122">
        <w:rPr>
          <w:rFonts w:ascii="Times New Roman" w:hAnsi="Times New Roman" w:cs="Times New Roman"/>
          <w:color w:val="000000" w:themeColor="text1"/>
          <w:sz w:val="28"/>
          <w:szCs w:val="28"/>
        </w:rPr>
        <w:lastRenderedPageBreak/>
        <w:t>sistema di diritto, promosso dal paradigma tridentino voleva soppiantare il pluralismo del diritto canonico classico in tutte le sue varie espressioni con «una visione autoritativa e accentrata in ambito religioso e culturale e con un’uniformità disciplinare in ambito sociale e politico»</w:t>
      </w:r>
      <w:r w:rsidRPr="00383122">
        <w:rPr>
          <w:rStyle w:val="Rimandonotaapidipagina"/>
          <w:rFonts w:ascii="Times New Roman" w:hAnsi="Times New Roman" w:cs="Times New Roman"/>
          <w:color w:val="000000" w:themeColor="text1"/>
          <w:sz w:val="28"/>
          <w:szCs w:val="28"/>
        </w:rPr>
        <w:footnoteReference w:id="4"/>
      </w:r>
      <w:r w:rsidRPr="00383122">
        <w:rPr>
          <w:rFonts w:ascii="Times New Roman" w:hAnsi="Times New Roman" w:cs="Times New Roman"/>
          <w:color w:val="000000" w:themeColor="text1"/>
          <w:sz w:val="28"/>
          <w:szCs w:val="28"/>
        </w:rPr>
        <w:t>.</w:t>
      </w:r>
    </w:p>
    <w:p w14:paraId="2B01DDD9"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In età moderna, dopo la conclusione del Concilio di Trento (1563), si definirono altri modelli missionari e vennero promosse iniziative, che avevano lo scopo di evangelizzare nuovamente popolazioni di territori cristiani ove le sopravvivenze del paganesimo antico, le tracce di eresie e le credenze in superstizioni erano ancora robuste. I missionari agivano a fianco dei parroci e anche le città e non più solo aree isolate furono territorio di missione. Durante il pontificato di Pio IX il diritto missionario venne ristretto sempre di più agli elementi riguardanti le missioni e riavvicinato al diritto comune. Successivamente durante il Concilio Vaticano II (1870) si tentò la codificazione del diritto missionario, che non venne ultimata per la chiusura anticipata del concilio. Nel 1908 la pubblicazione della costituzione </w:t>
      </w:r>
      <w:r w:rsidRPr="00383122">
        <w:rPr>
          <w:rFonts w:ascii="Times New Roman" w:hAnsi="Times New Roman" w:cs="Times New Roman"/>
          <w:i/>
          <w:color w:val="000000" w:themeColor="text1"/>
          <w:sz w:val="28"/>
          <w:szCs w:val="28"/>
        </w:rPr>
        <w:t>Sapienti consilio</w:t>
      </w:r>
      <w:r w:rsidRPr="00383122">
        <w:rPr>
          <w:rFonts w:ascii="Times New Roman" w:hAnsi="Times New Roman" w:cs="Times New Roman"/>
          <w:color w:val="000000" w:themeColor="text1"/>
          <w:sz w:val="28"/>
          <w:szCs w:val="28"/>
        </w:rPr>
        <w:t xml:space="preserve"> riformò la Curia, l’organizzazione interna di Propaganda e contribuì a garantire la sistemazione di alcune questioni, riguardanti le missioni e contemplate specificatamente nel CIC del 1917. Tuttavia molte altre questioni, concernenti le missioni rimasero fuori dalla codificazione e vennero risolte direttamente da Propaganda fide. All’interno di questo lavoro ho analizzato le particolarità del diritto missionario, nel lasso di tempo compreso tra il 1918 e il 1963, partendo dagli AAS e commentando i documenti riguardanti Propaganda fide. Nei primi due capitoli ho cercato di spiegare il valore storico e sociale del diritto missionario, attraverso l’analisi dell’opera di evangelizzazione e degli organi di cui era costituita Propaganda fide. Successivamente ho analizzato, seguendo un criterio storico-cronologico i mutamenti dei confini nei 5 continenti, delle diocesi, dei vicariati, ossia delle strutture facenti parte della gerarchia periferica di Propaganda fide. Questo </w:t>
      </w:r>
      <w:r w:rsidRPr="00383122">
        <w:rPr>
          <w:rFonts w:ascii="Times New Roman" w:hAnsi="Times New Roman" w:cs="Times New Roman"/>
          <w:color w:val="000000" w:themeColor="text1"/>
          <w:sz w:val="28"/>
          <w:szCs w:val="28"/>
        </w:rPr>
        <w:lastRenderedPageBreak/>
        <w:t>capitolo ha mostrato come gli spostamenti di confini o le unioni delle diocesi o dei vicariati fossero riconducibili sia a ragioni di carattere politico, ossia il tentativo di far coincidere i confini della diocesi con quelli dello stato, o della provincia; sia al tentativo di garantire la massimizzazione dell’attività di evangelizzazione, tramite la piena accessibilità dei fedeli ai luoghi di culto.</w:t>
      </w:r>
    </w:p>
    <w:p w14:paraId="01A8A74D"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Infine nell’ultimo capitolo ho cercato di analizzare l’organizzazione interna di Propaganda e le sue strutture dipendenti, partendo dalle modifiche riguardanti gli istituti religiosi, i cui statuti vennero spesso aggiornati dopo il CIC del 1917, analizzando anche le Pontificie Opere Missionarie, più specificatamente le modifiche dei loro organi interni. Queste nacquero con lo scopo di aiutare le missioni attraverso la preghiera e l’offerta e i membri, a norma degli statuti, dovevano essere regolarmente iscritti, e rispettare le condizioni stabilite per godere dei diritti e indulti concessi (cf. cann. 684-99). Poi ho analizzato anche lo statuto giuridico del personale missionario, ossia come di volta in volta Propaganda Fide specificava i ruoli, i doveri e gli organi di riferimento, all’interno delle missioni. In seguito ho analizzato la legislazione missionaria, concentrandomi sulle modalità di organizzazione delle missioni e indicando gli obblighi da adempiere prima di avviare una nuova missione e sulla gestione dei missionari, concentrandomi sulla loro formazione e sottolineando la necessità di garantire il pieno rispetto delle culture locali.</w:t>
      </w:r>
    </w:p>
    <w:p w14:paraId="3E26E3CE"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Infine nell’ultima parte ho parlato delle facoltà, dei privilegi e degli indulti che venivano concessi o tramite Propaganda fide o attraverso la S.C dei riti agli organi dipendenti da Propaganda ed ai singoli missionari responsabili delle missioni per agevolare la loro opera di apostolato. Tra questi privilegi ho dedicato spazio soprattutto al privilegio paolino, che dava la possibilità a determinate condizioni contemplate nel CIC di scogliere un matrimonio legittimo. Inoltre ho analizzato anche la gestione delle cause matrimoniali, </w:t>
      </w:r>
      <w:r w:rsidRPr="00383122">
        <w:rPr>
          <w:rFonts w:ascii="Times New Roman" w:hAnsi="Times New Roman" w:cs="Times New Roman"/>
          <w:color w:val="000000" w:themeColor="text1"/>
          <w:sz w:val="28"/>
          <w:szCs w:val="28"/>
        </w:rPr>
        <w:lastRenderedPageBreak/>
        <w:t>rispetto alle quali Propaganda concedeva la possibilità di avvalersi di for</w:t>
      </w:r>
      <w:r w:rsidR="00D75940">
        <w:rPr>
          <w:rFonts w:ascii="Times New Roman" w:hAnsi="Times New Roman" w:cs="Times New Roman"/>
          <w:color w:val="000000" w:themeColor="text1"/>
          <w:sz w:val="28"/>
          <w:szCs w:val="28"/>
        </w:rPr>
        <w:t>mule abbreviate e semplificate.</w:t>
      </w:r>
    </w:p>
    <w:p w14:paraId="74FE1D77"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p>
    <w:p w14:paraId="53BD5C69"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p>
    <w:p w14:paraId="228EFD7D" w14:textId="77777777" w:rsidR="00D75940" w:rsidRDefault="00D75940" w:rsidP="007C6CCB">
      <w:pPr>
        <w:spacing w:after="0" w:line="360" w:lineRule="auto"/>
        <w:ind w:left="680" w:right="34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CAPITOLO I</w:t>
      </w:r>
    </w:p>
    <w:p w14:paraId="1B17564C"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p>
    <w:p w14:paraId="6956595B" w14:textId="77777777" w:rsidR="00F24444" w:rsidRPr="008D612C" w:rsidRDefault="00F24444" w:rsidP="00484F9B">
      <w:pPr>
        <w:pStyle w:val="Paragrafoelenco"/>
        <w:numPr>
          <w:ilvl w:val="1"/>
          <w:numId w:val="1"/>
        </w:numPr>
        <w:spacing w:after="0" w:line="360" w:lineRule="auto"/>
        <w:ind w:left="680" w:right="340"/>
        <w:jc w:val="both"/>
        <w:rPr>
          <w:rFonts w:ascii="Times New Roman" w:hAnsi="Times New Roman" w:cs="Times New Roman"/>
          <w:i/>
          <w:color w:val="000000" w:themeColor="text1"/>
          <w:sz w:val="28"/>
          <w:szCs w:val="28"/>
        </w:rPr>
      </w:pPr>
      <w:r w:rsidRPr="00383122">
        <w:rPr>
          <w:rFonts w:ascii="Times New Roman" w:hAnsi="Times New Roman" w:cs="Times New Roman"/>
          <w:color w:val="000000" w:themeColor="text1"/>
          <w:sz w:val="28"/>
          <w:szCs w:val="28"/>
        </w:rPr>
        <w:t xml:space="preserve"> </w:t>
      </w:r>
      <w:r w:rsidRPr="008D612C">
        <w:rPr>
          <w:rFonts w:ascii="Times New Roman" w:hAnsi="Times New Roman" w:cs="Times New Roman"/>
          <w:i/>
          <w:color w:val="000000" w:themeColor="text1"/>
          <w:sz w:val="28"/>
          <w:szCs w:val="28"/>
        </w:rPr>
        <w:t>Origine del concetto di missione</w:t>
      </w:r>
    </w:p>
    <w:p w14:paraId="30AED74B" w14:textId="77777777" w:rsidR="00F24444" w:rsidRPr="008D612C" w:rsidRDefault="00F24444" w:rsidP="00484F9B">
      <w:pPr>
        <w:pStyle w:val="Paragrafoelenco"/>
        <w:numPr>
          <w:ilvl w:val="1"/>
          <w:numId w:val="1"/>
        </w:numPr>
        <w:spacing w:after="0" w:line="360" w:lineRule="auto"/>
        <w:ind w:left="680" w:right="340"/>
        <w:jc w:val="both"/>
        <w:rPr>
          <w:rFonts w:ascii="Times New Roman" w:hAnsi="Times New Roman" w:cs="Times New Roman"/>
          <w:i/>
          <w:color w:val="000000" w:themeColor="text1"/>
          <w:sz w:val="28"/>
          <w:szCs w:val="28"/>
        </w:rPr>
      </w:pPr>
      <w:r w:rsidRPr="008D612C">
        <w:rPr>
          <w:rFonts w:ascii="Times New Roman" w:hAnsi="Times New Roman" w:cs="Times New Roman"/>
          <w:i/>
          <w:color w:val="000000" w:themeColor="text1"/>
          <w:sz w:val="28"/>
          <w:szCs w:val="28"/>
        </w:rPr>
        <w:t xml:space="preserve"> Nascita e descrizione delle attività svolte dalla Sacra Congregazione di Propaganda fide</w:t>
      </w:r>
      <w:r w:rsidRPr="008D612C" w:rsidDel="005C0D26">
        <w:rPr>
          <w:rFonts w:ascii="Times New Roman" w:hAnsi="Times New Roman" w:cs="Times New Roman"/>
          <w:i/>
          <w:color w:val="000000" w:themeColor="text1"/>
          <w:sz w:val="28"/>
          <w:szCs w:val="28"/>
        </w:rPr>
        <w:t xml:space="preserve"> </w:t>
      </w:r>
    </w:p>
    <w:p w14:paraId="3E862CEA" w14:textId="77777777" w:rsidR="00F24444" w:rsidRPr="008D612C" w:rsidRDefault="00F24444" w:rsidP="00484F9B">
      <w:pPr>
        <w:pStyle w:val="Paragrafoelenco"/>
        <w:numPr>
          <w:ilvl w:val="1"/>
          <w:numId w:val="1"/>
        </w:numPr>
        <w:spacing w:after="0" w:line="360" w:lineRule="auto"/>
        <w:ind w:left="680" w:right="340"/>
        <w:jc w:val="both"/>
        <w:rPr>
          <w:rFonts w:ascii="Times New Roman" w:hAnsi="Times New Roman" w:cs="Times New Roman"/>
          <w:i/>
          <w:color w:val="000000" w:themeColor="text1"/>
          <w:sz w:val="28"/>
          <w:szCs w:val="28"/>
        </w:rPr>
      </w:pPr>
      <w:r w:rsidRPr="008D612C">
        <w:rPr>
          <w:rFonts w:ascii="Times New Roman" w:hAnsi="Times New Roman" w:cs="Times New Roman"/>
          <w:i/>
          <w:color w:val="000000" w:themeColor="text1"/>
          <w:sz w:val="28"/>
          <w:szCs w:val="28"/>
        </w:rPr>
        <w:t xml:space="preserve"> La nascita della Sacra Congregazione della Chiesa Orientale</w:t>
      </w:r>
    </w:p>
    <w:p w14:paraId="3C75F097" w14:textId="77777777" w:rsidR="00F24444" w:rsidRPr="008D612C" w:rsidRDefault="00F24444" w:rsidP="00484F9B">
      <w:pPr>
        <w:pStyle w:val="Paragrafoelenco"/>
        <w:numPr>
          <w:ilvl w:val="1"/>
          <w:numId w:val="1"/>
        </w:numPr>
        <w:spacing w:after="0" w:line="360" w:lineRule="auto"/>
        <w:ind w:left="680" w:right="340"/>
        <w:jc w:val="both"/>
        <w:rPr>
          <w:rFonts w:ascii="Times New Roman" w:hAnsi="Times New Roman" w:cs="Times New Roman"/>
          <w:i/>
          <w:color w:val="000000" w:themeColor="text1"/>
          <w:sz w:val="28"/>
          <w:szCs w:val="28"/>
        </w:rPr>
      </w:pPr>
      <w:r w:rsidRPr="008D612C">
        <w:rPr>
          <w:rFonts w:ascii="Times New Roman" w:hAnsi="Times New Roman" w:cs="Times New Roman"/>
          <w:i/>
          <w:color w:val="000000" w:themeColor="text1"/>
          <w:sz w:val="28"/>
          <w:szCs w:val="28"/>
        </w:rPr>
        <w:t xml:space="preserve"> La descrizione della gerarchia centrale e periferica</w:t>
      </w:r>
    </w:p>
    <w:p w14:paraId="139B93B2"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3E700033"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p>
    <w:p w14:paraId="20E6C921" w14:textId="7F6384E7" w:rsidR="003B11C2" w:rsidRPr="003B11C2" w:rsidRDefault="00F24444" w:rsidP="00484F9B">
      <w:pPr>
        <w:pStyle w:val="Paragrafoelenco"/>
        <w:numPr>
          <w:ilvl w:val="1"/>
          <w:numId w:val="2"/>
        </w:numPr>
        <w:spacing w:after="0" w:line="360" w:lineRule="auto"/>
        <w:ind w:left="680" w:right="340"/>
        <w:jc w:val="both"/>
        <w:rPr>
          <w:rFonts w:ascii="Times New Roman" w:hAnsi="Times New Roman" w:cs="Times New Roman"/>
          <w:i/>
          <w:color w:val="000000" w:themeColor="text1"/>
          <w:sz w:val="28"/>
          <w:szCs w:val="28"/>
        </w:rPr>
      </w:pPr>
      <w:r w:rsidRPr="00383122">
        <w:rPr>
          <w:rFonts w:ascii="Times New Roman" w:hAnsi="Times New Roman" w:cs="Times New Roman"/>
          <w:color w:val="000000" w:themeColor="text1"/>
          <w:sz w:val="28"/>
          <w:szCs w:val="28"/>
        </w:rPr>
        <w:t xml:space="preserve"> </w:t>
      </w:r>
      <w:r w:rsidRPr="008D612C">
        <w:rPr>
          <w:rFonts w:ascii="Times New Roman" w:hAnsi="Times New Roman" w:cs="Times New Roman"/>
          <w:i/>
          <w:color w:val="000000" w:themeColor="text1"/>
          <w:sz w:val="28"/>
          <w:szCs w:val="28"/>
        </w:rPr>
        <w:t>Origine del concetto di missione</w:t>
      </w:r>
    </w:p>
    <w:p w14:paraId="307601BD"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3A2D7784"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Prima di poter parlare di attività missionaria è necessario spiegare il significato del termine missione.</w:t>
      </w:r>
    </w:p>
    <w:p w14:paraId="7D4EE435"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In greco si utilizza il termine </w:t>
      </w:r>
      <w:r w:rsidRPr="00383122">
        <w:rPr>
          <w:rFonts w:ascii="Times New Roman" w:hAnsi="Times New Roman" w:cs="Times New Roman"/>
          <w:i/>
          <w:color w:val="000000" w:themeColor="text1"/>
          <w:sz w:val="28"/>
          <w:szCs w:val="28"/>
        </w:rPr>
        <w:t>apostello</w:t>
      </w:r>
      <w:r w:rsidRPr="00383122">
        <w:rPr>
          <w:rFonts w:ascii="Times New Roman" w:hAnsi="Times New Roman" w:cs="Times New Roman"/>
          <w:color w:val="000000" w:themeColor="text1"/>
          <w:sz w:val="28"/>
          <w:szCs w:val="28"/>
        </w:rPr>
        <w:t xml:space="preserve">, ossia mandare da cui deriva </w:t>
      </w:r>
      <w:r w:rsidRPr="00383122">
        <w:rPr>
          <w:rFonts w:ascii="Times New Roman" w:hAnsi="Times New Roman" w:cs="Times New Roman"/>
          <w:i/>
          <w:color w:val="000000" w:themeColor="text1"/>
          <w:sz w:val="28"/>
          <w:szCs w:val="28"/>
        </w:rPr>
        <w:t>apostoloi</w:t>
      </w:r>
      <w:r w:rsidRPr="00383122">
        <w:rPr>
          <w:rFonts w:ascii="Times New Roman" w:hAnsi="Times New Roman" w:cs="Times New Roman"/>
          <w:color w:val="000000" w:themeColor="text1"/>
          <w:sz w:val="28"/>
          <w:szCs w:val="28"/>
        </w:rPr>
        <w:t>, ossia apostoli missionari. Quindi già nell’etimologia il termine missione contiene un richiamo alla figura dei missionari.</w:t>
      </w:r>
    </w:p>
    <w:p w14:paraId="5695BC9D"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In latino missione deriva dal verbo </w:t>
      </w:r>
      <w:r w:rsidRPr="00383122">
        <w:rPr>
          <w:rFonts w:ascii="Times New Roman" w:hAnsi="Times New Roman" w:cs="Times New Roman"/>
          <w:i/>
          <w:color w:val="000000" w:themeColor="text1"/>
          <w:sz w:val="28"/>
          <w:szCs w:val="28"/>
        </w:rPr>
        <w:t xml:space="preserve">mittere </w:t>
      </w:r>
      <w:r w:rsidRPr="00383122">
        <w:rPr>
          <w:rFonts w:ascii="Times New Roman" w:hAnsi="Times New Roman" w:cs="Times New Roman"/>
          <w:color w:val="000000" w:themeColor="text1"/>
          <w:sz w:val="28"/>
          <w:szCs w:val="28"/>
        </w:rPr>
        <w:t xml:space="preserve">che significa letteralmente mandare, spedire.  Il sacerdote padovano Egidio Forcellini ha individuato vari significati per il termine </w:t>
      </w:r>
      <w:r w:rsidRPr="00383122">
        <w:rPr>
          <w:rFonts w:ascii="Times New Roman" w:hAnsi="Times New Roman" w:cs="Times New Roman"/>
          <w:i/>
          <w:color w:val="000000" w:themeColor="text1"/>
          <w:sz w:val="28"/>
          <w:szCs w:val="28"/>
        </w:rPr>
        <w:t>missio</w:t>
      </w:r>
      <w:r w:rsidRPr="00383122">
        <w:rPr>
          <w:rFonts w:ascii="Times New Roman" w:hAnsi="Times New Roman" w:cs="Times New Roman"/>
          <w:color w:val="000000" w:themeColor="text1"/>
          <w:sz w:val="28"/>
          <w:szCs w:val="28"/>
        </w:rPr>
        <w:t>, tra i quali: spedire, inviare qualcuno a compiere un ufficio con un mandato statale o per conto di privati, ma anche forme sostantivate riferite ai gladiatori, come per esempio licenza o licenziamento</w:t>
      </w:r>
      <w:r w:rsidRPr="00383122">
        <w:rPr>
          <w:rStyle w:val="Rimandonotaapidipagina"/>
          <w:rFonts w:ascii="Times New Roman" w:hAnsi="Times New Roman" w:cs="Times New Roman"/>
          <w:color w:val="000000" w:themeColor="text1"/>
          <w:sz w:val="28"/>
          <w:szCs w:val="28"/>
        </w:rPr>
        <w:footnoteReference w:id="5"/>
      </w:r>
      <w:r w:rsidRPr="00383122">
        <w:rPr>
          <w:rFonts w:ascii="Times New Roman" w:hAnsi="Times New Roman" w:cs="Times New Roman"/>
          <w:color w:val="000000" w:themeColor="text1"/>
          <w:sz w:val="28"/>
          <w:szCs w:val="28"/>
        </w:rPr>
        <w:t>.</w:t>
      </w:r>
    </w:p>
    <w:p w14:paraId="2B0D0783"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lastRenderedPageBreak/>
        <w:t>Analizzando il significato comune, ossia quello di mandare possiamo notare che potrebbe essere parafrasato in un’accezione teologica ed in una canonistica.</w:t>
      </w:r>
    </w:p>
    <w:p w14:paraId="2DE5F0DA"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Nell’accezione teologica missione è un sinonimo di evangelizzazione. La primaria fonte della missione è la sua natura trinitaria. Gesù è «inviato» e «consacrato»</w:t>
      </w:r>
      <w:r w:rsidRPr="00383122">
        <w:rPr>
          <w:rStyle w:val="Rimandonotaapidipagina"/>
          <w:rFonts w:ascii="Times New Roman" w:hAnsi="Times New Roman" w:cs="Times New Roman"/>
          <w:color w:val="000000" w:themeColor="text1"/>
          <w:sz w:val="28"/>
          <w:szCs w:val="28"/>
        </w:rPr>
        <w:footnoteReference w:id="6"/>
      </w:r>
      <w:r w:rsidRPr="00383122">
        <w:rPr>
          <w:rFonts w:ascii="Times New Roman" w:hAnsi="Times New Roman" w:cs="Times New Roman"/>
          <w:color w:val="000000" w:themeColor="text1"/>
          <w:sz w:val="28"/>
          <w:szCs w:val="28"/>
        </w:rPr>
        <w:t xml:space="preserve"> dal Padre sotto l’azione dello Spirito Santo. Dio Padre ha affidato la missione di salvezza universale a Gesù, allo stesso modo Gesù ha traslato tale missione all’interno della sua Chiesa: «come il Padre ha inviato me, così io mando voi»</w:t>
      </w:r>
      <w:r w:rsidRPr="00383122">
        <w:rPr>
          <w:rStyle w:val="Rimandonotaapidipagina"/>
          <w:rFonts w:ascii="Times New Roman" w:hAnsi="Times New Roman" w:cs="Times New Roman"/>
          <w:color w:val="000000" w:themeColor="text1"/>
          <w:sz w:val="28"/>
          <w:szCs w:val="28"/>
        </w:rPr>
        <w:footnoteReference w:id="7"/>
      </w:r>
      <w:r w:rsidRPr="00383122">
        <w:rPr>
          <w:rFonts w:ascii="Times New Roman" w:hAnsi="Times New Roman" w:cs="Times New Roman"/>
          <w:color w:val="000000" w:themeColor="text1"/>
          <w:sz w:val="28"/>
          <w:szCs w:val="28"/>
        </w:rPr>
        <w:t>.</w:t>
      </w:r>
    </w:p>
    <w:p w14:paraId="2F81115A"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missione quindi è l’espressione della volontà universale di Dio, volta a dirigere la storia verso la salvezza definitiva, attraverso la scelta di «alcuni altri inviati perché prendano coscienza di questa realtà e la trasmettano agli altri»</w:t>
      </w:r>
      <w:r w:rsidRPr="00383122">
        <w:rPr>
          <w:rStyle w:val="Rimandonotaapidipagina"/>
          <w:rFonts w:ascii="Times New Roman" w:hAnsi="Times New Roman" w:cs="Times New Roman"/>
          <w:color w:val="000000" w:themeColor="text1"/>
          <w:sz w:val="28"/>
          <w:szCs w:val="28"/>
        </w:rPr>
        <w:footnoteReference w:id="8"/>
      </w:r>
      <w:r w:rsidRPr="00383122">
        <w:rPr>
          <w:rFonts w:ascii="Times New Roman" w:hAnsi="Times New Roman" w:cs="Times New Roman"/>
          <w:color w:val="000000" w:themeColor="text1"/>
          <w:sz w:val="28"/>
          <w:szCs w:val="28"/>
        </w:rPr>
        <w:t>.</w:t>
      </w:r>
    </w:p>
    <w:p w14:paraId="21C16BCA"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 periodo compreso tra il XII e il XIII secolo si sviluppa un’idea di missione, incentrata sul ritorno ad una Chiesa delle origini, ossia una Chiesa povera, focalizzata nella cura delle anime. Fautori di tale pensiero furono due importanti ordini mendicanti, ovvero quello dei francescani e quello dei domenicani. Tali ordini ottennero riconoscimento da papa Innocenzo III, poiché considerati espressione di una nuova sensibilità, in grado migliorare la Chiesa, ma anche perché venivano visti come uno strumento da usare contro gli eretici, ossia quei movimenti religiosi che muovevano critiche alla Chiesa per il suo attaccamento ai beni materiali. La differenza principale tra i francescani ed i domenicani sta nel fatto che: i francescani erano più aderenti alla regola dei «frati minori di S. Francesco»</w:t>
      </w:r>
      <w:r w:rsidRPr="00383122">
        <w:rPr>
          <w:rStyle w:val="Rimandonotaapidipagina"/>
          <w:rFonts w:ascii="Times New Roman" w:hAnsi="Times New Roman" w:cs="Times New Roman"/>
          <w:color w:val="000000" w:themeColor="text1"/>
          <w:sz w:val="28"/>
          <w:szCs w:val="28"/>
        </w:rPr>
        <w:footnoteReference w:id="9"/>
      </w:r>
      <w:r w:rsidRPr="00383122">
        <w:rPr>
          <w:rFonts w:ascii="Times New Roman" w:hAnsi="Times New Roman" w:cs="Times New Roman"/>
          <w:color w:val="000000" w:themeColor="text1"/>
          <w:sz w:val="28"/>
          <w:szCs w:val="28"/>
        </w:rPr>
        <w:t xml:space="preserve">, ossia il dedicarsi ad una vita ascetica di elemosina, mentre i domenicani pur condividendo il voto di </w:t>
      </w:r>
      <w:r w:rsidRPr="00383122">
        <w:rPr>
          <w:rFonts w:ascii="Times New Roman" w:hAnsi="Times New Roman" w:cs="Times New Roman"/>
          <w:color w:val="000000" w:themeColor="text1"/>
          <w:sz w:val="28"/>
          <w:szCs w:val="28"/>
        </w:rPr>
        <w:lastRenderedPageBreak/>
        <w:t>povertà, erano dediti alla predicazione e di conseguenza allo studio della teologia. Bisogna enumerare tra gli altri ordini mendicanti, anche: gli agostiniani ed i carmelitani, entrambi eremiti ed inoltre i trinitari ed i mercedari, che avevano come scopo la liberazione dei cristiani dai mussulmani.</w:t>
      </w:r>
    </w:p>
    <w:p w14:paraId="7D281C92"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 Successivamente attraverso l’ordine maschile dei gesuiti, si sviluppa un concetto di missione più internazionale. Tale ordine religioso venne fondato da Ignazio di Loyola nel XVI secolo. Quest’ordine religioso, si differenzia dai precedenti, perché accanto ai voti di castità, povertà ed obbedienza, enumera anche un’ubbidienza speciale verso il Papa.</w:t>
      </w:r>
    </w:p>
    <w:p w14:paraId="06DD19D5"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storia della Compagnia si divide in due periodi: il primo (1540-1773) va dalla sua origine alla sua abolizione sotto Clemente XIV, mentre il secondo va dal suo ristabilimento con papa Pio VII nel 1814, fino ai giorni nostri</w:t>
      </w:r>
      <w:r w:rsidRPr="00383122">
        <w:rPr>
          <w:rStyle w:val="Rimandonotaapidipagina"/>
          <w:rFonts w:ascii="Times New Roman" w:hAnsi="Times New Roman" w:cs="Times New Roman"/>
          <w:color w:val="000000" w:themeColor="text1"/>
          <w:sz w:val="28"/>
          <w:szCs w:val="28"/>
        </w:rPr>
        <w:footnoteReference w:id="10"/>
      </w:r>
      <w:r w:rsidRPr="00383122">
        <w:rPr>
          <w:rFonts w:ascii="Times New Roman" w:hAnsi="Times New Roman" w:cs="Times New Roman"/>
          <w:color w:val="000000" w:themeColor="text1"/>
          <w:sz w:val="28"/>
          <w:szCs w:val="28"/>
        </w:rPr>
        <w:t>.</w:t>
      </w:r>
    </w:p>
    <w:p w14:paraId="61A5160E"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All’interno dei gesuiti fu fondamentale la figura di Francesco Saverio, poiché fu il primo ad uscire dall’Europa, per tentare l’evangelizzazione dell’Estremo Oriente ed in particolare del Giappone. Tuttavia, Saverio sopravvalutò l’interesse dei giapponesi per il cristianesimo. Ciò risulta evidente anche nelle sue lettere, nelle quali sosteneva che i giapponesi «ardessero dal desiderio di farsi cristiani», in realtà, oltre al movente economico che li spingeva alla conversione, «lo stupore» di cui parla Saverio era da interpretarsi principalmente in senso negativo e ciò venne capito solo anni dopo</w:t>
      </w:r>
      <w:r w:rsidRPr="00383122">
        <w:rPr>
          <w:rStyle w:val="Rimandonotaapidipagina"/>
          <w:rFonts w:ascii="Times New Roman" w:hAnsi="Times New Roman" w:cs="Times New Roman"/>
          <w:color w:val="000000" w:themeColor="text1"/>
          <w:sz w:val="28"/>
          <w:szCs w:val="28"/>
        </w:rPr>
        <w:footnoteReference w:id="11"/>
      </w:r>
      <w:r w:rsidRPr="00383122">
        <w:rPr>
          <w:rFonts w:ascii="Times New Roman" w:hAnsi="Times New Roman" w:cs="Times New Roman"/>
          <w:color w:val="000000" w:themeColor="text1"/>
          <w:sz w:val="28"/>
          <w:szCs w:val="28"/>
        </w:rPr>
        <w:t xml:space="preserve">. La strategia missionaria, usata dai gesuiti in generale e da Saverio in particolare in Estremo Oriente presentava delle grandi differenze rispetto a quella usata nelle Americhe. Questo perché, mentre nelle Americhe si riteneva fosse necessario avvicinare le popolazioni ad «una forma di convivenza civile, </w:t>
      </w:r>
      <w:r w:rsidRPr="00383122">
        <w:rPr>
          <w:rFonts w:ascii="Times New Roman" w:hAnsi="Times New Roman" w:cs="Times New Roman"/>
          <w:color w:val="000000" w:themeColor="text1"/>
          <w:sz w:val="28"/>
          <w:szCs w:val="28"/>
        </w:rPr>
        <w:lastRenderedPageBreak/>
        <w:t>simile al modello occidentale»</w:t>
      </w:r>
      <w:r w:rsidRPr="00383122">
        <w:rPr>
          <w:rStyle w:val="Rimandonotaapidipagina"/>
          <w:rFonts w:ascii="Times New Roman" w:hAnsi="Times New Roman" w:cs="Times New Roman"/>
          <w:color w:val="000000" w:themeColor="text1"/>
          <w:sz w:val="28"/>
          <w:szCs w:val="28"/>
        </w:rPr>
        <w:footnoteReference w:id="12"/>
      </w:r>
      <w:r w:rsidRPr="00383122">
        <w:rPr>
          <w:rFonts w:ascii="Times New Roman" w:hAnsi="Times New Roman" w:cs="Times New Roman"/>
          <w:color w:val="000000" w:themeColor="text1"/>
          <w:sz w:val="28"/>
          <w:szCs w:val="28"/>
        </w:rPr>
        <w:t>, in Estremo Oriente il riconoscimento di civiltà ampiamente sviluppate, come quella dei giapponesi e dei cinesi spinse i missionari a promuovere un tipo di tattica diversa, basata sull’adattamento alla vita sociale giapponese, o meglio verso tutto ciò che non fosse in contrasto con i principi evangelici.</w:t>
      </w:r>
    </w:p>
    <w:p w14:paraId="322852D6"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 Successivamente tra il XVII ed il XVIII  vi è stato un periodo di crisi e sfiducia che ha investito l’attività missionaria, in concomitanza con le vicende della rivoluzione francese</w:t>
      </w:r>
      <w:r w:rsidRPr="00383122">
        <w:rPr>
          <w:rStyle w:val="Rimandonotaapidipagina"/>
          <w:rFonts w:ascii="Times New Roman" w:hAnsi="Times New Roman" w:cs="Times New Roman"/>
          <w:color w:val="000000" w:themeColor="text1"/>
          <w:sz w:val="28"/>
          <w:szCs w:val="28"/>
        </w:rPr>
        <w:footnoteReference w:id="13"/>
      </w:r>
      <w:r w:rsidRPr="00383122">
        <w:rPr>
          <w:rFonts w:ascii="Times New Roman" w:hAnsi="Times New Roman" w:cs="Times New Roman"/>
          <w:color w:val="000000" w:themeColor="text1"/>
          <w:sz w:val="28"/>
          <w:szCs w:val="28"/>
        </w:rPr>
        <w:t>. Durante questo lasso di tempo, anche causa di un’ideologia illuminista il concetto di missione perse significato, questo alimentò incomprensioni e purtroppo persecuzioni.</w:t>
      </w:r>
    </w:p>
    <w:p w14:paraId="78C84F76"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«restaurazione missionaria»</w:t>
      </w:r>
      <w:r w:rsidRPr="00383122">
        <w:rPr>
          <w:rStyle w:val="Rimandonotaapidipagina"/>
          <w:rFonts w:ascii="Times New Roman" w:hAnsi="Times New Roman" w:cs="Times New Roman"/>
          <w:color w:val="000000" w:themeColor="text1"/>
          <w:sz w:val="28"/>
          <w:szCs w:val="28"/>
        </w:rPr>
        <w:footnoteReference w:id="14"/>
      </w:r>
      <w:r w:rsidRPr="00383122">
        <w:rPr>
          <w:rFonts w:ascii="Times New Roman" w:hAnsi="Times New Roman" w:cs="Times New Roman"/>
          <w:color w:val="000000" w:themeColor="text1"/>
          <w:sz w:val="28"/>
          <w:szCs w:val="28"/>
        </w:rPr>
        <w:t xml:space="preserve"> si ebbe tra il XVIII ed il XIX secolo, sia grazie al miglioramento degli strumenti di navigazione, così da avere la possibilità di accedere a regioni della terra ancora largamente sconosciute, sia grazie alla «glorificazione della religione naturale»</w:t>
      </w:r>
      <w:r w:rsidRPr="00383122">
        <w:rPr>
          <w:rStyle w:val="Rimandonotaapidipagina"/>
          <w:rFonts w:ascii="Times New Roman" w:hAnsi="Times New Roman" w:cs="Times New Roman"/>
          <w:color w:val="000000" w:themeColor="text1"/>
          <w:sz w:val="28"/>
          <w:szCs w:val="28"/>
        </w:rPr>
        <w:footnoteReference w:id="15"/>
      </w:r>
      <w:r w:rsidRPr="00383122">
        <w:rPr>
          <w:rFonts w:ascii="Times New Roman" w:hAnsi="Times New Roman" w:cs="Times New Roman"/>
          <w:color w:val="000000" w:themeColor="text1"/>
          <w:sz w:val="28"/>
          <w:szCs w:val="28"/>
        </w:rPr>
        <w:t>.</w:t>
      </w:r>
    </w:p>
    <w:p w14:paraId="2362E25D"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Il magistero della Chiesa ha promosso le missioni in numerose encicliche tra le quali spiccano: la </w:t>
      </w:r>
      <w:r w:rsidRPr="00383122">
        <w:rPr>
          <w:rFonts w:ascii="Times New Roman" w:hAnsi="Times New Roman" w:cs="Times New Roman"/>
          <w:i/>
          <w:iCs/>
          <w:color w:val="000000" w:themeColor="text1"/>
          <w:sz w:val="28"/>
          <w:szCs w:val="28"/>
        </w:rPr>
        <w:t>Divinum illud</w:t>
      </w:r>
      <w:r w:rsidRPr="00383122">
        <w:rPr>
          <w:rFonts w:ascii="Times New Roman" w:hAnsi="Times New Roman" w:cs="Times New Roman"/>
          <w:color w:val="000000" w:themeColor="text1"/>
          <w:sz w:val="28"/>
          <w:szCs w:val="28"/>
        </w:rPr>
        <w:t xml:space="preserve"> di Leone XIII (9 maggio 1897) e la </w:t>
      </w:r>
      <w:r w:rsidRPr="00383122">
        <w:rPr>
          <w:rFonts w:ascii="Times New Roman" w:hAnsi="Times New Roman" w:cs="Times New Roman"/>
          <w:i/>
          <w:iCs/>
          <w:color w:val="000000" w:themeColor="text1"/>
          <w:sz w:val="28"/>
          <w:szCs w:val="28"/>
        </w:rPr>
        <w:t>Mystici Corporis</w:t>
      </w:r>
      <w:r w:rsidRPr="00383122">
        <w:rPr>
          <w:rFonts w:ascii="Times New Roman" w:hAnsi="Times New Roman" w:cs="Times New Roman"/>
          <w:color w:val="000000" w:themeColor="text1"/>
          <w:sz w:val="28"/>
          <w:szCs w:val="28"/>
        </w:rPr>
        <w:t xml:space="preserve"> di Pio XII (29 giugno 1943), nelle quali è presente il richiamo alla dottrina della missione invisibile dello Spirito Santo nelle singole anime, con particolare attenzione però per la sua funzione sociale all’interno della Chiesa. </w:t>
      </w:r>
    </w:p>
    <w:p w14:paraId="2392CCFF"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La </w:t>
      </w:r>
      <w:r w:rsidRPr="00383122">
        <w:rPr>
          <w:rFonts w:ascii="Times New Roman" w:hAnsi="Times New Roman" w:cs="Times New Roman"/>
          <w:i/>
          <w:iCs/>
          <w:color w:val="000000" w:themeColor="text1"/>
          <w:sz w:val="28"/>
          <w:szCs w:val="28"/>
        </w:rPr>
        <w:t xml:space="preserve">Maximum illud </w:t>
      </w:r>
      <w:r w:rsidRPr="00383122">
        <w:rPr>
          <w:rFonts w:ascii="Times New Roman" w:hAnsi="Times New Roman" w:cs="Times New Roman"/>
          <w:color w:val="000000" w:themeColor="text1"/>
          <w:sz w:val="28"/>
          <w:szCs w:val="28"/>
        </w:rPr>
        <w:t xml:space="preserve">di Benedetto XV (30 novembre 1919), promulgata immediatamente dopo la prima guerra mondiale, è un documento fondamentale per rilanciare l’attività missionaria che la lunga guerra aveva ridotto ai minimi termini. Inoltre esso sarà un punto di riferimento per lo sviluppo dei principi che saranno presenti nel decreto </w:t>
      </w:r>
      <w:r w:rsidRPr="00383122">
        <w:rPr>
          <w:rFonts w:ascii="Times New Roman" w:hAnsi="Times New Roman" w:cs="Times New Roman"/>
          <w:i/>
          <w:iCs/>
          <w:color w:val="000000" w:themeColor="text1"/>
          <w:sz w:val="28"/>
          <w:szCs w:val="28"/>
        </w:rPr>
        <w:t>Ad gentes</w:t>
      </w:r>
      <w:r w:rsidRPr="00383122">
        <w:rPr>
          <w:rFonts w:ascii="Times New Roman" w:hAnsi="Times New Roman" w:cs="Times New Roman"/>
          <w:color w:val="000000" w:themeColor="text1"/>
          <w:sz w:val="28"/>
          <w:szCs w:val="28"/>
        </w:rPr>
        <w:t xml:space="preserve"> (1965), </w:t>
      </w:r>
      <w:r w:rsidRPr="00383122">
        <w:rPr>
          <w:rFonts w:ascii="Times New Roman" w:hAnsi="Times New Roman" w:cs="Times New Roman"/>
          <w:color w:val="000000" w:themeColor="text1"/>
          <w:sz w:val="28"/>
          <w:szCs w:val="28"/>
        </w:rPr>
        <w:lastRenderedPageBreak/>
        <w:t>fondamentale alla fine del Vaticano II per avere una definizione più precisa di missione in termini astratti.</w:t>
      </w:r>
    </w:p>
    <w:p w14:paraId="51CF29DA"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la </w:t>
      </w:r>
      <w:r w:rsidRPr="00383122">
        <w:rPr>
          <w:rFonts w:ascii="Times New Roman" w:hAnsi="Times New Roman" w:cs="Times New Roman"/>
          <w:i/>
          <w:iCs/>
          <w:color w:val="000000" w:themeColor="text1"/>
          <w:sz w:val="28"/>
          <w:szCs w:val="28"/>
        </w:rPr>
        <w:t>Maximum illud</w:t>
      </w:r>
      <w:r w:rsidRPr="00383122">
        <w:rPr>
          <w:rFonts w:ascii="Times New Roman" w:hAnsi="Times New Roman" w:cs="Times New Roman"/>
          <w:color w:val="000000" w:themeColor="text1"/>
          <w:sz w:val="28"/>
          <w:szCs w:val="28"/>
        </w:rPr>
        <w:t xml:space="preserve"> risulta essere un catalogo di doveri rivolti agli ordinari, ai missionari ed ai laici.  Gli ordinari si devono sentire come i capi della missione e per poterne garantire il suo pieno successo è necessario che abbiano alcuni requisiti, tra i quali spiccano, oltre alle innate «doti personali»</w:t>
      </w:r>
      <w:r w:rsidRPr="00383122">
        <w:rPr>
          <w:rStyle w:val="Rimandonotaapidipagina"/>
          <w:rFonts w:ascii="Times New Roman" w:hAnsi="Times New Roman" w:cs="Times New Roman"/>
          <w:color w:val="000000" w:themeColor="text1"/>
          <w:sz w:val="28"/>
          <w:szCs w:val="28"/>
        </w:rPr>
        <w:footnoteReference w:id="16"/>
      </w:r>
      <w:r w:rsidRPr="00383122">
        <w:rPr>
          <w:rFonts w:ascii="Times New Roman" w:hAnsi="Times New Roman" w:cs="Times New Roman"/>
          <w:color w:val="000000" w:themeColor="text1"/>
          <w:sz w:val="28"/>
          <w:szCs w:val="28"/>
        </w:rPr>
        <w:t>, la capacità di garantire lo sviluppo della missione, attraverso il dialogo con ordini diversi e la cura non solo per i cristiani già convertiti, ma anche per la moltitudine di infedeli e di conseguenza la capacità di garantire, attraverso Seminari regionali ed inter-diocesani, la creazione di un clero indigeno, adeguatamente formato così da poter convertire i propri concittadini.</w:t>
      </w:r>
    </w:p>
    <w:p w14:paraId="02BA107E"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Tale enciclica propone un concetto diverso di missione, «non si tratta solamente di una missione </w:t>
      </w:r>
      <w:r w:rsidRPr="00383122">
        <w:rPr>
          <w:rFonts w:ascii="Times New Roman" w:hAnsi="Times New Roman" w:cs="Times New Roman"/>
          <w:i/>
          <w:color w:val="000000" w:themeColor="text1"/>
          <w:sz w:val="28"/>
          <w:szCs w:val="28"/>
        </w:rPr>
        <w:t>ad extra</w:t>
      </w:r>
      <w:r w:rsidRPr="00383122">
        <w:rPr>
          <w:rFonts w:ascii="Times New Roman" w:hAnsi="Times New Roman" w:cs="Times New Roman"/>
          <w:color w:val="000000" w:themeColor="text1"/>
          <w:sz w:val="28"/>
          <w:szCs w:val="28"/>
        </w:rPr>
        <w:t>, magari in senso unidirezionale: l’annuncio del Vangelo non può esserci senza una vera relazione»</w:t>
      </w:r>
      <w:r w:rsidRPr="00383122">
        <w:rPr>
          <w:rStyle w:val="Rimandonotaapidipagina"/>
          <w:rFonts w:ascii="Times New Roman" w:hAnsi="Times New Roman" w:cs="Times New Roman"/>
          <w:color w:val="000000" w:themeColor="text1"/>
          <w:sz w:val="28"/>
          <w:szCs w:val="28"/>
        </w:rPr>
        <w:footnoteReference w:id="17"/>
      </w:r>
      <w:r w:rsidRPr="00383122">
        <w:rPr>
          <w:rFonts w:ascii="Times New Roman" w:hAnsi="Times New Roman" w:cs="Times New Roman"/>
          <w:color w:val="000000" w:themeColor="text1"/>
          <w:sz w:val="28"/>
          <w:szCs w:val="28"/>
        </w:rPr>
        <w:t xml:space="preserve"> in cui il missionario non è chiamato solo ad annunciare ed accogliere, ma anche ad ascoltare ed essere accolto. Proprio per questo tra i doveri del missionario c’è l’obbligo di propagare unicamente il regno di Cristo, andando oltre i piccoli interessi umani; il dovere di una diligente preparazione scientifica e di una profonda conoscenza delle lingue, per garantire, sia il successo dell’opera di evangelizzazione in caso di difficoltà, sia l’insegnamento del catechismo.</w:t>
      </w:r>
    </w:p>
    <w:p w14:paraId="199F4264"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Inoltre all’interno della </w:t>
      </w:r>
      <w:r w:rsidRPr="00383122">
        <w:rPr>
          <w:rFonts w:ascii="Times New Roman" w:hAnsi="Times New Roman" w:cs="Times New Roman"/>
          <w:i/>
          <w:color w:val="000000" w:themeColor="text1"/>
          <w:sz w:val="28"/>
          <w:szCs w:val="28"/>
        </w:rPr>
        <w:t>Maximum illud</w:t>
      </w:r>
      <w:r w:rsidRPr="00383122">
        <w:rPr>
          <w:rFonts w:ascii="Times New Roman" w:hAnsi="Times New Roman" w:cs="Times New Roman"/>
          <w:color w:val="000000" w:themeColor="text1"/>
          <w:sz w:val="28"/>
          <w:szCs w:val="28"/>
        </w:rPr>
        <w:t xml:space="preserve">  la necessità del «dialogo inter-religioso»</w:t>
      </w:r>
      <w:r w:rsidRPr="00383122">
        <w:rPr>
          <w:rStyle w:val="Rimandonotaapidipagina"/>
          <w:rFonts w:ascii="Times New Roman" w:hAnsi="Times New Roman" w:cs="Times New Roman"/>
          <w:color w:val="000000" w:themeColor="text1"/>
          <w:sz w:val="28"/>
          <w:szCs w:val="28"/>
        </w:rPr>
        <w:footnoteReference w:id="18"/>
      </w:r>
      <w:r w:rsidRPr="00383122">
        <w:rPr>
          <w:rFonts w:ascii="Times New Roman" w:hAnsi="Times New Roman" w:cs="Times New Roman"/>
          <w:color w:val="000000" w:themeColor="text1"/>
          <w:sz w:val="28"/>
          <w:szCs w:val="28"/>
        </w:rPr>
        <w:t xml:space="preserve"> è evidente anche nella presenza di doveri generali indirizzati ai cristiani, che si concretizzano in centralità della preghiera, sia come aiuto per i missionari sia per promuovere le vocazioni all’apostolato ed aiuti materiali ossia offerte, necessarie per garantire la formazione di opere, utili alle missioni.</w:t>
      </w:r>
    </w:p>
    <w:p w14:paraId="002FB30E"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lastRenderedPageBreak/>
        <w:t>La prosperità delle missioni dipende dall’adempimento di questi doveri e dall’efficacia dell’unione missionaria del clero, che è presente in ogni diocesi ed è posta alle dipendenze di Propaganda. In questa unione l’azione del clero è indirizzata sia alla conversione dei fedeli, che allo sviluppo ed incremento di opere, già approvate dalla Santa Sede.</w:t>
      </w:r>
    </w:p>
    <w:p w14:paraId="40F4D18A"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 xml:space="preserve">Tali obblighi e doveri vengono ripresi in forma simile anche nell’enciclica </w:t>
      </w:r>
      <w:r w:rsidRPr="00383122">
        <w:rPr>
          <w:rFonts w:ascii="Times New Roman" w:hAnsi="Times New Roman" w:cs="Times New Roman"/>
          <w:i/>
          <w:color w:val="000000" w:themeColor="text1"/>
          <w:sz w:val="28"/>
          <w:szCs w:val="28"/>
          <w:shd w:val="clear" w:color="auto" w:fill="FFFFFF"/>
        </w:rPr>
        <w:t>Rerum Ecclesiae</w:t>
      </w:r>
      <w:r w:rsidRPr="00383122">
        <w:rPr>
          <w:rFonts w:ascii="Times New Roman" w:hAnsi="Times New Roman" w:cs="Times New Roman"/>
          <w:color w:val="000000" w:themeColor="text1"/>
          <w:sz w:val="28"/>
          <w:szCs w:val="28"/>
          <w:shd w:val="clear" w:color="auto" w:fill="FFFFFF"/>
        </w:rPr>
        <w:t xml:space="preserve"> (1926) di Pio XI, all’interno della quale si parla di doveri missionari generali e particolari.</w:t>
      </w:r>
    </w:p>
    <w:p w14:paraId="0B17707B"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1D42DC47"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Una volta delineato il significato di missione a livello teologico, bisogna chiarirne il significato a livello canonistico nel codice di diritto canonico del 1917.</w:t>
      </w:r>
    </w:p>
    <w:p w14:paraId="29094F1C" w14:textId="77777777" w:rsidR="00F24444" w:rsidRPr="00383122" w:rsidRDefault="00F24444" w:rsidP="00484F9B">
      <w:pPr>
        <w:pStyle w:val="Paragrafoelenco"/>
        <w:spacing w:after="0" w:line="360" w:lineRule="auto"/>
        <w:ind w:left="680" w:right="340"/>
        <w:jc w:val="both"/>
        <w:rPr>
          <w:rStyle w:val="fontstyle21"/>
          <w:rFonts w:ascii="Times New Roman" w:hAnsi="Times New Roman" w:cs="Times New Roman"/>
          <w:iCs/>
          <w:color w:val="000000" w:themeColor="text1"/>
          <w:sz w:val="28"/>
          <w:szCs w:val="28"/>
        </w:rPr>
      </w:pPr>
      <w:r w:rsidRPr="00383122">
        <w:rPr>
          <w:rFonts w:ascii="Times New Roman" w:hAnsi="Times New Roman" w:cs="Times New Roman"/>
          <w:color w:val="000000" w:themeColor="text1"/>
          <w:sz w:val="28"/>
          <w:szCs w:val="28"/>
        </w:rPr>
        <w:t>Il senso giuridico di missione è duplice: largo e stretto. In senso largo missione, che nel codice viene definita canonica, indica l’atto della legittima autorità attraverso il quale un soggetto sotto al romano pontefice esercita la potestà di giurisdizione, o una parte di essa. In senso stretto, missione significa missione popolare, ossia le sacre missioni, che possono essere “interne” perché rivolte ai fedeli cattolici oppure “esterne” perché  destinate agli eretici o acattolici e agli infedeli ossia ai non battezzati</w:t>
      </w:r>
      <w:r w:rsidRPr="00383122">
        <w:rPr>
          <w:rStyle w:val="Rimandonotaapidipagina"/>
          <w:rFonts w:ascii="Times New Roman" w:hAnsi="Times New Roman" w:cs="Times New Roman"/>
          <w:i/>
          <w:color w:val="000000" w:themeColor="text1"/>
          <w:sz w:val="28"/>
          <w:szCs w:val="28"/>
        </w:rPr>
        <w:footnoteReference w:id="19"/>
      </w:r>
      <w:r w:rsidRPr="00383122">
        <w:rPr>
          <w:rStyle w:val="fontstyle21"/>
          <w:rFonts w:ascii="Times New Roman" w:hAnsi="Times New Roman" w:cs="Times New Roman"/>
          <w:i/>
          <w:color w:val="000000" w:themeColor="text1"/>
          <w:sz w:val="28"/>
          <w:szCs w:val="28"/>
        </w:rPr>
        <w:t xml:space="preserve">. </w:t>
      </w:r>
    </w:p>
    <w:p w14:paraId="7DB4A9C5" w14:textId="77777777" w:rsidR="00F24444" w:rsidRPr="00383122" w:rsidRDefault="00F24444" w:rsidP="00484F9B">
      <w:pPr>
        <w:pStyle w:val="Paragrafoelenco"/>
        <w:spacing w:after="0" w:line="360" w:lineRule="auto"/>
        <w:ind w:left="680" w:right="340"/>
        <w:jc w:val="both"/>
        <w:rPr>
          <w:rStyle w:val="fontstyle21"/>
          <w:rFonts w:ascii="Times New Roman" w:hAnsi="Times New Roman" w:cs="Times New Roman"/>
          <w:color w:val="000000" w:themeColor="text1"/>
          <w:sz w:val="28"/>
          <w:szCs w:val="28"/>
        </w:rPr>
      </w:pPr>
      <w:r w:rsidRPr="00383122">
        <w:rPr>
          <w:rStyle w:val="fontstyle21"/>
          <w:rFonts w:ascii="Times New Roman" w:hAnsi="Times New Roman" w:cs="Times New Roman"/>
          <w:color w:val="000000" w:themeColor="text1"/>
          <w:sz w:val="28"/>
          <w:szCs w:val="28"/>
        </w:rPr>
        <w:t xml:space="preserve">Inoltre all’interno della definizione in senso stretto rientrano anche le missioni estere. Con tale espressione si fa riferimento ai limiti territoriali e alle modalità di organizzazione delle missioni. In questo senso la parola missione designa il territorio di evangelizzazione nel quale delle quasi parrocchie non sono state ancora erette. Il paese detto di missione è quello dove la gerarchia cattolica non è stata ancora eretta. </w:t>
      </w:r>
    </w:p>
    <w:p w14:paraId="16E1F3FD" w14:textId="77777777" w:rsidR="00F24444" w:rsidRPr="00383122" w:rsidRDefault="00F24444" w:rsidP="00484F9B">
      <w:pPr>
        <w:pStyle w:val="Paragrafoelenco"/>
        <w:spacing w:after="0" w:line="360" w:lineRule="auto"/>
        <w:ind w:left="680" w:right="340"/>
        <w:jc w:val="both"/>
        <w:rPr>
          <w:rStyle w:val="fontstyle21"/>
          <w:rFonts w:ascii="Times New Roman" w:hAnsi="Times New Roman" w:cs="Times New Roman"/>
          <w:color w:val="000000" w:themeColor="text1"/>
          <w:sz w:val="28"/>
          <w:szCs w:val="28"/>
        </w:rPr>
      </w:pPr>
      <w:r w:rsidRPr="00383122">
        <w:rPr>
          <w:rStyle w:val="fontstyle21"/>
          <w:rFonts w:ascii="Times New Roman" w:hAnsi="Times New Roman" w:cs="Times New Roman"/>
          <w:color w:val="000000" w:themeColor="text1"/>
          <w:sz w:val="28"/>
          <w:szCs w:val="28"/>
        </w:rPr>
        <w:t xml:space="preserve">Il papa esercita la sua giurisdizione sulle missioni in tutto il mondo senza limiti mediante la congregazione Propaganda Fide e i suoi mandatari diretti che sono i vicari, i prefetti o delegati apostolici. Tuttavia la missione presso </w:t>
      </w:r>
      <w:r w:rsidRPr="00383122">
        <w:rPr>
          <w:rStyle w:val="fontstyle21"/>
          <w:rFonts w:ascii="Times New Roman" w:hAnsi="Times New Roman" w:cs="Times New Roman"/>
          <w:color w:val="000000" w:themeColor="text1"/>
          <w:sz w:val="28"/>
          <w:szCs w:val="28"/>
        </w:rPr>
        <w:lastRenderedPageBreak/>
        <w:t>gli acattolici che vivono nei paesi dove la gerarchia ecclesiastica non è stabilita spetta in modo esclusivo a lui.</w:t>
      </w:r>
    </w:p>
    <w:p w14:paraId="7559E97A" w14:textId="77777777" w:rsidR="00F24444" w:rsidRPr="00383122" w:rsidRDefault="00F24444" w:rsidP="00484F9B">
      <w:pPr>
        <w:pStyle w:val="Paragrafoelenco"/>
        <w:spacing w:after="0" w:line="360" w:lineRule="auto"/>
        <w:ind w:left="680" w:right="340"/>
        <w:jc w:val="both"/>
        <w:rPr>
          <w:rStyle w:val="fontstyle21"/>
          <w:rFonts w:ascii="Times New Roman" w:hAnsi="Times New Roman" w:cs="Times New Roman"/>
          <w:color w:val="000000" w:themeColor="text1"/>
          <w:sz w:val="28"/>
          <w:szCs w:val="28"/>
        </w:rPr>
      </w:pPr>
    </w:p>
    <w:p w14:paraId="155EF2D8" w14:textId="77777777" w:rsidR="00F24444" w:rsidRPr="00383122" w:rsidRDefault="00F24444" w:rsidP="00484F9B">
      <w:pPr>
        <w:pStyle w:val="Paragrafoelenco"/>
        <w:spacing w:after="0" w:line="360" w:lineRule="auto"/>
        <w:ind w:left="680" w:right="340"/>
        <w:jc w:val="both"/>
        <w:rPr>
          <w:rStyle w:val="fontstyle21"/>
          <w:rFonts w:ascii="Times New Roman" w:hAnsi="Times New Roman" w:cs="Times New Roman"/>
          <w:color w:val="000000" w:themeColor="text1"/>
          <w:sz w:val="28"/>
          <w:szCs w:val="28"/>
        </w:rPr>
      </w:pPr>
      <w:r w:rsidRPr="00383122">
        <w:rPr>
          <w:rStyle w:val="fontstyle21"/>
          <w:rFonts w:ascii="Times New Roman" w:hAnsi="Times New Roman" w:cs="Times New Roman"/>
          <w:color w:val="000000" w:themeColor="text1"/>
          <w:sz w:val="28"/>
          <w:szCs w:val="28"/>
        </w:rPr>
        <w:t xml:space="preserve">L’espressione “altri territori” qui fa riferimento a quelli posti direttamente sotto il controllo della S. C. di Propaganda fide, anche se si tratta di un’espressione controversa in virtù soprattutto dell’abuso che si è fatto nell’ utilizzo dei termini missione e missionario. Tale abuso ha contribuito a conferire al termine un significato molto più esteso, tanto che nel 1937 vi fu la risposta della S.C Propaganda al </w:t>
      </w:r>
      <w:r w:rsidRPr="00383122">
        <w:rPr>
          <w:rStyle w:val="fontstyle21"/>
          <w:rFonts w:ascii="Times New Roman" w:hAnsi="Times New Roman" w:cs="Times New Roman"/>
          <w:i/>
          <w:color w:val="000000" w:themeColor="text1"/>
          <w:sz w:val="28"/>
          <w:szCs w:val="28"/>
        </w:rPr>
        <w:t>Laboremus</w:t>
      </w:r>
      <w:r w:rsidRPr="00383122">
        <w:rPr>
          <w:rStyle w:val="fontstyle21"/>
          <w:rFonts w:ascii="Times New Roman" w:hAnsi="Times New Roman" w:cs="Times New Roman"/>
          <w:color w:val="000000" w:themeColor="text1"/>
          <w:sz w:val="28"/>
          <w:szCs w:val="28"/>
        </w:rPr>
        <w:t>, in cui spiegava quali dovessero considerarsi territori di missione, dicendo: «sono da considerarsi territori di missione (…) tutti quei luoghi nei quali un sacerdote esplica la sua attività apostolica-religiosa fra non cristiani e cristiani dissidenti, in forza di un mandato ricevuto dalla legittima autorità»</w:t>
      </w:r>
      <w:r w:rsidRPr="00383122">
        <w:rPr>
          <w:rStyle w:val="Rimandonotaapidipagina"/>
          <w:rFonts w:ascii="Times New Roman" w:hAnsi="Times New Roman" w:cs="Times New Roman"/>
          <w:color w:val="000000" w:themeColor="text1"/>
          <w:sz w:val="28"/>
          <w:szCs w:val="28"/>
        </w:rPr>
        <w:footnoteReference w:id="20"/>
      </w:r>
      <w:r w:rsidRPr="00383122">
        <w:rPr>
          <w:rStyle w:val="fontstyle21"/>
          <w:rFonts w:ascii="Times New Roman" w:hAnsi="Times New Roman" w:cs="Times New Roman"/>
          <w:color w:val="000000" w:themeColor="text1"/>
          <w:sz w:val="28"/>
          <w:szCs w:val="28"/>
        </w:rPr>
        <w:t>.</w:t>
      </w:r>
    </w:p>
    <w:p w14:paraId="1D401711" w14:textId="77777777" w:rsidR="00F24444" w:rsidRPr="00383122" w:rsidRDefault="00F24444" w:rsidP="00484F9B">
      <w:pPr>
        <w:pStyle w:val="Paragrafoelenco"/>
        <w:spacing w:after="0" w:line="360" w:lineRule="auto"/>
        <w:ind w:left="680" w:right="340"/>
        <w:jc w:val="both"/>
        <w:rPr>
          <w:rStyle w:val="fontstyle21"/>
          <w:rFonts w:ascii="Times New Roman" w:hAnsi="Times New Roman" w:cs="Times New Roman"/>
          <w:color w:val="000000" w:themeColor="text1"/>
          <w:sz w:val="28"/>
          <w:szCs w:val="28"/>
        </w:rPr>
      </w:pPr>
      <w:r w:rsidRPr="00383122">
        <w:rPr>
          <w:rStyle w:val="fontstyle21"/>
          <w:rFonts w:ascii="Times New Roman" w:hAnsi="Times New Roman" w:cs="Times New Roman"/>
          <w:color w:val="000000" w:themeColor="text1"/>
          <w:sz w:val="28"/>
          <w:szCs w:val="28"/>
        </w:rPr>
        <w:t>Nel terzo paragrafo del canone 252 vi è una distinzione delle missioni in due macro-categorie, sulla base dei territori in cui è stata stabilita una gerarchia ecclesiastica e quelli in cui non è stata ancora costruita tale sacra gerarchia.</w:t>
      </w:r>
    </w:p>
    <w:p w14:paraId="3EC1A18C" w14:textId="77777777" w:rsidR="00F24444" w:rsidRPr="00383122" w:rsidRDefault="00F24444" w:rsidP="00484F9B">
      <w:pPr>
        <w:pStyle w:val="Paragrafoelenco"/>
        <w:spacing w:after="0" w:line="360" w:lineRule="auto"/>
        <w:ind w:left="680" w:right="340"/>
        <w:jc w:val="both"/>
        <w:rPr>
          <w:rStyle w:val="fontstyle21"/>
          <w:rFonts w:ascii="Times New Roman" w:hAnsi="Times New Roman" w:cs="Times New Roman"/>
          <w:i/>
          <w:color w:val="000000" w:themeColor="text1"/>
          <w:sz w:val="28"/>
          <w:szCs w:val="28"/>
        </w:rPr>
      </w:pPr>
      <w:r w:rsidRPr="00383122">
        <w:rPr>
          <w:rStyle w:val="fontstyle21"/>
          <w:rFonts w:ascii="Times New Roman" w:hAnsi="Times New Roman" w:cs="Times New Roman"/>
          <w:color w:val="000000" w:themeColor="text1"/>
          <w:sz w:val="28"/>
          <w:szCs w:val="28"/>
        </w:rPr>
        <w:t>Alla prima categoria appartengono: le arcidiocesi e le diocesi, mentre alla seconda categoria appartengono: i vicariati apostolici, le prefetture apostoliche e le missioni autonome o “</w:t>
      </w:r>
      <w:r w:rsidRPr="00383122">
        <w:rPr>
          <w:rStyle w:val="fontstyle21"/>
          <w:rFonts w:ascii="Times New Roman" w:hAnsi="Times New Roman" w:cs="Times New Roman"/>
          <w:i/>
          <w:color w:val="000000" w:themeColor="text1"/>
          <w:sz w:val="28"/>
          <w:szCs w:val="28"/>
        </w:rPr>
        <w:t>sui   iuris”.</w:t>
      </w:r>
    </w:p>
    <w:p w14:paraId="255F3E72" w14:textId="77777777" w:rsidR="00F24444" w:rsidRPr="00383122" w:rsidRDefault="00F24444" w:rsidP="00484F9B">
      <w:pPr>
        <w:pStyle w:val="Paragrafoelenco"/>
        <w:spacing w:after="0" w:line="360" w:lineRule="auto"/>
        <w:ind w:left="680" w:right="340"/>
        <w:jc w:val="both"/>
        <w:rPr>
          <w:rStyle w:val="fontstyle21"/>
          <w:rFonts w:ascii="Times New Roman" w:hAnsi="Times New Roman" w:cs="Times New Roman"/>
          <w:color w:val="000000" w:themeColor="text1"/>
          <w:sz w:val="28"/>
          <w:szCs w:val="28"/>
        </w:rPr>
      </w:pPr>
      <w:r w:rsidRPr="00383122">
        <w:rPr>
          <w:rStyle w:val="fontstyle21"/>
          <w:rFonts w:ascii="Times New Roman" w:hAnsi="Times New Roman" w:cs="Times New Roman"/>
          <w:color w:val="000000" w:themeColor="text1"/>
          <w:sz w:val="28"/>
          <w:szCs w:val="28"/>
        </w:rPr>
        <w:t xml:space="preserve">Inoltre vi è un ulteriore tipo ossia le abbazie </w:t>
      </w:r>
      <w:r w:rsidRPr="00383122">
        <w:rPr>
          <w:rStyle w:val="fontstyle21"/>
          <w:rFonts w:ascii="Times New Roman" w:hAnsi="Times New Roman" w:cs="Times New Roman"/>
          <w:i/>
          <w:color w:val="000000" w:themeColor="text1"/>
          <w:sz w:val="28"/>
          <w:szCs w:val="28"/>
        </w:rPr>
        <w:t>nullius</w:t>
      </w:r>
      <w:r w:rsidRPr="00383122">
        <w:rPr>
          <w:rStyle w:val="fontstyle21"/>
          <w:rFonts w:ascii="Times New Roman" w:hAnsi="Times New Roman" w:cs="Times New Roman"/>
          <w:color w:val="000000" w:themeColor="text1"/>
          <w:sz w:val="28"/>
          <w:szCs w:val="28"/>
        </w:rPr>
        <w:t xml:space="preserve"> che sono ibride e possono rientrare, se assumono la forma di diocesi nella prima categoria, mentre se assumono la forma di quasi diocesi all’ interno della seconda categoria.</w:t>
      </w:r>
    </w:p>
    <w:p w14:paraId="51EB52EF"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Oltre a queste divisioni principali se ne possono enumerare altre che vengono chiamate «missioni in senso più o meno largo», </w:t>
      </w:r>
      <w:r w:rsidRPr="00383122">
        <w:rPr>
          <w:rStyle w:val="Rimandonotaapidipagina"/>
          <w:rFonts w:ascii="Times New Roman" w:hAnsi="Times New Roman" w:cs="Times New Roman"/>
          <w:color w:val="000000" w:themeColor="text1"/>
          <w:sz w:val="28"/>
          <w:szCs w:val="28"/>
        </w:rPr>
        <w:footnoteReference w:id="21"/>
      </w:r>
      <w:r w:rsidRPr="00383122">
        <w:rPr>
          <w:rFonts w:ascii="Times New Roman" w:hAnsi="Times New Roman" w:cs="Times New Roman"/>
          <w:color w:val="000000" w:themeColor="text1"/>
          <w:sz w:val="28"/>
          <w:szCs w:val="28"/>
        </w:rPr>
        <w:t xml:space="preserve">ossia: </w:t>
      </w:r>
    </w:p>
    <w:p w14:paraId="73CA27FC"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-le parrocchie o le quasi parrocchie; </w:t>
      </w:r>
    </w:p>
    <w:p w14:paraId="2D6CD101"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-il territorio di una circoscrizione ecclesiastica non ancora eretto in quasi parrocchia o senza ancora limiti precisi; </w:t>
      </w:r>
    </w:p>
    <w:p w14:paraId="429AE0EA"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lastRenderedPageBreak/>
        <w:t>-la missione non autonoma quindi dipendente da un Ordinario;</w:t>
      </w:r>
    </w:p>
    <w:p w14:paraId="4AB34AC6"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il territorio di più regioni ecclesiastiche, come ad esempio le missioni affidate ai religiosi;</w:t>
      </w:r>
    </w:p>
    <w:p w14:paraId="5B4858A2"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la residenza dei missionari considerata materialmente.</w:t>
      </w:r>
    </w:p>
    <w:p w14:paraId="017D1C5E"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Nei singoli casi il contesto indicherà l’accezione, in cui rientra la missione.</w:t>
      </w:r>
    </w:p>
    <w:p w14:paraId="37B5E9A3"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58D0E17D"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L’analisi dei significati dogmatici e giuridici di missione serve per comprendere oggetto e fine delle missioni.</w:t>
      </w:r>
    </w:p>
    <w:p w14:paraId="60676475"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Ci sono varie scuole di pensiero sulla definizione dell’oggetto della missione. Si tratta principalmente di tre scuole di pensiero.</w:t>
      </w:r>
    </w:p>
    <w:p w14:paraId="7985B37E"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prima è «la scuola di Munster»</w:t>
      </w:r>
      <w:r w:rsidRPr="00383122">
        <w:rPr>
          <w:rStyle w:val="Rimandonotaapidipagina"/>
          <w:rFonts w:ascii="Times New Roman" w:hAnsi="Times New Roman" w:cs="Times New Roman"/>
          <w:color w:val="000000" w:themeColor="text1"/>
          <w:sz w:val="28"/>
          <w:szCs w:val="28"/>
        </w:rPr>
        <w:footnoteReference w:id="22"/>
      </w:r>
      <w:r w:rsidRPr="00383122">
        <w:rPr>
          <w:rFonts w:ascii="Times New Roman" w:hAnsi="Times New Roman" w:cs="Times New Roman"/>
          <w:color w:val="000000" w:themeColor="text1"/>
          <w:sz w:val="28"/>
          <w:szCs w:val="28"/>
        </w:rPr>
        <w:t>, capitanata da Schmidlin, la quale sostiene che debbano considerarsi missioni solo quelle tra i non cristiani, ossia i pagani, volte ad annunciare il Vangelo a tutte le nazioni e a battezzarle.</w:t>
      </w:r>
    </w:p>
    <w:p w14:paraId="5CA3F81F"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seconda è «la scuola di Lovanio»</w:t>
      </w:r>
      <w:r w:rsidRPr="00383122">
        <w:rPr>
          <w:rStyle w:val="Rimandonotaapidipagina"/>
          <w:rFonts w:ascii="Times New Roman" w:hAnsi="Times New Roman" w:cs="Times New Roman"/>
          <w:color w:val="000000" w:themeColor="text1"/>
          <w:sz w:val="28"/>
          <w:szCs w:val="28"/>
        </w:rPr>
        <w:footnoteReference w:id="23"/>
      </w:r>
      <w:r w:rsidRPr="00383122">
        <w:rPr>
          <w:rFonts w:ascii="Times New Roman" w:hAnsi="Times New Roman" w:cs="Times New Roman"/>
          <w:color w:val="000000" w:themeColor="text1"/>
          <w:sz w:val="28"/>
          <w:szCs w:val="28"/>
        </w:rPr>
        <w:t>, che considera le missioni utili non per la cura delle anime, ma per la natura della Chiesa, o meglio per accrescere la sua cattolicità, ossia il suo carattere universale.</w:t>
      </w:r>
    </w:p>
    <w:p w14:paraId="5DFB9C85"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terza scuola di pensiero è quella sostenuta da Grentrup e Vromant, con «la teoria della plantazione», nella quale si sottolinea che i problemi delle missioni sono: la salvezza degli infedeli e la diffusione della Chiesa. Però tale teoria presenta delle problematiche, connesse principalmente alla cura degli infedeli, perché questa si può realizzare ovunque, quindi anche dove la Chiesa non è rigidamente stabilita.</w:t>
      </w:r>
    </w:p>
    <w:p w14:paraId="18B07608"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In virtù di ciò gli scopi principali delle missioni sono: la conversione e la salvezza delle anime ed anche piantare la Chiesa dove non esiste.</w:t>
      </w:r>
    </w:p>
    <w:p w14:paraId="44ACD0F8"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Queste finalità possono essere sintetizzate nell’espressione «cristianizzazione in senso largo»</w:t>
      </w:r>
      <w:r w:rsidRPr="00383122">
        <w:rPr>
          <w:rStyle w:val="Rimandonotaapidipagina"/>
          <w:rFonts w:ascii="Times New Roman" w:hAnsi="Times New Roman" w:cs="Times New Roman"/>
          <w:color w:val="000000" w:themeColor="text1"/>
          <w:sz w:val="28"/>
          <w:szCs w:val="28"/>
        </w:rPr>
        <w:footnoteReference w:id="24"/>
      </w:r>
      <w:r w:rsidRPr="00383122">
        <w:rPr>
          <w:rFonts w:ascii="Times New Roman" w:hAnsi="Times New Roman" w:cs="Times New Roman"/>
          <w:color w:val="000000" w:themeColor="text1"/>
          <w:sz w:val="28"/>
          <w:szCs w:val="28"/>
        </w:rPr>
        <w:t xml:space="preserve">, che presuppone una scomposizione dell’attività missionaria in un oggetto principale ed in uno secondario. L’oggetto principale sarebbe la </w:t>
      </w:r>
      <w:r w:rsidRPr="00383122">
        <w:rPr>
          <w:rFonts w:ascii="Times New Roman" w:hAnsi="Times New Roman" w:cs="Times New Roman"/>
          <w:color w:val="000000" w:themeColor="text1"/>
          <w:sz w:val="28"/>
          <w:szCs w:val="28"/>
        </w:rPr>
        <w:lastRenderedPageBreak/>
        <w:t>conversione dei non cristiani al cristianesimo, mentre quello secondario sarebbe l’estensione e lo stabilimento della Chiesa, come conseguenza dell’oggetto principale.</w:t>
      </w:r>
    </w:p>
    <w:p w14:paraId="1BCA9574"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Questa analisi dei significati di missione risulta necessaria per distinguere tra fine e motivo dell’attività missionaria.</w:t>
      </w:r>
    </w:p>
    <w:p w14:paraId="45D44394"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Il fine è ciò a cui tende l’azione, mentre il motivo è il principio che giustifica l’azione. Fatte queste premesse la finalità principale dell’attività missionaria è la “plantazione”, intesa sia come predicazione del Vangelo, che conversione dei fedeli. </w:t>
      </w:r>
    </w:p>
    <w:p w14:paraId="7B3166B2"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Questa sintesi di significati mostra come la salvezza delle anime e la propagazione della fede non debbano essere considerate finalità antitetiche, ma speculari.</w:t>
      </w:r>
    </w:p>
    <w:p w14:paraId="313DA404"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L’unica problematica con cui si scontra l’attività missionaria ha carattere pratico, perché fa riferimento all’imperativo, secondo il quale “la Chiesa deve poter esistere ovunque”, dotandosi di un proprio popolo, un proprio clero e delle proprie strutture.</w:t>
      </w:r>
    </w:p>
    <w:p w14:paraId="24C9EFEB"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«Perciò si allontanano dalla verità divina coloro che si immaginano la Chiesa come se non si potesse né raggiungere ne vedere, quasi che fosse una cosa "pneumatica" (come dicono) per la quale molte comunità di cristiani, sebbene vicendevolmente separate per fede, tuttavia sarebbero congiunte tra loro da un vincolo invisibile»</w:t>
      </w:r>
      <w:r w:rsidRPr="00383122">
        <w:rPr>
          <w:rStyle w:val="Rimandonotaapidipagina"/>
          <w:rFonts w:ascii="Times New Roman" w:hAnsi="Times New Roman" w:cs="Times New Roman"/>
          <w:color w:val="000000" w:themeColor="text1"/>
          <w:sz w:val="28"/>
          <w:szCs w:val="28"/>
        </w:rPr>
        <w:footnoteReference w:id="25"/>
      </w:r>
      <w:r w:rsidRPr="00383122">
        <w:rPr>
          <w:rFonts w:ascii="Times New Roman" w:hAnsi="Times New Roman" w:cs="Times New Roman"/>
          <w:color w:val="000000" w:themeColor="text1"/>
          <w:sz w:val="28"/>
          <w:szCs w:val="28"/>
        </w:rPr>
        <w:t>.</w:t>
      </w:r>
    </w:p>
    <w:p w14:paraId="61FA97DF"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65A138E0"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1.2 </w:t>
      </w:r>
      <w:r w:rsidRPr="007D5C80">
        <w:rPr>
          <w:rFonts w:ascii="Times New Roman" w:hAnsi="Times New Roman" w:cs="Times New Roman"/>
          <w:i/>
          <w:color w:val="000000" w:themeColor="text1"/>
          <w:sz w:val="28"/>
          <w:szCs w:val="28"/>
        </w:rPr>
        <w:t>La nascita e descrizioni delle attività della Sacra Congregazione di Propaganda fide</w:t>
      </w:r>
      <w:r w:rsidRPr="00383122">
        <w:rPr>
          <w:rFonts w:ascii="Times New Roman" w:hAnsi="Times New Roman" w:cs="Times New Roman"/>
          <w:color w:val="000000" w:themeColor="text1"/>
          <w:sz w:val="28"/>
          <w:szCs w:val="28"/>
        </w:rPr>
        <w:t xml:space="preserve"> </w:t>
      </w:r>
    </w:p>
    <w:p w14:paraId="750FD4AB"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p>
    <w:p w14:paraId="7B5EA884"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La congregazione per l’evangelizzazione dei popoli, storicamente denominata De Propaganda Fide, è uno dei dicasteri che formano la curia romana, cioè, </w:t>
      </w:r>
      <w:r w:rsidRPr="00383122">
        <w:rPr>
          <w:rFonts w:ascii="Times New Roman" w:hAnsi="Times New Roman" w:cs="Times New Roman"/>
          <w:color w:val="000000" w:themeColor="text1"/>
          <w:sz w:val="28"/>
          <w:szCs w:val="28"/>
        </w:rPr>
        <w:lastRenderedPageBreak/>
        <w:t>«l’insieme dei dicasteri e degli organismi che coadiuvano il romano Pontefice nell’esercizio del suo supremo ufficio pastorale per il bene e il servizio della chiesa universale e delle chiese particolari»</w:t>
      </w:r>
      <w:r w:rsidRPr="00383122">
        <w:rPr>
          <w:rStyle w:val="Rimandonotaapidipagina"/>
          <w:rFonts w:ascii="Times New Roman" w:hAnsi="Times New Roman" w:cs="Times New Roman"/>
          <w:color w:val="000000" w:themeColor="text1"/>
          <w:sz w:val="28"/>
          <w:szCs w:val="28"/>
        </w:rPr>
        <w:footnoteReference w:id="26"/>
      </w:r>
      <w:r w:rsidRPr="00383122">
        <w:rPr>
          <w:rFonts w:ascii="Times New Roman" w:hAnsi="Times New Roman" w:cs="Times New Roman"/>
          <w:color w:val="000000" w:themeColor="text1"/>
          <w:sz w:val="28"/>
          <w:szCs w:val="28"/>
        </w:rPr>
        <w:t>.</w:t>
      </w:r>
    </w:p>
    <w:p w14:paraId="6ACBE2DD"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Gli antecedenti storici della nascita di Propaganda fide sono rintracciabili nell’attività di Pio V e di Clemente VIII.</w:t>
      </w:r>
    </w:p>
    <w:p w14:paraId="2ACB1E6A"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Questo perché Pio V, incoraggiato da Francesco di Borja, generale dei gesuiti, eresse una congregazione cardinalizia per gli affari spirituali delle missioni ed un’altra per gli affari della Chiesa in Germania e negli altri paesi protestanti, però «l’iniziativa andò a vuoto per il fatto che Filippo II di Spagna non tollerava che i cardinali si “immischiassero” negli affari missionari del suo impero»</w:t>
      </w:r>
      <w:r w:rsidRPr="00383122">
        <w:rPr>
          <w:rStyle w:val="Rimandonotaapidipagina"/>
          <w:rFonts w:ascii="Times New Roman" w:hAnsi="Times New Roman" w:cs="Times New Roman"/>
          <w:color w:val="000000" w:themeColor="text1"/>
          <w:sz w:val="28"/>
          <w:szCs w:val="28"/>
        </w:rPr>
        <w:footnoteReference w:id="27"/>
      </w:r>
      <w:r w:rsidRPr="00383122">
        <w:rPr>
          <w:rFonts w:ascii="Times New Roman" w:hAnsi="Times New Roman" w:cs="Times New Roman"/>
          <w:color w:val="000000" w:themeColor="text1"/>
          <w:sz w:val="28"/>
          <w:szCs w:val="28"/>
        </w:rPr>
        <w:t xml:space="preserve">. Mentre Clemente VIII riuscì ad istituire una congregazione de Propaganda Fide che ebbe però una breve durata (1599-1604) a causa della resistenza delle potenze del patronato spagnolo e portoghese e della morte del suo animatore, il cardinale Giulio Antonio Santori. </w:t>
      </w:r>
    </w:p>
    <w:p w14:paraId="26A61DF1"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Finalmente il 6 gennaio 1622 Gregorio XV, con la bolla </w:t>
      </w:r>
      <w:r w:rsidRPr="00383122">
        <w:rPr>
          <w:rFonts w:ascii="Times New Roman" w:hAnsi="Times New Roman" w:cs="Times New Roman"/>
          <w:i/>
          <w:color w:val="000000" w:themeColor="text1"/>
          <w:sz w:val="28"/>
          <w:szCs w:val="28"/>
        </w:rPr>
        <w:t xml:space="preserve">Inscrutabili divinae Providentiae arcano </w:t>
      </w:r>
      <w:r w:rsidRPr="00383122">
        <w:rPr>
          <w:rFonts w:ascii="Times New Roman" w:hAnsi="Times New Roman" w:cs="Times New Roman"/>
          <w:color w:val="000000" w:themeColor="text1"/>
          <w:sz w:val="28"/>
          <w:szCs w:val="28"/>
        </w:rPr>
        <w:t xml:space="preserve">eresse la congregazione de Propaganda Fide. La congregazione all’atto di erezione era composta da 13 cardinali, di cui un prefetto, due prelati ed un segretario. </w:t>
      </w:r>
    </w:p>
    <w:p w14:paraId="4DD7615E"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Propaganda fide aveva al suo interno: una congregazione generale, che si riuniva una volta al mese </w:t>
      </w:r>
      <w:r w:rsidRPr="00383122">
        <w:rPr>
          <w:rFonts w:ascii="Times New Roman" w:hAnsi="Times New Roman" w:cs="Times New Roman"/>
          <w:i/>
          <w:color w:val="000000" w:themeColor="text1"/>
          <w:sz w:val="28"/>
          <w:szCs w:val="28"/>
        </w:rPr>
        <w:t>coram Sanctissimo</w:t>
      </w:r>
      <w:r w:rsidRPr="00383122">
        <w:rPr>
          <w:rFonts w:ascii="Times New Roman" w:hAnsi="Times New Roman" w:cs="Times New Roman"/>
          <w:color w:val="000000" w:themeColor="text1"/>
          <w:sz w:val="28"/>
          <w:szCs w:val="28"/>
        </w:rPr>
        <w:t>,</w:t>
      </w:r>
      <w:r w:rsidRPr="00383122">
        <w:rPr>
          <w:rFonts w:ascii="Times New Roman" w:hAnsi="Times New Roman" w:cs="Times New Roman"/>
          <w:iCs/>
          <w:color w:val="000000" w:themeColor="text1"/>
          <w:sz w:val="28"/>
          <w:szCs w:val="28"/>
        </w:rPr>
        <w:t xml:space="preserve"> cioè davanti al papa,</w:t>
      </w:r>
      <w:r w:rsidRPr="00383122">
        <w:rPr>
          <w:rFonts w:ascii="Times New Roman" w:hAnsi="Times New Roman" w:cs="Times New Roman"/>
          <w:color w:val="000000" w:themeColor="text1"/>
          <w:sz w:val="28"/>
          <w:szCs w:val="28"/>
        </w:rPr>
        <w:t xml:space="preserve"> per discutere le questioni più importanti; una congregazione particolare, ovvero una commissione creata </w:t>
      </w:r>
      <w:r w:rsidRPr="00383122">
        <w:rPr>
          <w:rFonts w:ascii="Times New Roman" w:hAnsi="Times New Roman" w:cs="Times New Roman"/>
          <w:i/>
          <w:color w:val="000000" w:themeColor="text1"/>
          <w:sz w:val="28"/>
          <w:szCs w:val="28"/>
        </w:rPr>
        <w:t>ad hoc</w:t>
      </w:r>
      <w:r w:rsidRPr="00383122">
        <w:rPr>
          <w:rFonts w:ascii="Times New Roman" w:hAnsi="Times New Roman" w:cs="Times New Roman"/>
          <w:color w:val="000000" w:themeColor="text1"/>
          <w:sz w:val="28"/>
          <w:szCs w:val="28"/>
        </w:rPr>
        <w:t xml:space="preserve"> per il disbrigo di specifiche questioni, composta da cardinali qualificati ed infine il congresso che si riuniva una volta alla settimana per l’espletamento delle questioni correnti, a cui provvede il </w:t>
      </w:r>
      <w:r w:rsidRPr="00383122">
        <w:rPr>
          <w:rFonts w:ascii="Times New Roman" w:hAnsi="Times New Roman" w:cs="Times New Roman"/>
          <w:color w:val="000000" w:themeColor="text1"/>
          <w:sz w:val="28"/>
          <w:szCs w:val="28"/>
        </w:rPr>
        <w:lastRenderedPageBreak/>
        <w:t>cardinale prefetto, insieme ai segretari ed ai minutanti. Le problematiche che richiedevano l’intervento del pontefice, gli venivano sottoposte dal cardinale prefetto in apposita udienza.</w:t>
      </w:r>
    </w:p>
    <w:p w14:paraId="5ABF438A"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congregazione divenne l’organo centrale e supremo per la propagazione della fede con un duplice compito: mirare all’unione delle chiese ortodosse e protestanti e promuovere ed organizzare le missioni tra i non cristiani.  Tale attività di propagazione era frutto di «nuova sensibilità missionaria»</w:t>
      </w:r>
      <w:r w:rsidRPr="00383122">
        <w:rPr>
          <w:rStyle w:val="Rimandonotaapidipagina"/>
          <w:rFonts w:ascii="Times New Roman" w:hAnsi="Times New Roman" w:cs="Times New Roman"/>
          <w:color w:val="000000" w:themeColor="text1"/>
          <w:sz w:val="28"/>
          <w:szCs w:val="28"/>
        </w:rPr>
        <w:footnoteReference w:id="28"/>
      </w:r>
      <w:r w:rsidRPr="00383122">
        <w:rPr>
          <w:rFonts w:ascii="Times New Roman" w:hAnsi="Times New Roman" w:cs="Times New Roman"/>
          <w:color w:val="000000" w:themeColor="text1"/>
          <w:sz w:val="28"/>
          <w:szCs w:val="28"/>
        </w:rPr>
        <w:t>, evidente anche nella creazione da parte di papa Pio V di una commissione cardinalizia nel 1568, volta ad esaminare il problema missionario, eliminando completamente nell’attività di evangelizzazione la componente politica, così garantire l’impiego solo di quella spirituale.  L’opera di evangelizzazione divenne più completa, in quanto non più rivolta solo agli «infedeli extraeuropei», ma anche «agli eretici europei»</w:t>
      </w:r>
      <w:r w:rsidRPr="00383122">
        <w:rPr>
          <w:rStyle w:val="Rimandonotaapidipagina"/>
          <w:rFonts w:ascii="Times New Roman" w:hAnsi="Times New Roman" w:cs="Times New Roman"/>
          <w:color w:val="000000" w:themeColor="text1"/>
          <w:sz w:val="28"/>
          <w:szCs w:val="28"/>
        </w:rPr>
        <w:footnoteReference w:id="29"/>
      </w:r>
      <w:r w:rsidRPr="00383122">
        <w:rPr>
          <w:rFonts w:ascii="Times New Roman" w:hAnsi="Times New Roman" w:cs="Times New Roman"/>
          <w:color w:val="000000" w:themeColor="text1"/>
          <w:sz w:val="28"/>
          <w:szCs w:val="28"/>
        </w:rPr>
        <w:t>. La particolarità della nuova Congregazione risiedette nell’essere strumento ordinario ed esclusivo della Santa Sede nell’esercizio della sua giurisdizione su tutte le missioni. Lo svolgimento dell’attività missionaria garantiva alla Congregazione il controllo sugli ordini religiosi, attraverso limitazioni esercitate direttamente, o con il consenso del papa. Propaganda riusciva ad evitare il conflitto tra gli ordini religiosi, operanti sullo stesso territorio attraverso «il divieto di inaugurare nuove presenze ove già fossero attivi altri missionari»</w:t>
      </w:r>
      <w:r w:rsidRPr="00383122">
        <w:rPr>
          <w:rStyle w:val="Rimandonotaapidipagina"/>
          <w:rFonts w:ascii="Times New Roman" w:hAnsi="Times New Roman" w:cs="Times New Roman"/>
          <w:color w:val="000000" w:themeColor="text1"/>
          <w:sz w:val="28"/>
          <w:szCs w:val="28"/>
        </w:rPr>
        <w:footnoteReference w:id="30"/>
      </w:r>
      <w:r w:rsidRPr="00383122">
        <w:rPr>
          <w:rFonts w:ascii="Times New Roman" w:hAnsi="Times New Roman" w:cs="Times New Roman"/>
          <w:color w:val="000000" w:themeColor="text1"/>
          <w:sz w:val="28"/>
          <w:szCs w:val="28"/>
        </w:rPr>
        <w:t>.</w:t>
      </w:r>
    </w:p>
    <w:p w14:paraId="42C4CE0F"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Inoltre la Congregazione godeva di speciali privilegi e di mezzi finanziari specifici per far fronte alle necessità delle missioni. In risposta ai rapporti pervenuti dalle missioni, Francesco Ingoli, primo segretario di Propaganda fide, che ricoprì tale ruolo per trent’anni dal 1578 al 1649, formulò un programma missionario, volto a delineare i principi ed i metodi da seguire e ricco di critiche verso i missionari europei, accusati di voler ricavare vantaggi </w:t>
      </w:r>
      <w:r w:rsidRPr="00383122">
        <w:rPr>
          <w:rFonts w:ascii="Times New Roman" w:hAnsi="Times New Roman" w:cs="Times New Roman"/>
          <w:color w:val="000000" w:themeColor="text1"/>
          <w:sz w:val="28"/>
          <w:szCs w:val="28"/>
        </w:rPr>
        <w:lastRenderedPageBreak/>
        <w:t>dalla propria opera, mantenendo i nuovi cristiani in una condizione di inferiorità. Ingoli voleva «trasformare le missioni da un fenomeno coloniale in un movimento puramente ecclesiastico e spirituale»</w:t>
      </w:r>
      <w:r w:rsidRPr="00383122">
        <w:rPr>
          <w:rStyle w:val="Rimandonotaapidipagina"/>
          <w:rFonts w:ascii="Times New Roman" w:hAnsi="Times New Roman" w:cs="Times New Roman"/>
          <w:color w:val="000000" w:themeColor="text1"/>
          <w:sz w:val="28"/>
          <w:szCs w:val="28"/>
        </w:rPr>
        <w:footnoteReference w:id="31"/>
      </w:r>
      <w:r w:rsidRPr="00383122">
        <w:rPr>
          <w:rFonts w:ascii="Times New Roman" w:hAnsi="Times New Roman" w:cs="Times New Roman"/>
          <w:color w:val="000000" w:themeColor="text1"/>
          <w:sz w:val="28"/>
          <w:szCs w:val="28"/>
        </w:rPr>
        <w:t>, liberare i missionari da ogni ingerenza politica, impostare il lavoro in modo unitario per favorire la diffusione della fede, ma soprattutto formare un clero autoctono, creando gerarchie ecclesiastiche nazionali.</w:t>
      </w:r>
    </w:p>
    <w:p w14:paraId="167B8BDA"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Per poter raggiungere tali obiettivi vi era bisogno di missionari adatti e capaci, che si dedicassero allo studio delle lingue, dell’etnologia e si impegnassero anche per diffondere, soprattutto a favore dei catechismi, diverse edizioni, in differenti lingue dei testi religiosi. Questo perché la Congregazione aveva un «piano ecumenico», volto a garantire la propagazione della fede oltre i confini dell’Europa, attraverso la promozione dell’unione con le altre chiese cristiane e  «la cura pastorale» per i fedeli rimasti cattolici nei territori ortodossi, protestanti e anglicani</w:t>
      </w:r>
      <w:r w:rsidRPr="00383122">
        <w:rPr>
          <w:rStyle w:val="Rimandonotaapidipagina"/>
          <w:rFonts w:ascii="Times New Roman" w:hAnsi="Times New Roman" w:cs="Times New Roman"/>
          <w:color w:val="000000" w:themeColor="text1"/>
          <w:sz w:val="28"/>
          <w:szCs w:val="28"/>
        </w:rPr>
        <w:footnoteReference w:id="32"/>
      </w:r>
      <w:r w:rsidRPr="00383122">
        <w:rPr>
          <w:rFonts w:ascii="Times New Roman" w:hAnsi="Times New Roman" w:cs="Times New Roman"/>
          <w:color w:val="000000" w:themeColor="text1"/>
          <w:sz w:val="28"/>
          <w:szCs w:val="28"/>
        </w:rPr>
        <w:t>.</w:t>
      </w:r>
    </w:p>
    <w:p w14:paraId="4B373E7F" w14:textId="77777777" w:rsidR="00F24444" w:rsidRPr="00383122" w:rsidRDefault="00F24444" w:rsidP="00484F9B">
      <w:pPr>
        <w:spacing w:after="0" w:line="360" w:lineRule="auto"/>
        <w:ind w:left="680" w:right="340" w:firstLine="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Per comprendere l’organizzazione giuridica delle missioni, occorre capire i princìpi su cui era venne eretta e la sua evoluzione fino al 1917.</w:t>
      </w:r>
    </w:p>
    <w:p w14:paraId="21656F9F"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Bisogna partire dal considerare che una delle ragioni che fecero nascere Propaganda Fide fu la grossa problematica con cui si scontravano i missionari, ossia l’ingerenza della potestà politica in tutti gli affari di missione, questo anche grazie al patronato di Spagna e Portogallo. Il problema principale della Congregazione all’inizio si concretizzava nel potere del patronato portoghese, che concedeva al re del Portogallo il diritto di provvedere a tutti i ministri di culto, il dovere di edificare chiese, luoghi di culto e provvedere ad eventuali spese per la manutenzione. Tale ingerenza del potere politico del patronato rimase fino al XVI-XVII secolo, quando vi fu un indebolimento del Portogallo, tale per cui non riuscì a far fronte agli obblighi che si era assunto di fronte al mondo cristiano. Questo rese possibile il perseguimento degli </w:t>
      </w:r>
      <w:r w:rsidRPr="00383122">
        <w:rPr>
          <w:rFonts w:ascii="Times New Roman" w:hAnsi="Times New Roman" w:cs="Times New Roman"/>
          <w:color w:val="000000" w:themeColor="text1"/>
          <w:sz w:val="28"/>
          <w:szCs w:val="28"/>
        </w:rPr>
        <w:lastRenderedPageBreak/>
        <w:t xml:space="preserve">obiettivi delineati da Francesco Ingoli, per Propaganda fide ossia: autonomia delle missioni e dei missionari dal patronato e creazione di un clero indigeno. Difatti nel 1627 venne fondato il collegio urbano per la formazione dei prelati dipendenti da Propaganda fide. A seguito di tali direttive venne creata una nuova gerarchia con all’apice i vicari apostolici, i prefetti ed i superiori di missione e con la subordinazione di tutti i missionari alla giurisdizione della Congregazione. Tale gerarchia riuscì ad attecchire in quei territori dove il patronato non era molto presente, quindi in Cina, in Africa. </w:t>
      </w:r>
    </w:p>
    <w:p w14:paraId="4B77E64D"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Sebbene in Cina, ma più in generale nell’estremo Oriente vi fosse un’importante </w:t>
      </w:r>
      <w:r w:rsidRPr="00383122">
        <w:rPr>
          <w:rFonts w:ascii="Times New Roman" w:hAnsi="Times New Roman" w:cs="Times New Roman"/>
          <w:i/>
          <w:iCs/>
          <w:color w:val="000000" w:themeColor="text1"/>
          <w:sz w:val="28"/>
          <w:szCs w:val="28"/>
        </w:rPr>
        <w:t>querelle</w:t>
      </w:r>
      <w:r w:rsidRPr="00383122">
        <w:rPr>
          <w:rFonts w:ascii="Times New Roman" w:hAnsi="Times New Roman" w:cs="Times New Roman"/>
          <w:color w:val="000000" w:themeColor="text1"/>
          <w:sz w:val="28"/>
          <w:szCs w:val="28"/>
        </w:rPr>
        <w:t xml:space="preserve"> sui riti, più specificatamente sul significato attribuito dai cinesi ai riti in onore di Confucio, prescritti dallo Stato, in occasione del giuramento degli ufficiali statali, di una promozione accademica e in certi giorni dell'anno civile. E quello attribuito dai giapponesi al culto all’imperatore ed ai grandi della patria, da praticarsi nei Jinja, ossia i templi o meglio monumenti nazionali. I cristiani si sarebbero impegnati ad accettare tali riti, purché fosse loro consentito di partecipare, in quanto dotati di significato civile e non di qualche «superstizioso significato religioso»</w:t>
      </w:r>
      <w:r w:rsidRPr="00383122">
        <w:rPr>
          <w:rStyle w:val="Rimandonotaapidipagina"/>
          <w:rFonts w:ascii="Times New Roman" w:hAnsi="Times New Roman" w:cs="Times New Roman"/>
          <w:color w:val="000000" w:themeColor="text1"/>
          <w:sz w:val="28"/>
          <w:szCs w:val="28"/>
        </w:rPr>
        <w:footnoteReference w:id="33"/>
      </w:r>
      <w:r w:rsidRPr="00383122">
        <w:rPr>
          <w:rFonts w:ascii="Times New Roman" w:hAnsi="Times New Roman" w:cs="Times New Roman"/>
          <w:color w:val="000000" w:themeColor="text1"/>
          <w:sz w:val="28"/>
          <w:szCs w:val="28"/>
        </w:rPr>
        <w:t>. La situazione degenerò, grazie alle rivalità tra ordini religiosi, le ingerenze del potere del patronato e i decreti papali. Si chiarirà solo all’inizio del XX secolo</w:t>
      </w:r>
    </w:p>
    <w:p w14:paraId="71D9882A"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Inoltre è fondamentale ricordare come vi fosse stato il tentativo nel XIX secolo da parte di Napoleone di assumere il controllo pieno del protettorato delle missioni, così da poter strumentalizzare la Congregazione per finalità politiche. Si trattò di un tentativo, portato avanti a più riprese, perorato anche tramite un drastico svuotamento delle finanze di Propaganda, tale da far temere l’estinzione della Congregazione, tanto che Pio VII quando risanò le finanze di Propaganda fide, nel 1817 con il </w:t>
      </w:r>
      <w:r w:rsidRPr="00383122">
        <w:rPr>
          <w:rFonts w:ascii="Times New Roman" w:hAnsi="Times New Roman" w:cs="Times New Roman"/>
          <w:i/>
          <w:color w:val="000000" w:themeColor="text1"/>
          <w:sz w:val="28"/>
          <w:szCs w:val="28"/>
        </w:rPr>
        <w:t xml:space="preserve">motu proprio Catholicae fidei </w:t>
      </w:r>
      <w:r w:rsidRPr="00383122">
        <w:rPr>
          <w:rFonts w:ascii="Times New Roman" w:hAnsi="Times New Roman" w:cs="Times New Roman"/>
          <w:i/>
          <w:color w:val="000000" w:themeColor="text1"/>
          <w:sz w:val="28"/>
          <w:szCs w:val="28"/>
        </w:rPr>
        <w:lastRenderedPageBreak/>
        <w:t>propagationi,</w:t>
      </w:r>
      <w:r w:rsidRPr="00383122">
        <w:rPr>
          <w:rFonts w:ascii="Times New Roman" w:hAnsi="Times New Roman" w:cs="Times New Roman"/>
          <w:color w:val="000000" w:themeColor="text1"/>
          <w:sz w:val="28"/>
          <w:szCs w:val="28"/>
        </w:rPr>
        <w:t xml:space="preserve"> venne considerato «il secondo fondatore della Congregazione»</w:t>
      </w:r>
      <w:r w:rsidRPr="00383122">
        <w:rPr>
          <w:rStyle w:val="Rimandonotaapidipagina"/>
          <w:rFonts w:ascii="Times New Roman" w:hAnsi="Times New Roman" w:cs="Times New Roman"/>
          <w:color w:val="000000" w:themeColor="text1"/>
          <w:sz w:val="28"/>
          <w:szCs w:val="28"/>
        </w:rPr>
        <w:footnoteReference w:id="34"/>
      </w:r>
      <w:r w:rsidRPr="00383122">
        <w:rPr>
          <w:rFonts w:ascii="Times New Roman" w:hAnsi="Times New Roman" w:cs="Times New Roman"/>
          <w:color w:val="000000" w:themeColor="text1"/>
          <w:sz w:val="28"/>
          <w:szCs w:val="28"/>
        </w:rPr>
        <w:t xml:space="preserve">. </w:t>
      </w:r>
    </w:p>
    <w:p w14:paraId="3F4377FB"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Gregorio XVI, già prefetto di Propaganda e benemerito per l'America Latina, diede un nuovo impulso alle missioni con 70 nuove diocesi, inoltre mise fine al patronato portoghese con la </w:t>
      </w:r>
      <w:r w:rsidRPr="00383122">
        <w:rPr>
          <w:rFonts w:ascii="Times New Roman" w:hAnsi="Times New Roman" w:cs="Times New Roman"/>
          <w:i/>
          <w:color w:val="000000" w:themeColor="text1"/>
          <w:sz w:val="28"/>
          <w:szCs w:val="28"/>
        </w:rPr>
        <w:t>Multa praeclare</w:t>
      </w:r>
      <w:r w:rsidRPr="00383122">
        <w:rPr>
          <w:rFonts w:ascii="Times New Roman" w:hAnsi="Times New Roman" w:cs="Times New Roman"/>
          <w:color w:val="000000" w:themeColor="text1"/>
          <w:sz w:val="28"/>
          <w:szCs w:val="28"/>
        </w:rPr>
        <w:t xml:space="preserve"> del 1838 ed appoggiò il clero indigeno con la </w:t>
      </w:r>
      <w:r w:rsidRPr="00383122">
        <w:rPr>
          <w:rFonts w:ascii="Times New Roman" w:hAnsi="Times New Roman" w:cs="Times New Roman"/>
          <w:i/>
          <w:color w:val="000000" w:themeColor="text1"/>
          <w:sz w:val="28"/>
          <w:szCs w:val="28"/>
        </w:rPr>
        <w:t xml:space="preserve">Neminem profecto </w:t>
      </w:r>
      <w:r w:rsidRPr="00383122">
        <w:rPr>
          <w:rFonts w:ascii="Times New Roman" w:hAnsi="Times New Roman" w:cs="Times New Roman"/>
          <w:color w:val="000000" w:themeColor="text1"/>
          <w:sz w:val="28"/>
          <w:szCs w:val="28"/>
        </w:rPr>
        <w:t>del 1845</w:t>
      </w:r>
      <w:r w:rsidRPr="00383122">
        <w:rPr>
          <w:rStyle w:val="Rimandonotaapidipagina"/>
          <w:rFonts w:ascii="Times New Roman" w:hAnsi="Times New Roman" w:cs="Times New Roman"/>
          <w:color w:val="000000" w:themeColor="text1"/>
          <w:sz w:val="28"/>
          <w:szCs w:val="28"/>
        </w:rPr>
        <w:footnoteReference w:id="35"/>
      </w:r>
      <w:r w:rsidRPr="00383122">
        <w:rPr>
          <w:rFonts w:ascii="Times New Roman" w:hAnsi="Times New Roman" w:cs="Times New Roman"/>
          <w:color w:val="000000" w:themeColor="text1"/>
          <w:sz w:val="28"/>
          <w:szCs w:val="28"/>
        </w:rPr>
        <w:t xml:space="preserve">.  </w:t>
      </w:r>
    </w:p>
    <w:p w14:paraId="3FDD2AF6"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Tutte queste iniziative nel XIX secolo favorirono la creazione di molti ordini religiosi e congregazioni maschili e femminili, con orientamento missionario. In Francia, tra quelle più importanti si ricordano la Congregazione dei preti missionari dei Sacri Cuori di Gesù e Maria, fondata nel 1805 e che nel 1817 ebbe il riconoscimento di Propaganda fide e a cui venne affidata l’evangelizzazione in Oceania, oppure le Suore di San Giuseppe di Cluny, fondate nel 1817, a cui venne affidata tale compito in Africa nel 1819. </w:t>
      </w:r>
    </w:p>
    <w:p w14:paraId="22C5F83C"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Nel frattempo, soprattutto in Italia, in Germania ed in Spagna sorsero istituti missionari che si dedicavano prevalentemente alle missioni estere. Basti pensare alla creazione in Italia dell’ordine dei Missionari Colombiani del Cuore di Gesù, concentrati nell’attività di evangelizzazione in Africa, oppure alla creazione in Germania dell’ordine delle Suore Missionarie del Sacro Cuore di Gesù. Inoltre vi fu la creazione di ordini ed istituti religiosi anche negli stessi paesi di missione, difatti nel 1862 in Sudafrica venne fondato l’ordine delle Suore missionarie dell’Assunzione. </w:t>
      </w:r>
    </w:p>
    <w:p w14:paraId="1FD0D99C"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posizione di tali ordini venne regolata in un primo momento dal papa, attraverso generose concessioni di privilegi e facoltà, «per guadagnare il maggior numero possibile di religiosi all’attività missionaria»</w:t>
      </w:r>
      <w:r w:rsidRPr="00383122">
        <w:rPr>
          <w:rStyle w:val="Rimandonotaapidipagina"/>
          <w:rFonts w:ascii="Times New Roman" w:hAnsi="Times New Roman" w:cs="Times New Roman"/>
          <w:color w:val="000000" w:themeColor="text1"/>
          <w:sz w:val="28"/>
          <w:szCs w:val="28"/>
        </w:rPr>
        <w:footnoteReference w:id="36"/>
      </w:r>
      <w:r w:rsidRPr="00383122">
        <w:rPr>
          <w:rFonts w:ascii="Times New Roman" w:hAnsi="Times New Roman" w:cs="Times New Roman"/>
          <w:color w:val="000000" w:themeColor="text1"/>
          <w:sz w:val="28"/>
          <w:szCs w:val="28"/>
        </w:rPr>
        <w:t xml:space="preserve">. Questi privilegi vennero fortemente ridimensionati da Propaganda fide che, per evitare rivalità tra i diversi ordini religiosi, decise di affidare intere zone di </w:t>
      </w:r>
      <w:r w:rsidRPr="00383122">
        <w:rPr>
          <w:rFonts w:ascii="Times New Roman" w:hAnsi="Times New Roman" w:cs="Times New Roman"/>
          <w:color w:val="000000" w:themeColor="text1"/>
          <w:sz w:val="28"/>
          <w:szCs w:val="28"/>
        </w:rPr>
        <w:lastRenderedPageBreak/>
        <w:t>missione ad un singolo ordine, in seguito però adottò il sistema della «</w:t>
      </w:r>
      <w:r w:rsidRPr="00383122">
        <w:rPr>
          <w:rFonts w:ascii="Times New Roman" w:hAnsi="Times New Roman" w:cs="Times New Roman"/>
          <w:i/>
          <w:color w:val="000000" w:themeColor="text1"/>
          <w:sz w:val="28"/>
          <w:szCs w:val="28"/>
        </w:rPr>
        <w:t>commissio missionum»</w:t>
      </w:r>
      <w:r w:rsidRPr="00383122">
        <w:rPr>
          <w:rStyle w:val="Rimandonotaapidipagina"/>
          <w:rFonts w:ascii="Times New Roman" w:hAnsi="Times New Roman" w:cs="Times New Roman"/>
          <w:i/>
          <w:color w:val="000000" w:themeColor="text1"/>
          <w:sz w:val="28"/>
          <w:szCs w:val="28"/>
        </w:rPr>
        <w:footnoteReference w:id="37"/>
      </w:r>
      <w:r w:rsidRPr="00383122">
        <w:rPr>
          <w:rFonts w:ascii="Times New Roman" w:hAnsi="Times New Roman" w:cs="Times New Roman"/>
          <w:color w:val="000000" w:themeColor="text1"/>
          <w:sz w:val="28"/>
          <w:szCs w:val="28"/>
        </w:rPr>
        <w:t>, ossia il conferimento esclusivo dell’intera zona di missione ad un singolo ordine, o istituto religioso, che però hanno la possibilità di richiedere la collaborazione di altri ordini o istituti, trasferendogli una parte della zona di missione con l’ausilio di un vicario regionale, andando così a creare una prefettura apostolica o un vicariato indipendente.</w:t>
      </w:r>
    </w:p>
    <w:p w14:paraId="0E2E262C"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Ulteriore elemento, che rese evidente la presenza di «un risveglio missionario universale»</w:t>
      </w:r>
      <w:r w:rsidRPr="00383122">
        <w:rPr>
          <w:rStyle w:val="Rimandonotaapidipagina"/>
          <w:rFonts w:ascii="Times New Roman" w:hAnsi="Times New Roman" w:cs="Times New Roman"/>
          <w:color w:val="000000" w:themeColor="text1"/>
          <w:sz w:val="28"/>
          <w:szCs w:val="28"/>
        </w:rPr>
        <w:footnoteReference w:id="38"/>
      </w:r>
      <w:r w:rsidRPr="00383122">
        <w:rPr>
          <w:rFonts w:ascii="Times New Roman" w:hAnsi="Times New Roman" w:cs="Times New Roman"/>
          <w:color w:val="000000" w:themeColor="text1"/>
          <w:sz w:val="28"/>
          <w:szCs w:val="28"/>
        </w:rPr>
        <w:t xml:space="preserve"> fu la nascita di quattro importanti pontificie opere missionarie, sostenute e favorite dalla Congregazione. Il compito principale di tali opere si concretizzava nella promozione dello spirito missionario universale, garantendo la piena partecipazione dei fedeli, sia attraverso la preghiera sia attraverso contributi materiali. </w:t>
      </w:r>
    </w:p>
    <w:p w14:paraId="601EAC69"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L’opera della propagazione della fede venne fondata a Lione nel 1822 dalla signorina Jaricot (1799-1862) come sintesi di tutte le associazioni presenti sul territorio, così da evitare di sostenere un’unica diocesi o missione. Tale opera si era dotata gradualmente di un’organizzazione gerarchica, di un regolamento nonché di un periodico missionario. Inoltre ebbe subito irradiamento internazionale, con lo scopo di sostenere le missioni attraverso la preghiera e la raccolta sistematica e capillare di denaro</w:t>
      </w:r>
      <w:r w:rsidRPr="00383122">
        <w:rPr>
          <w:rStyle w:val="Rimandonotaapidipagina"/>
          <w:rFonts w:ascii="Times New Roman" w:hAnsi="Times New Roman" w:cs="Times New Roman"/>
          <w:color w:val="000000" w:themeColor="text1"/>
          <w:sz w:val="28"/>
          <w:szCs w:val="28"/>
        </w:rPr>
        <w:footnoteReference w:id="39"/>
      </w:r>
      <w:r w:rsidRPr="00383122">
        <w:rPr>
          <w:rFonts w:ascii="Times New Roman" w:hAnsi="Times New Roman" w:cs="Times New Roman"/>
          <w:color w:val="000000" w:themeColor="text1"/>
          <w:sz w:val="28"/>
          <w:szCs w:val="28"/>
        </w:rPr>
        <w:t>. L’attività di tale opera ebbe successo grazie all’aiuto di Propaganda fide e grazie alle indulgenze ed i privilegi concessi rispettivamente da Pio VII, Leone XII e Gregorio XVI.</w:t>
      </w:r>
    </w:p>
    <w:p w14:paraId="28868B63"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L’opera missionaria della Santa infanzia venne creata nel 1843 ed ebbe come fondatori il vescovo Charles-Auguste de Forbin-Janson e la collaborazione di Jaricot. Tale Opera era impegnata nel riscatto dei bambini africani in </w:t>
      </w:r>
      <w:r w:rsidRPr="00383122">
        <w:rPr>
          <w:rFonts w:ascii="Times New Roman" w:hAnsi="Times New Roman" w:cs="Times New Roman"/>
          <w:color w:val="000000" w:themeColor="text1"/>
          <w:sz w:val="28"/>
          <w:szCs w:val="28"/>
        </w:rPr>
        <w:lastRenderedPageBreak/>
        <w:t>schiavitù. Sin dalla sua fondazione ebbe l’approvazione di Gregorio XVI, attraverso indulgenze e favori spirituali, poi di Pio IX, che definì l’attività di tale opera «complementare»</w:t>
      </w:r>
      <w:r w:rsidRPr="00383122">
        <w:rPr>
          <w:rStyle w:val="Rimandonotaapidipagina"/>
          <w:rFonts w:ascii="Times New Roman" w:hAnsi="Times New Roman" w:cs="Times New Roman"/>
          <w:color w:val="000000" w:themeColor="text1"/>
          <w:sz w:val="28"/>
          <w:szCs w:val="28"/>
        </w:rPr>
        <w:footnoteReference w:id="40"/>
      </w:r>
      <w:r w:rsidRPr="00383122">
        <w:rPr>
          <w:rFonts w:ascii="Times New Roman" w:hAnsi="Times New Roman" w:cs="Times New Roman"/>
          <w:color w:val="000000" w:themeColor="text1"/>
          <w:sz w:val="28"/>
          <w:szCs w:val="28"/>
        </w:rPr>
        <w:t xml:space="preserve"> a quella di Propaganda fide. </w:t>
      </w:r>
    </w:p>
    <w:p w14:paraId="68404B7E"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 1889 venne fondata l’opera di S. Pietro apostolo per il clero indigeno da parte di Stephanie Bigard e sua figlia. Obiettivo di tale opera era la sensibilizzazione del popolo cristiano al «problema della formazione del clero locale nelle Chiese di missione e la collaborazione spirituale e materiale dei candidati al sacerdozio»</w:t>
      </w:r>
      <w:r w:rsidRPr="00383122">
        <w:rPr>
          <w:rStyle w:val="Rimandonotaapidipagina"/>
          <w:rFonts w:ascii="Times New Roman" w:hAnsi="Times New Roman" w:cs="Times New Roman"/>
          <w:color w:val="000000" w:themeColor="text1"/>
          <w:sz w:val="28"/>
          <w:szCs w:val="28"/>
        </w:rPr>
        <w:footnoteReference w:id="41"/>
      </w:r>
      <w:r w:rsidRPr="00383122">
        <w:rPr>
          <w:rFonts w:ascii="Times New Roman" w:hAnsi="Times New Roman" w:cs="Times New Roman"/>
          <w:color w:val="000000" w:themeColor="text1"/>
          <w:sz w:val="28"/>
          <w:szCs w:val="28"/>
        </w:rPr>
        <w:t>. Nel 1890 Leone XIII permise all’opera di sopravvivere attraverso la sua benedizione, in seguito Propaganda Fide prese l’opera sotto il suo diretto patrocinio e ne approvò gli statuti per cinque anni. Successivamente venne creata una quarta opera missionaria, ossia l’unione missionaria del clero, che poi prese il nome di pontificia unione missionaria dei sacerdoti, religiosi e religiose, da parte di Paolo Manna. Lo scopo principale di tale opera era la formazione ed informazione missionaria dei sacerdoti, dei membri degli istituti religiosi e più in generale di tutte le persone impegnate nel ministero pastorale della Chiesa</w:t>
      </w:r>
      <w:r w:rsidRPr="00383122">
        <w:rPr>
          <w:rStyle w:val="Rimandonotaapidipagina"/>
          <w:rFonts w:ascii="Times New Roman" w:hAnsi="Times New Roman" w:cs="Times New Roman"/>
          <w:color w:val="000000" w:themeColor="text1"/>
          <w:sz w:val="28"/>
          <w:szCs w:val="28"/>
        </w:rPr>
        <w:footnoteReference w:id="42"/>
      </w:r>
      <w:r w:rsidRPr="00383122">
        <w:rPr>
          <w:rFonts w:ascii="Times New Roman" w:hAnsi="Times New Roman" w:cs="Times New Roman"/>
          <w:color w:val="000000" w:themeColor="text1"/>
          <w:sz w:val="28"/>
          <w:szCs w:val="28"/>
        </w:rPr>
        <w:t xml:space="preserve">. </w:t>
      </w:r>
    </w:p>
    <w:p w14:paraId="7B5CCB57"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Il pontificato di Pio IX (1848-1878) segnò una svolta nell’opera di evangelizzazione portata avanti da Propaganda, perché restringendo l’area di competenza del diritto missionario, favorì il suo avvicinamento al diritto comune. Tale cambiamento fu evidente già dal fatto che Pio IX ponesse sullo stesso piano le Chiese delle missioni, quelle particolari e quelle presenti nei paesi protestanti o di rito orientale considerandole non come due opposti, ma come complementari. Il papa istituì la gerarchia ecclesiastica ordinaria in Inghilterra, riservando grande attenzione anche alla cura delle missioni in </w:t>
      </w:r>
      <w:r w:rsidRPr="00383122">
        <w:rPr>
          <w:rFonts w:ascii="Times New Roman" w:hAnsi="Times New Roman" w:cs="Times New Roman"/>
          <w:color w:val="000000" w:themeColor="text1"/>
          <w:sz w:val="28"/>
          <w:szCs w:val="28"/>
        </w:rPr>
        <w:lastRenderedPageBreak/>
        <w:t>Asia, Africa e Oceania</w:t>
      </w:r>
      <w:r w:rsidRPr="00383122">
        <w:rPr>
          <w:rStyle w:val="Rimandonotaapidipagina"/>
          <w:rFonts w:ascii="Times New Roman" w:hAnsi="Times New Roman" w:cs="Times New Roman"/>
          <w:color w:val="000000" w:themeColor="text1"/>
          <w:sz w:val="28"/>
          <w:szCs w:val="28"/>
        </w:rPr>
        <w:footnoteReference w:id="43"/>
      </w:r>
      <w:r w:rsidRPr="00383122">
        <w:rPr>
          <w:rFonts w:ascii="Times New Roman" w:hAnsi="Times New Roman" w:cs="Times New Roman"/>
          <w:color w:val="000000" w:themeColor="text1"/>
          <w:sz w:val="28"/>
          <w:szCs w:val="28"/>
        </w:rPr>
        <w:t xml:space="preserve">. Fondamentale fu un’altra figura che affiancò il papa, ossia il prefetto di Propaganda fide Alessandro Barnabò (1856-1874). Difatti sotto iniziativa del Papa e del prefetto vi fu nel 1862, la creazione della Sacra Congregazione de Propaganda fide </w:t>
      </w:r>
      <w:r w:rsidRPr="00383122">
        <w:rPr>
          <w:rFonts w:ascii="Times New Roman" w:hAnsi="Times New Roman" w:cs="Times New Roman"/>
          <w:i/>
          <w:color w:val="000000" w:themeColor="text1"/>
          <w:sz w:val="28"/>
          <w:szCs w:val="28"/>
        </w:rPr>
        <w:t>pro negotiis ritus orientalis</w:t>
      </w:r>
      <w:r w:rsidRPr="00383122">
        <w:rPr>
          <w:rFonts w:ascii="Times New Roman" w:hAnsi="Times New Roman" w:cs="Times New Roman"/>
          <w:color w:val="000000" w:themeColor="text1"/>
          <w:sz w:val="28"/>
          <w:szCs w:val="28"/>
        </w:rPr>
        <w:t>, che sarebbe divenuta poi la Congregazione per le Chiese orientali. Tale organismo prima era incluso all’interno di Propaganda fide, successivamente vi è stata una separazione dei compiti, anche perché per Propaganda fide era diventato un peso conciliare l’attività missionaria, con quella volta a creare un’unità con le Chiese orientali. Tuttavia nonostante la Congregazione per le Chiese orientali godesse di una propria autonomia di gestione e fosse dotata di un proprio segretario, doveva rispondere sempre al prefetto di Propaganda fide.</w:t>
      </w:r>
    </w:p>
    <w:p w14:paraId="25272E23"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Altri importanti provvedimenti del Papa e di Barnabò furono le iniziative per l’istituzione dei collegi missionari, l’approvazione di nuovi ordini ed istituti missionari, la creazione dei sinodi missionari, l’introduzione della gerarchia ecclesiastica nei paesi di missione, la stipulazione di un concordato con il Portogallo e la promozione di missioni in Africa centrale ed in Sud Africa.</w:t>
      </w:r>
    </w:p>
    <w:p w14:paraId="6B21B00E"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Solo con il pontificato di Leone XIII (1878-1903) le chiese di missione riuscirono a trasformarsi in chiese particolari, difatti il papa diede grande rilevanza all’opera di diffusione del Vangelo nei territori africani, condannando duramente e attivamente lo schiavismo. Allo stesso modo in India, prevedendo la fine del periodo coloniale, il papa comprese come per favorire l’attività di evangelizzazione fosse necessaria la formazione di un clero locale, poiché i sacerdoti locali conoscendo meglio il paese, la lingua e godendo della fiducia delle persone, non potevano essere considerati soltanto dei «sacerdoti ausiliari»</w:t>
      </w:r>
      <w:r w:rsidRPr="00383122">
        <w:rPr>
          <w:rStyle w:val="Rimandonotaapidipagina"/>
          <w:rFonts w:ascii="Times New Roman" w:hAnsi="Times New Roman" w:cs="Times New Roman"/>
          <w:color w:val="000000" w:themeColor="text1"/>
          <w:sz w:val="28"/>
          <w:szCs w:val="28"/>
        </w:rPr>
        <w:footnoteReference w:id="44"/>
      </w:r>
      <w:r w:rsidRPr="00383122">
        <w:rPr>
          <w:rFonts w:ascii="Times New Roman" w:hAnsi="Times New Roman" w:cs="Times New Roman"/>
          <w:color w:val="000000" w:themeColor="text1"/>
          <w:sz w:val="28"/>
          <w:szCs w:val="28"/>
        </w:rPr>
        <w:t>. Il papa riuscì a istituire una gerarchia ecclesiastica ordinaria in questi territori, favorendo l’avvicinamento di queste Chiese locali, dotate di propri vescovi, al diritto comune della Chiesa universale.</w:t>
      </w:r>
    </w:p>
    <w:p w14:paraId="78DE36F0"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lastRenderedPageBreak/>
        <w:t>La Congregazione ricevette numerose istruzioni e direttive dal papa, il quale per garantire il monitoraggio di tali istruzioni impose la presentazione di relazioni annuali e quinquennali. Oggetto di tali istruzioni, rivolte ai vicari apostolici, si concretizzava principalmente nella richiesta di garantire la creazione di un clero autoctono, così da poter sostituire i vicariati apostolici con diocesi, a capo delle quali porre dei vescovi locali. Inoltre vi era l’indicazione dei mezzi da utilizzare per consentire il raggiungimento di questo obiettivo, ossia: missionari colti che conoscessero le lingue e quindi che non fossero solo europei, utilizzo dei sinodi, degli istituti religiosi ed obbligo di uno stesso trattamento per i sacerdoti indigeni</w:t>
      </w:r>
      <w:r w:rsidRPr="00383122">
        <w:rPr>
          <w:rStyle w:val="Rimandonotaapidipagina"/>
          <w:rFonts w:ascii="Times New Roman" w:hAnsi="Times New Roman" w:cs="Times New Roman"/>
          <w:color w:val="000000" w:themeColor="text1"/>
          <w:sz w:val="28"/>
          <w:szCs w:val="28"/>
        </w:rPr>
        <w:footnoteReference w:id="45"/>
      </w:r>
      <w:r w:rsidRPr="00383122">
        <w:rPr>
          <w:rFonts w:ascii="Times New Roman" w:hAnsi="Times New Roman" w:cs="Times New Roman"/>
          <w:color w:val="000000" w:themeColor="text1"/>
          <w:sz w:val="28"/>
          <w:szCs w:val="28"/>
        </w:rPr>
        <w:t>. Difatti l’istruzione del 18 ottobre 1883, diretta ai vicari apostolici in Cina, criticava i risultati dei sinodi regionali di tre anni prima, poiché tra i vescovi missionari non vi era neanche un vescovo cinese.</w:t>
      </w:r>
    </w:p>
    <w:p w14:paraId="7E59157C"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La pubblicazione della costituzione </w:t>
      </w:r>
      <w:r w:rsidRPr="00383122">
        <w:rPr>
          <w:rFonts w:ascii="Times New Roman" w:hAnsi="Times New Roman" w:cs="Times New Roman"/>
          <w:i/>
          <w:color w:val="000000" w:themeColor="text1"/>
          <w:sz w:val="28"/>
          <w:szCs w:val="28"/>
        </w:rPr>
        <w:t xml:space="preserve">Sapienti consilio </w:t>
      </w:r>
      <w:r w:rsidRPr="00383122">
        <w:rPr>
          <w:rFonts w:ascii="Times New Roman" w:hAnsi="Times New Roman" w:cs="Times New Roman"/>
          <w:color w:val="000000" w:themeColor="text1"/>
          <w:sz w:val="28"/>
          <w:szCs w:val="28"/>
        </w:rPr>
        <w:t>(29 maggio 1908) sulla riforma della curia romana modificò radicalmente la competenza di Propaganda fide. Difatti in questa costituzione si indicavano con precisione i territori posti sotto la giurisdizione di Propaganda fide, ossia: l’ Europa, ovvero le province ecclesiastiche di Inghilterra, Scozia, Olanda, Spagna e le diocesi del Lussemburgo ed l’America, ossia la provincia ecclesiastica del Canada e le «</w:t>
      </w:r>
      <w:r w:rsidRPr="00383122">
        <w:rPr>
          <w:rFonts w:ascii="Times New Roman" w:hAnsi="Times New Roman" w:cs="Times New Roman"/>
          <w:i/>
          <w:color w:val="000000" w:themeColor="text1"/>
          <w:sz w:val="28"/>
          <w:szCs w:val="28"/>
          <w:shd w:val="clear" w:color="auto" w:fill="FFFFFF"/>
        </w:rPr>
        <w:t>Terrae Novae et Foederatarum Civitatum seu </w:t>
      </w:r>
      <w:r w:rsidRPr="00383122">
        <w:rPr>
          <w:rFonts w:ascii="Times New Roman" w:hAnsi="Times New Roman" w:cs="Times New Roman"/>
          <w:i/>
          <w:iCs/>
          <w:color w:val="000000" w:themeColor="text1"/>
          <w:sz w:val="28"/>
          <w:szCs w:val="28"/>
          <w:shd w:val="clear" w:color="auto" w:fill="FFFFFF"/>
        </w:rPr>
        <w:t>Statuum Unitorum»</w:t>
      </w:r>
      <w:r w:rsidRPr="00383122">
        <w:rPr>
          <w:rStyle w:val="Rimandonotaapidipagina"/>
          <w:rFonts w:ascii="Times New Roman" w:hAnsi="Times New Roman" w:cs="Times New Roman"/>
          <w:color w:val="000000" w:themeColor="text1"/>
          <w:sz w:val="28"/>
          <w:szCs w:val="28"/>
          <w:shd w:val="clear" w:color="auto" w:fill="FFFFFF"/>
        </w:rPr>
        <w:footnoteReference w:id="46"/>
      </w:r>
      <w:r w:rsidRPr="00383122">
        <w:rPr>
          <w:rFonts w:ascii="Times New Roman" w:hAnsi="Times New Roman" w:cs="Times New Roman"/>
          <w:i/>
          <w:iCs/>
          <w:color w:val="000000" w:themeColor="text1"/>
          <w:sz w:val="28"/>
          <w:szCs w:val="28"/>
          <w:shd w:val="clear" w:color="auto" w:fill="FFFFFF"/>
        </w:rPr>
        <w:t>.</w:t>
      </w:r>
    </w:p>
    <w:p w14:paraId="46ECA058" w14:textId="77777777" w:rsidR="00F24444" w:rsidRPr="00383122" w:rsidRDefault="00F24444" w:rsidP="00484F9B">
      <w:pPr>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Le diocesi e le province ecclesiastiche fino a quel momento soggette alla giurisdizione di Propaganda fide rimanevano sotto il suo potere, inoltre «</w:t>
      </w:r>
      <w:r w:rsidRPr="00383122">
        <w:rPr>
          <w:rFonts w:ascii="Times New Roman" w:hAnsi="Times New Roman" w:cs="Times New Roman"/>
          <w:i/>
          <w:iCs/>
          <w:color w:val="000000" w:themeColor="text1"/>
          <w:sz w:val="28"/>
          <w:szCs w:val="28"/>
          <w:shd w:val="clear" w:color="auto" w:fill="FFFFFF"/>
        </w:rPr>
        <w:t>ut unitati regiminis consulatur</w:t>
      </w:r>
      <w:r w:rsidRPr="00383122">
        <w:rPr>
          <w:rFonts w:ascii="Times New Roman" w:hAnsi="Times New Roman" w:cs="Times New Roman"/>
          <w:iCs/>
          <w:color w:val="000000" w:themeColor="text1"/>
          <w:sz w:val="28"/>
          <w:szCs w:val="28"/>
          <w:shd w:val="clear" w:color="auto" w:fill="FFFFFF"/>
        </w:rPr>
        <w:t>»</w:t>
      </w:r>
      <w:r w:rsidRPr="00383122">
        <w:rPr>
          <w:rStyle w:val="Rimandonotaapidipagina"/>
          <w:rFonts w:ascii="Times New Roman" w:hAnsi="Times New Roman" w:cs="Times New Roman"/>
          <w:iCs/>
          <w:color w:val="000000" w:themeColor="text1"/>
          <w:sz w:val="28"/>
          <w:szCs w:val="28"/>
          <w:shd w:val="clear" w:color="auto" w:fill="FFFFFF"/>
        </w:rPr>
        <w:footnoteReference w:id="47"/>
      </w:r>
      <w:r w:rsidRPr="00383122">
        <w:rPr>
          <w:rFonts w:ascii="Times New Roman" w:hAnsi="Times New Roman" w:cs="Times New Roman"/>
          <w:iCs/>
          <w:color w:val="000000" w:themeColor="text1"/>
          <w:sz w:val="28"/>
          <w:szCs w:val="28"/>
          <w:shd w:val="clear" w:color="auto" w:fill="FFFFFF"/>
        </w:rPr>
        <w:t xml:space="preserve"> la Congregazione ebbe l’obbligo di comunicare alle altre congregazioni speciali qualsiasi questione, riguardante fede, matrimonio e disciplina dei riti sacri. Questioni complesse che </w:t>
      </w:r>
      <w:r w:rsidRPr="00383122">
        <w:rPr>
          <w:rFonts w:ascii="Times New Roman" w:hAnsi="Times New Roman" w:cs="Times New Roman"/>
          <w:iCs/>
          <w:color w:val="000000" w:themeColor="text1"/>
          <w:sz w:val="28"/>
          <w:szCs w:val="28"/>
          <w:shd w:val="clear" w:color="auto" w:fill="FFFFFF"/>
        </w:rPr>
        <w:lastRenderedPageBreak/>
        <w:t>riguardavano i singoli missionari, oppure gruppi di missionari vennero sottoposte al prefetto della Congregazione per gli affari religiosi. Infine si riconobbe la competenza della Congregazione per gli affari orientali, anche se subordinata a Propaganda fide. Subito dopo la pubblicazione della costituzione furono emanati documenti dai dicasteri interessati per determinare meglio la competenza di Propaganda. Basti pensare alle disposizioni del S. Officio sulla concessione del titolo di missionario apostolico</w:t>
      </w:r>
      <w:r w:rsidRPr="00383122">
        <w:rPr>
          <w:rStyle w:val="Rimandonotaapidipagina"/>
          <w:rFonts w:ascii="Times New Roman" w:hAnsi="Times New Roman" w:cs="Times New Roman"/>
          <w:iCs/>
          <w:color w:val="000000" w:themeColor="text1"/>
          <w:sz w:val="28"/>
          <w:szCs w:val="28"/>
          <w:shd w:val="clear" w:color="auto" w:fill="FFFFFF"/>
        </w:rPr>
        <w:footnoteReference w:id="48"/>
      </w:r>
      <w:r w:rsidRPr="00383122">
        <w:rPr>
          <w:rFonts w:ascii="Times New Roman" w:hAnsi="Times New Roman" w:cs="Times New Roman"/>
          <w:iCs/>
          <w:color w:val="000000" w:themeColor="text1"/>
          <w:sz w:val="28"/>
          <w:szCs w:val="28"/>
          <w:shd w:val="clear" w:color="auto" w:fill="FFFFFF"/>
        </w:rPr>
        <w:t>, indicate in uno specifico decreto</w:t>
      </w:r>
      <w:r w:rsidRPr="00383122">
        <w:rPr>
          <w:rStyle w:val="Rimandonotaapidipagina"/>
          <w:rFonts w:ascii="Times New Roman" w:hAnsi="Times New Roman" w:cs="Times New Roman"/>
          <w:iCs/>
          <w:color w:val="000000" w:themeColor="text1"/>
          <w:sz w:val="28"/>
          <w:szCs w:val="28"/>
          <w:shd w:val="clear" w:color="auto" w:fill="FFFFFF"/>
        </w:rPr>
        <w:footnoteReference w:id="49"/>
      </w:r>
      <w:r w:rsidRPr="00383122">
        <w:rPr>
          <w:rFonts w:ascii="Times New Roman" w:hAnsi="Times New Roman" w:cs="Times New Roman"/>
          <w:iCs/>
          <w:color w:val="000000" w:themeColor="text1"/>
          <w:sz w:val="28"/>
          <w:szCs w:val="28"/>
          <w:shd w:val="clear" w:color="auto" w:fill="FFFFFF"/>
        </w:rPr>
        <w:t>, nel quale si ribadisce che le facoltà e i privilegi necessari a questi missionari per esercitare il ministero apostolico devono essere concessi direttamente dalla Santa sede e si ribadisce la loro subordinazione agli  ordinari o ai superiori religiosi del luogo dove svolgeranno la missione. Inoltre in caso di conflitti ci poteva essere l’intervento di Propaganda. Tra le altre disposizioni vi furono anche quelle della Concistoriale per risolvere vari dubbi riguardanti i collegi apostolici rispetto al giuramento di missione.</w:t>
      </w:r>
    </w:p>
    <w:p w14:paraId="15CFABD6"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Fonts w:ascii="Times New Roman" w:hAnsi="Times New Roman" w:cs="Times New Roman"/>
          <w:iCs/>
          <w:color w:val="000000" w:themeColor="text1"/>
          <w:sz w:val="28"/>
          <w:szCs w:val="28"/>
          <w:shd w:val="clear" w:color="auto" w:fill="FFFFFF"/>
        </w:rPr>
        <w:t xml:space="preserve">Un ultimo elemento importante da tenere in considerazione concerne l’istituzione da parte di papa Benedetto XV con il </w:t>
      </w:r>
      <w:r w:rsidRPr="00383122">
        <w:rPr>
          <w:rFonts w:ascii="Times New Roman" w:hAnsi="Times New Roman" w:cs="Times New Roman"/>
          <w:i/>
          <w:iCs/>
          <w:color w:val="000000" w:themeColor="text1"/>
          <w:sz w:val="28"/>
          <w:szCs w:val="28"/>
          <w:shd w:val="clear" w:color="auto" w:fill="FFFFFF"/>
        </w:rPr>
        <w:t xml:space="preserve">Motu Proprio “Dei Providentis” </w:t>
      </w:r>
      <w:r w:rsidRPr="00383122">
        <w:rPr>
          <w:rFonts w:ascii="Times New Roman" w:hAnsi="Times New Roman" w:cs="Times New Roman"/>
          <w:iCs/>
          <w:color w:val="000000" w:themeColor="text1"/>
          <w:sz w:val="28"/>
          <w:szCs w:val="28"/>
          <w:shd w:val="clear" w:color="auto" w:fill="FFFFFF"/>
        </w:rPr>
        <w:t xml:space="preserve">(1° maggio 1917) della Sacra Congregazione per la Chiesa Orientale, del tutto separata da Propaganda fide. Ciò trovò conferma nel canone 257, in cui si stabiliva che alla Congregazione per i riti orientali spettavano tutte le questioni, concernenti la disciplina, le persone, riti, ma anche miste, purché </w:t>
      </w:r>
      <w:r w:rsidRPr="00383122">
        <w:rPr>
          <w:rFonts w:ascii="Times New Roman" w:hAnsi="Times New Roman" w:cs="Times New Roman"/>
          <w:i/>
          <w:iCs/>
          <w:color w:val="000000" w:themeColor="text1"/>
          <w:sz w:val="28"/>
          <w:szCs w:val="28"/>
          <w:shd w:val="clear" w:color="auto" w:fill="FFFFFF"/>
        </w:rPr>
        <w:t>«</w:t>
      </w:r>
      <w:r w:rsidRPr="00383122">
        <w:rPr>
          <w:rStyle w:val="fontstyle01"/>
          <w:rFonts w:ascii="Times New Roman" w:hAnsi="Times New Roman" w:cs="Times New Roman"/>
          <w:i/>
          <w:color w:val="000000" w:themeColor="text1"/>
          <w:sz w:val="28"/>
          <w:szCs w:val="28"/>
        </w:rPr>
        <w:t>ratione latinos quoque attingant»</w:t>
      </w:r>
      <w:r w:rsidRPr="00383122">
        <w:rPr>
          <w:rStyle w:val="Rimandonotaapidipagina"/>
          <w:rFonts w:ascii="Times New Roman" w:hAnsi="Times New Roman" w:cs="Times New Roman"/>
          <w:i/>
          <w:color w:val="000000" w:themeColor="text1"/>
          <w:sz w:val="28"/>
          <w:szCs w:val="28"/>
        </w:rPr>
        <w:footnoteReference w:id="50"/>
      </w:r>
      <w:r w:rsidRPr="00383122">
        <w:rPr>
          <w:rStyle w:val="fontstyle01"/>
          <w:rFonts w:ascii="Times New Roman" w:hAnsi="Times New Roman" w:cs="Times New Roman"/>
          <w:i/>
          <w:color w:val="000000" w:themeColor="text1"/>
          <w:sz w:val="28"/>
          <w:szCs w:val="28"/>
        </w:rPr>
        <w:t xml:space="preserve">, </w:t>
      </w:r>
      <w:r w:rsidRPr="00383122">
        <w:rPr>
          <w:rStyle w:val="fontstyle01"/>
          <w:rFonts w:ascii="Times New Roman" w:hAnsi="Times New Roman" w:cs="Times New Roman"/>
          <w:color w:val="000000" w:themeColor="text1"/>
          <w:sz w:val="28"/>
          <w:szCs w:val="28"/>
        </w:rPr>
        <w:t xml:space="preserve">inoltre tale Congregazione godette delle stesse facoltà di cui gode Propaganda fide ed ha </w:t>
      </w:r>
      <w:r w:rsidRPr="00383122">
        <w:rPr>
          <w:rStyle w:val="fontstyle01"/>
          <w:rFonts w:ascii="Times New Roman" w:hAnsi="Times New Roman" w:cs="Times New Roman"/>
          <w:color w:val="000000" w:themeColor="text1"/>
          <w:sz w:val="28"/>
          <w:szCs w:val="28"/>
        </w:rPr>
        <w:lastRenderedPageBreak/>
        <w:t xml:space="preserve">lo stesso rapporto con la Congregazione del S. Officio, regolato dal canone 247. </w:t>
      </w:r>
    </w:p>
    <w:p w14:paraId="25B50C16"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Dopo questa costituzione pontificia, il Codice tentò di sistemare il diritto missionario sia in via diretta che indiretta ma con scarsi risultati perché molte questioni rimasero poco chiare. Proprio per questo l’intervento di Propaganda rimase fondamentale per garantire l’organizzazione dell’attività missionaria e si esplicò attraverso mezzi diversi, tra i quali si annoverano: lettere private, decreti e disposizioni, volti a consentire lo sviluppo unitario del diritto missionario.</w:t>
      </w:r>
    </w:p>
    <w:p w14:paraId="2D9D7698"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p>
    <w:p w14:paraId="0CDB6D74" w14:textId="77777777" w:rsidR="00F24444" w:rsidRPr="007D5C80" w:rsidRDefault="00F24444" w:rsidP="00484F9B">
      <w:pPr>
        <w:spacing w:after="0" w:line="360" w:lineRule="auto"/>
        <w:ind w:left="680" w:right="340"/>
        <w:jc w:val="both"/>
        <w:rPr>
          <w:rStyle w:val="fontstyle01"/>
          <w:rFonts w:ascii="Times New Roman" w:hAnsi="Times New Roman" w:cs="Times New Roman"/>
          <w:i/>
          <w:color w:val="000000" w:themeColor="text1"/>
          <w:sz w:val="28"/>
          <w:szCs w:val="28"/>
        </w:rPr>
      </w:pPr>
      <w:r w:rsidRPr="00383122">
        <w:rPr>
          <w:rStyle w:val="fontstyle01"/>
          <w:rFonts w:ascii="Times New Roman" w:hAnsi="Times New Roman" w:cs="Times New Roman"/>
          <w:color w:val="000000" w:themeColor="text1"/>
          <w:sz w:val="28"/>
          <w:szCs w:val="28"/>
        </w:rPr>
        <w:t xml:space="preserve">1.3 </w:t>
      </w:r>
      <w:r w:rsidRPr="007D5C80">
        <w:rPr>
          <w:rStyle w:val="fontstyle01"/>
          <w:rFonts w:ascii="Times New Roman" w:hAnsi="Times New Roman" w:cs="Times New Roman"/>
          <w:i/>
          <w:color w:val="000000" w:themeColor="text1"/>
          <w:sz w:val="28"/>
          <w:szCs w:val="28"/>
        </w:rPr>
        <w:t>La nascita della Sacra Congregazione della Chiesa Orientale</w:t>
      </w:r>
    </w:p>
    <w:p w14:paraId="5902B283"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p>
    <w:p w14:paraId="57872E58"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Fin dal pontificato di Benedetto XIV nella Chiesa prevalse l’idea che il rito più importante fosse quello latino, a danno dei riti che erano conservati dalle varie Chiese d’Oriente rimaste fedeli o ritornate in comunione con la Roma dopo lo scisma del 1054. Anche nell’Ottocento risulta evidente la presenza di questo atteggiamento ostile. Pio IX (1848-1876) inizialmente sembrava voler aprire un dialogo con l’ortodossia orientale, in realtà si trattava di tentativi più o meno mascherati di «assimilazione o di allineamento al latinismo», che riflettevano l’atteggiamento dei dirigenti di Propaganda fide, i quali ignoravano le specificità rituali dell’Oriente concernenti il governo patriarcale, l’amministrazione dei sacramenti e la vita ecclesiale in generale. Una conferma di tale atteggiamento la si trovò nella decisione della commissione cardinalizia </w:t>
      </w:r>
      <w:r w:rsidRPr="00383122">
        <w:rPr>
          <w:rStyle w:val="fontstyle01"/>
          <w:rFonts w:ascii="Times New Roman" w:hAnsi="Times New Roman" w:cs="Times New Roman"/>
          <w:i/>
          <w:color w:val="000000" w:themeColor="text1"/>
          <w:sz w:val="28"/>
          <w:szCs w:val="28"/>
        </w:rPr>
        <w:t>Pro negotiis ritus</w:t>
      </w:r>
      <w:r w:rsidRPr="00383122">
        <w:rPr>
          <w:rStyle w:val="fontstyle01"/>
          <w:rFonts w:ascii="Times New Roman" w:hAnsi="Times New Roman" w:cs="Times New Roman"/>
          <w:color w:val="000000" w:themeColor="text1"/>
          <w:sz w:val="28"/>
          <w:szCs w:val="28"/>
        </w:rPr>
        <w:t xml:space="preserve"> </w:t>
      </w:r>
      <w:r w:rsidRPr="00383122">
        <w:rPr>
          <w:rStyle w:val="fontstyle01"/>
          <w:rFonts w:ascii="Times New Roman" w:hAnsi="Times New Roman" w:cs="Times New Roman"/>
          <w:i/>
          <w:color w:val="000000" w:themeColor="text1"/>
          <w:sz w:val="28"/>
          <w:szCs w:val="28"/>
        </w:rPr>
        <w:t>orientaliis</w:t>
      </w:r>
      <w:r w:rsidRPr="00383122">
        <w:rPr>
          <w:rStyle w:val="fontstyle01"/>
          <w:rFonts w:ascii="Times New Roman" w:hAnsi="Times New Roman" w:cs="Times New Roman"/>
          <w:color w:val="000000" w:themeColor="text1"/>
          <w:sz w:val="28"/>
          <w:szCs w:val="28"/>
        </w:rPr>
        <w:t xml:space="preserve"> di equiparare i riti latini e quelli orientali, consentendo a questi fedeli di ricevere i sacramenti, nei limiti del diritto di priorità accordato ai riti orientali, anche nelle chiese latine. </w:t>
      </w:r>
    </w:p>
    <w:p w14:paraId="7809CF3D"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Successivamente con il Vaticano I si creò una commissione ad hoc di esperti, ossia la </w:t>
      </w:r>
      <w:r w:rsidRPr="00383122">
        <w:rPr>
          <w:rStyle w:val="fontstyle01"/>
          <w:rFonts w:ascii="Times New Roman" w:hAnsi="Times New Roman" w:cs="Times New Roman"/>
          <w:i/>
          <w:color w:val="000000" w:themeColor="text1"/>
          <w:sz w:val="28"/>
          <w:szCs w:val="28"/>
        </w:rPr>
        <w:t>super missionibus et ecclesiis ritus orientalis.</w:t>
      </w:r>
      <w:r w:rsidRPr="00383122">
        <w:rPr>
          <w:rStyle w:val="fontstyle01"/>
          <w:rFonts w:ascii="Times New Roman" w:hAnsi="Times New Roman" w:cs="Times New Roman"/>
          <w:color w:val="000000" w:themeColor="text1"/>
          <w:sz w:val="28"/>
          <w:szCs w:val="28"/>
        </w:rPr>
        <w:t xml:space="preserve">  Questa operò dal 1867 </w:t>
      </w:r>
      <w:r w:rsidRPr="00383122">
        <w:rPr>
          <w:rStyle w:val="fontstyle01"/>
          <w:rFonts w:ascii="Times New Roman" w:hAnsi="Times New Roman" w:cs="Times New Roman"/>
          <w:color w:val="000000" w:themeColor="text1"/>
          <w:sz w:val="28"/>
          <w:szCs w:val="28"/>
        </w:rPr>
        <w:lastRenderedPageBreak/>
        <w:t>al 1870, era presieduta dal prefetto di Propaganda fide ed era costituita solo da un ecclesiastico di rito orientale. L’obiettivo di tale commissione era «creare un nuovo sistema di assimilazione latinizzante delle chiese patriarcali e sinodali del cattolicesimo orientale unito»</w:t>
      </w:r>
      <w:r w:rsidRPr="00383122">
        <w:rPr>
          <w:rStyle w:val="Rimandonotaapidipagina"/>
          <w:rFonts w:ascii="Times New Roman" w:hAnsi="Times New Roman" w:cs="Times New Roman"/>
          <w:color w:val="000000" w:themeColor="text1"/>
          <w:sz w:val="28"/>
          <w:szCs w:val="28"/>
        </w:rPr>
        <w:footnoteReference w:id="51"/>
      </w:r>
      <w:r w:rsidRPr="00383122">
        <w:rPr>
          <w:rStyle w:val="fontstyle01"/>
          <w:rFonts w:ascii="Times New Roman" w:hAnsi="Times New Roman" w:cs="Times New Roman"/>
          <w:color w:val="000000" w:themeColor="text1"/>
          <w:sz w:val="28"/>
          <w:szCs w:val="28"/>
        </w:rPr>
        <w:t>. Il raggiungimento di tale obiettivo sarebbe dovuto essere garantito attraverso tre azioni fondamentali. Per prima cosa la commissione redasse un intero capitolo dedicato ai riti, cercando di omologare i riti orientali con quelli latini, adducendo come pretesto l’esigenza di rafforzare il legame tra le due Chiese, perché la principale causa di disordini che impediva il raggiungimento dell’unità cristiana era considerato il «dualismo disciplinare»</w:t>
      </w:r>
      <w:r w:rsidRPr="00383122">
        <w:rPr>
          <w:rStyle w:val="Rimandonotaapidipagina"/>
          <w:rFonts w:ascii="Times New Roman" w:hAnsi="Times New Roman" w:cs="Times New Roman"/>
          <w:color w:val="000000" w:themeColor="text1"/>
          <w:sz w:val="28"/>
          <w:szCs w:val="28"/>
        </w:rPr>
        <w:footnoteReference w:id="52"/>
      </w:r>
      <w:r w:rsidRPr="00383122">
        <w:rPr>
          <w:rStyle w:val="fontstyle01"/>
          <w:rFonts w:ascii="Times New Roman" w:hAnsi="Times New Roman" w:cs="Times New Roman"/>
          <w:color w:val="000000" w:themeColor="text1"/>
          <w:sz w:val="28"/>
          <w:szCs w:val="28"/>
        </w:rPr>
        <w:t>. Un altro radicale cambiamento si concretizzava nella proposta di depotenziare i patriarchi, attraverso l’intervento dei delegati apostolici, con il pretesto di «emancipare l’episcopato dal giogo (…) e dal despotismo dei patriarchi»</w:t>
      </w:r>
      <w:r w:rsidRPr="00383122">
        <w:rPr>
          <w:rStyle w:val="Rimandonotaapidipagina"/>
          <w:rFonts w:ascii="Times New Roman" w:hAnsi="Times New Roman" w:cs="Times New Roman"/>
          <w:color w:val="000000" w:themeColor="text1"/>
          <w:sz w:val="28"/>
          <w:szCs w:val="28"/>
        </w:rPr>
        <w:footnoteReference w:id="53"/>
      </w:r>
      <w:r w:rsidRPr="00383122">
        <w:rPr>
          <w:rStyle w:val="fontstyle01"/>
          <w:rFonts w:ascii="Times New Roman" w:hAnsi="Times New Roman" w:cs="Times New Roman"/>
          <w:color w:val="000000" w:themeColor="text1"/>
          <w:sz w:val="28"/>
          <w:szCs w:val="28"/>
        </w:rPr>
        <w:t>.</w:t>
      </w:r>
    </w:p>
    <w:p w14:paraId="2B437DB5"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Infine si propose «un’orientalizzazione dei missionari»</w:t>
      </w:r>
      <w:r w:rsidRPr="00383122">
        <w:rPr>
          <w:rStyle w:val="Rimandonotaapidipagina"/>
          <w:rFonts w:ascii="Times New Roman" w:hAnsi="Times New Roman" w:cs="Times New Roman"/>
          <w:color w:val="000000" w:themeColor="text1"/>
          <w:sz w:val="28"/>
          <w:szCs w:val="28"/>
        </w:rPr>
        <w:footnoteReference w:id="54"/>
      </w:r>
      <w:r w:rsidRPr="00383122">
        <w:rPr>
          <w:rStyle w:val="fontstyle01"/>
          <w:rFonts w:ascii="Times New Roman" w:hAnsi="Times New Roman" w:cs="Times New Roman"/>
          <w:color w:val="000000" w:themeColor="text1"/>
          <w:sz w:val="28"/>
          <w:szCs w:val="28"/>
        </w:rPr>
        <w:t xml:space="preserve">, per garantire il successo dell’opera di evangelizzazione in Oriente. Tale adeguamento si sarebbe dovuto realizzare attraverso la concessione di facoltà e privilegi ai missionari, i quali si sarebbero dovuti adattare alle usanze e alle tradizioni del paese. Questa tendenza consentiva ai missionari di celebrare la liturgia e amministrare i sacramenti nel rito orientale, mantenendo il rito latino originale e dipendendo solo dai delegati apostolici. Tuttavia tale progetto non venne realizzato, grazie alla guerra franco-tedesca 1870 e si contribuì a creare solo un clima di sfiducia. </w:t>
      </w:r>
    </w:p>
    <w:p w14:paraId="75DC9347"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Leone XIII (1878-1903) ebbe un atteggiamento molto diverso rispetto a quello di Pio IX. Difatti archiviò i tentativi di latinizzazione, poiché si prese cura delle chiese uniate e tentò di riallacciare i rapporti con l’ortodossia russa ed il patriarca di Costantinopoli. Il Papa voleva «dissipare i malintesi (…) </w:t>
      </w:r>
      <w:r w:rsidRPr="00383122">
        <w:rPr>
          <w:rStyle w:val="fontstyle01"/>
          <w:rFonts w:ascii="Times New Roman" w:hAnsi="Times New Roman" w:cs="Times New Roman"/>
          <w:color w:val="000000" w:themeColor="text1"/>
          <w:sz w:val="28"/>
          <w:szCs w:val="28"/>
        </w:rPr>
        <w:lastRenderedPageBreak/>
        <w:t>favorire la formazione del clero indigeno e stabilire centri di attenzione più numerosi ed efficaci»</w:t>
      </w:r>
      <w:r w:rsidRPr="00383122">
        <w:rPr>
          <w:rStyle w:val="Rimandonotaapidipagina"/>
          <w:rFonts w:ascii="Times New Roman" w:hAnsi="Times New Roman" w:cs="Times New Roman"/>
          <w:color w:val="000000" w:themeColor="text1"/>
          <w:sz w:val="28"/>
          <w:szCs w:val="28"/>
        </w:rPr>
        <w:footnoteReference w:id="55"/>
      </w:r>
      <w:r w:rsidRPr="00383122">
        <w:rPr>
          <w:rStyle w:val="fontstyle01"/>
          <w:rFonts w:ascii="Times New Roman" w:hAnsi="Times New Roman" w:cs="Times New Roman"/>
          <w:color w:val="000000" w:themeColor="text1"/>
          <w:sz w:val="28"/>
          <w:szCs w:val="28"/>
        </w:rPr>
        <w:t>, ossia valorizzare il carattere particolare delle chiese cattoliche orientali, però si scontrò l’atteggiamento conservatore della curia e di Propaganda fide. Tali reticenze furono evidenti durante il giubileo episcopale (1893-1894), durante il quale fu chiaro il desiderio del segretario di stato Rampolla di riacquisire per la Chiesa il potere temporale. Inoltre un altro avvenimento importante fu il congresso eucaristico internazionale di Gerusalemme (13-21 maggio 1893), durante il quale si analizzarono i risultati di una missione di contatto, sottolineando i «limiti dell’opera benefica di unità proposta dal papa»</w:t>
      </w:r>
      <w:r w:rsidRPr="00383122">
        <w:rPr>
          <w:rStyle w:val="Rimandonotaapidipagina"/>
          <w:rFonts w:ascii="Times New Roman" w:hAnsi="Times New Roman" w:cs="Times New Roman"/>
          <w:color w:val="000000" w:themeColor="text1"/>
          <w:sz w:val="28"/>
          <w:szCs w:val="28"/>
        </w:rPr>
        <w:footnoteReference w:id="56"/>
      </w:r>
      <w:r w:rsidRPr="00383122">
        <w:rPr>
          <w:rStyle w:val="fontstyle01"/>
          <w:rFonts w:ascii="Times New Roman" w:hAnsi="Times New Roman" w:cs="Times New Roman"/>
          <w:color w:val="000000" w:themeColor="text1"/>
          <w:sz w:val="28"/>
          <w:szCs w:val="28"/>
        </w:rPr>
        <w:t xml:space="preserve"> .Infine fondamentale fu l’enciclica </w:t>
      </w:r>
      <w:r w:rsidRPr="00383122">
        <w:rPr>
          <w:rStyle w:val="fontstyle01"/>
          <w:rFonts w:ascii="Times New Roman" w:hAnsi="Times New Roman" w:cs="Times New Roman"/>
          <w:i/>
          <w:color w:val="000000" w:themeColor="text1"/>
          <w:sz w:val="28"/>
          <w:szCs w:val="28"/>
        </w:rPr>
        <w:t>Praeclara gratulationis</w:t>
      </w:r>
      <w:r w:rsidRPr="00383122">
        <w:rPr>
          <w:rStyle w:val="fontstyle01"/>
          <w:rFonts w:ascii="Times New Roman" w:hAnsi="Times New Roman" w:cs="Times New Roman"/>
          <w:color w:val="000000" w:themeColor="text1"/>
          <w:sz w:val="28"/>
          <w:szCs w:val="28"/>
        </w:rPr>
        <w:t xml:space="preserve"> (1894) con cui Leone XIII parlava di unità di fede e di governo, voluta da Cristo per la sua Chiesa, senza però sacrificare i diritti o i privilegi delle chiese orientali.  Però nonostante tutto il papa promuoveva un apostolato unionista, ossia si impegnava nella creazione di un modello di unità che potesse essere di ispirazione alle chiese scismatiche o dissidenti, per ottenere una futura riconciliazione. </w:t>
      </w:r>
    </w:p>
    <w:p w14:paraId="1FCD2E6E"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Successivamente con Pio X nel 1903 si farà un passo indietro poiché il papa serbava «un disprezzo ingiurioso per le persone, le cose religiose ed ecclesiastiche dell’Oriente cristiano»</w:t>
      </w:r>
      <w:r w:rsidRPr="00383122">
        <w:rPr>
          <w:rStyle w:val="Rimandonotaapidipagina"/>
          <w:rFonts w:ascii="Times New Roman" w:hAnsi="Times New Roman" w:cs="Times New Roman"/>
          <w:color w:val="000000" w:themeColor="text1"/>
          <w:sz w:val="28"/>
          <w:szCs w:val="28"/>
        </w:rPr>
        <w:footnoteReference w:id="57"/>
      </w:r>
      <w:r w:rsidRPr="00383122">
        <w:rPr>
          <w:rStyle w:val="fontstyle01"/>
          <w:rFonts w:ascii="Times New Roman" w:hAnsi="Times New Roman" w:cs="Times New Roman"/>
          <w:color w:val="000000" w:themeColor="text1"/>
          <w:sz w:val="28"/>
          <w:szCs w:val="28"/>
        </w:rPr>
        <w:t xml:space="preserve">, sia a causa della sua formazione umana e teologica, sia a causa dell’atteggiamento autoritario della curia e della Congregazione. La prima guerra mondiale contribuì a creare ulteriori tensioni, perché comportò la distruzione dell’impero ottomano e la spartizione del Medio Oriente tra la Francia e l’Inghilterra. </w:t>
      </w:r>
    </w:p>
    <w:p w14:paraId="0EF49489"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In tale contesto Benedetto XV nel 1917 decise di creare una nuova Congregazione, legata direttamente alla figura del papa, ossia la Sacra Congregazione per le Chiese Orientali, dotandola anche di conferenze </w:t>
      </w:r>
      <w:r w:rsidRPr="00383122">
        <w:rPr>
          <w:rStyle w:val="fontstyle01"/>
          <w:rFonts w:ascii="Times New Roman" w:hAnsi="Times New Roman" w:cs="Times New Roman"/>
          <w:color w:val="000000" w:themeColor="text1"/>
          <w:sz w:val="28"/>
          <w:szCs w:val="28"/>
        </w:rPr>
        <w:lastRenderedPageBreak/>
        <w:t>patriarcali, che in occasioni di particolari circostanze, sarebbero state fondamentali per completare il quadro delle abituali informazioni, provenienti dai rappresentanti accreditati. Gli obiettivi di Benedetto XV si concretizzavano principalmente nell’interruzione dell’opera di latinizzazione da parte dei missionari e di conseguenza nell’interruzione del tentativo di espansione della cultura occidentale nei paesi orientali. Il papa riteneva che i missionari dovessero adattarsi alle condizioni locali e che fosse necessario ridefinire i rapporti con le autorità gerarchiche locali orientali.</w:t>
      </w:r>
    </w:p>
    <w:p w14:paraId="57F30FFE"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p>
    <w:p w14:paraId="22B958A8" w14:textId="77777777" w:rsidR="00F24444" w:rsidRPr="007D5C80" w:rsidRDefault="00F24444" w:rsidP="00484F9B">
      <w:pPr>
        <w:pStyle w:val="Paragrafoelenco"/>
        <w:numPr>
          <w:ilvl w:val="1"/>
          <w:numId w:val="5"/>
        </w:numPr>
        <w:spacing w:after="0" w:line="360" w:lineRule="auto"/>
        <w:ind w:left="680" w:right="340"/>
        <w:jc w:val="both"/>
        <w:rPr>
          <w:rStyle w:val="fontstyle01"/>
          <w:rFonts w:ascii="Times New Roman" w:hAnsi="Times New Roman" w:cs="Times New Roman"/>
          <w:i/>
          <w:color w:val="000000" w:themeColor="text1"/>
          <w:sz w:val="28"/>
          <w:szCs w:val="28"/>
        </w:rPr>
      </w:pPr>
      <w:r w:rsidRPr="00383122">
        <w:rPr>
          <w:rStyle w:val="fontstyle01"/>
          <w:rFonts w:ascii="Times New Roman" w:hAnsi="Times New Roman" w:cs="Times New Roman"/>
          <w:color w:val="000000" w:themeColor="text1"/>
          <w:sz w:val="28"/>
          <w:szCs w:val="28"/>
        </w:rPr>
        <w:t xml:space="preserve"> </w:t>
      </w:r>
      <w:r w:rsidRPr="007D5C80">
        <w:rPr>
          <w:rStyle w:val="fontstyle01"/>
          <w:rFonts w:ascii="Times New Roman" w:hAnsi="Times New Roman" w:cs="Times New Roman"/>
          <w:i/>
          <w:color w:val="000000" w:themeColor="text1"/>
          <w:sz w:val="28"/>
          <w:szCs w:val="28"/>
        </w:rPr>
        <w:t>La descrizione gerarchia centrale e periferica delle missioni cattoliche</w:t>
      </w:r>
    </w:p>
    <w:p w14:paraId="3B8AEADD" w14:textId="77777777" w:rsidR="00F24444" w:rsidRPr="00383122" w:rsidRDefault="00F24444" w:rsidP="00484F9B">
      <w:pPr>
        <w:pStyle w:val="Paragrafoelenco"/>
        <w:spacing w:after="0" w:line="360" w:lineRule="auto"/>
        <w:ind w:left="680" w:right="340"/>
        <w:jc w:val="both"/>
        <w:rPr>
          <w:rStyle w:val="fontstyle01"/>
          <w:rFonts w:ascii="Times New Roman" w:hAnsi="Times New Roman" w:cs="Times New Roman"/>
          <w:color w:val="000000" w:themeColor="text1"/>
          <w:sz w:val="28"/>
          <w:szCs w:val="28"/>
        </w:rPr>
      </w:pPr>
    </w:p>
    <w:p w14:paraId="5B610536"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Una volta delineate le caratteristiche di Propaganda Fide e della Sacra Congregazione per le Chiese Orientali è necessario spiegare l’organizzazione giuridica delle missioni, partendo dai canoni presenti all’interno del secondo libro del </w:t>
      </w:r>
      <w:r w:rsidRPr="00383122">
        <w:rPr>
          <w:rStyle w:val="fontstyle01"/>
          <w:rFonts w:ascii="Times New Roman" w:hAnsi="Times New Roman" w:cs="Times New Roman"/>
          <w:i/>
          <w:color w:val="000000" w:themeColor="text1"/>
          <w:sz w:val="28"/>
          <w:szCs w:val="28"/>
        </w:rPr>
        <w:t>Codex iuris canonici</w:t>
      </w:r>
      <w:r w:rsidRPr="00383122">
        <w:rPr>
          <w:rStyle w:val="fontstyle01"/>
          <w:rFonts w:ascii="Times New Roman" w:hAnsi="Times New Roman" w:cs="Times New Roman"/>
          <w:color w:val="000000" w:themeColor="text1"/>
          <w:sz w:val="28"/>
          <w:szCs w:val="28"/>
        </w:rPr>
        <w:t>. Ciò è fondamentale, perché l’organizzazione canonica delle missioni non è uguale in tutti i territori di diritto comune.</w:t>
      </w:r>
    </w:p>
    <w:p w14:paraId="3411DC28"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Difatti esiste un’organizzazione canonica centrale ed una periferica, Con la prima si intende quella che opera al centro della cristianità intorno al papa e con la seconda si intende invece quella che lavora nei vari territori di missione. L’organizzazione centrale è costituita dal papa, in quanto vicario di Gesù, poi da alcuni dicasteri della curia romana, tra i quali l’unico con diretta competenza missionaria era Propaganda fide, mentre gli altri dicasteri avevano competenza indiretta.</w:t>
      </w:r>
    </w:p>
    <w:p w14:paraId="2C37C7D2"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L’organizzazione periferica, invece è costituita dagli ordinari delle diverse circoscrizioni missionarie, che non sono distribuite egualmente su tutto il territorio. Le circoscrizioni in base al canone 252 si dividono in due macro-categorie: diocesi e quasi diocesi. Nelle diocesi si enumerano le sedi metropolitane, arcivescovili e vescovili, mentre le quasi-diocesi sono i vicariati apostolici, le prefetture apostoliche e le missioni autonome. Inoltre </w:t>
      </w:r>
      <w:r w:rsidRPr="00383122">
        <w:rPr>
          <w:rStyle w:val="fontstyle01"/>
          <w:rFonts w:ascii="Times New Roman" w:hAnsi="Times New Roman" w:cs="Times New Roman"/>
          <w:color w:val="000000" w:themeColor="text1"/>
          <w:sz w:val="28"/>
          <w:szCs w:val="28"/>
        </w:rPr>
        <w:lastRenderedPageBreak/>
        <w:t xml:space="preserve">vi è una terza categoria ossia le abbazie </w:t>
      </w:r>
      <w:r w:rsidRPr="00383122">
        <w:rPr>
          <w:rStyle w:val="fontstyle01"/>
          <w:rFonts w:ascii="Times New Roman" w:hAnsi="Times New Roman" w:cs="Times New Roman"/>
          <w:i/>
          <w:color w:val="000000" w:themeColor="text1"/>
          <w:sz w:val="28"/>
          <w:szCs w:val="28"/>
        </w:rPr>
        <w:t>nullius</w:t>
      </w:r>
      <w:r w:rsidRPr="00383122">
        <w:rPr>
          <w:rStyle w:val="fontstyle01"/>
          <w:rFonts w:ascii="Times New Roman" w:hAnsi="Times New Roman" w:cs="Times New Roman"/>
          <w:color w:val="000000" w:themeColor="text1"/>
          <w:sz w:val="28"/>
          <w:szCs w:val="28"/>
        </w:rPr>
        <w:t xml:space="preserve"> che, in base al loro sviluppo e alla loro organizzazione, possono essere considerate diocesi o quasi diocesi</w:t>
      </w:r>
      <w:r w:rsidRPr="00383122">
        <w:rPr>
          <w:rStyle w:val="Rimandonotaapidipagina"/>
          <w:rFonts w:ascii="Times New Roman" w:hAnsi="Times New Roman" w:cs="Times New Roman"/>
          <w:color w:val="000000" w:themeColor="text1"/>
          <w:sz w:val="28"/>
          <w:szCs w:val="28"/>
        </w:rPr>
        <w:footnoteReference w:id="58"/>
      </w:r>
      <w:r w:rsidRPr="00383122">
        <w:rPr>
          <w:rStyle w:val="fontstyle01"/>
          <w:rFonts w:ascii="Times New Roman" w:hAnsi="Times New Roman" w:cs="Times New Roman"/>
          <w:color w:val="000000" w:themeColor="text1"/>
          <w:sz w:val="28"/>
          <w:szCs w:val="28"/>
        </w:rPr>
        <w:t xml:space="preserve">. Gli ordinari delle diocesi sono vescovi, arcivescovi e metropoliti, mentre quelli delle quasi diocesi sono i vicari apostolici, i prefetti apostolici ed i superiori ecclesiastici delle missioni autonome. Nei territori di Propaganda «non vi sono prelature </w:t>
      </w:r>
      <w:r w:rsidRPr="00383122">
        <w:rPr>
          <w:rStyle w:val="fontstyle01"/>
          <w:rFonts w:ascii="Times New Roman" w:hAnsi="Times New Roman" w:cs="Times New Roman"/>
          <w:i/>
          <w:color w:val="000000" w:themeColor="text1"/>
          <w:sz w:val="28"/>
          <w:szCs w:val="28"/>
        </w:rPr>
        <w:t>nullius</w:t>
      </w:r>
      <w:r w:rsidRPr="00383122">
        <w:rPr>
          <w:rStyle w:val="fontstyle01"/>
          <w:rFonts w:ascii="Times New Roman" w:hAnsi="Times New Roman" w:cs="Times New Roman"/>
          <w:color w:val="000000" w:themeColor="text1"/>
          <w:sz w:val="28"/>
          <w:szCs w:val="28"/>
        </w:rPr>
        <w:t>, né sedi primaziali né sedi patriarcali (…) poiché tutti gli ordinari sono permanenti, mentre hanno carattere provvisorio gli amministratori apostolici ed i visitatori»</w:t>
      </w:r>
      <w:r w:rsidRPr="00383122">
        <w:rPr>
          <w:rStyle w:val="Rimandonotaapidipagina"/>
          <w:rFonts w:ascii="Times New Roman" w:hAnsi="Times New Roman" w:cs="Times New Roman"/>
          <w:color w:val="000000" w:themeColor="text1"/>
          <w:sz w:val="28"/>
          <w:szCs w:val="28"/>
        </w:rPr>
        <w:footnoteReference w:id="59"/>
      </w:r>
      <w:r w:rsidRPr="00383122">
        <w:rPr>
          <w:rStyle w:val="fontstyle01"/>
          <w:rFonts w:ascii="Times New Roman" w:hAnsi="Times New Roman" w:cs="Times New Roman"/>
          <w:color w:val="000000" w:themeColor="text1"/>
          <w:sz w:val="28"/>
          <w:szCs w:val="28"/>
        </w:rPr>
        <w:t>. I vescovi di tutte le diocesi, tutti i vicari apostolici erano insigniti del carattere episcopale, di cui erano privi i prefetti apostolici</w:t>
      </w:r>
      <w:r w:rsidRPr="00383122">
        <w:rPr>
          <w:rStyle w:val="Rimandonotaapidipagina"/>
          <w:rFonts w:ascii="Times New Roman" w:hAnsi="Times New Roman" w:cs="Times New Roman"/>
          <w:color w:val="000000" w:themeColor="text1"/>
          <w:sz w:val="28"/>
          <w:szCs w:val="28"/>
        </w:rPr>
        <w:footnoteReference w:id="60"/>
      </w:r>
      <w:r w:rsidRPr="00383122">
        <w:rPr>
          <w:rStyle w:val="fontstyle01"/>
          <w:rFonts w:ascii="Times New Roman" w:hAnsi="Times New Roman" w:cs="Times New Roman"/>
          <w:color w:val="000000" w:themeColor="text1"/>
          <w:sz w:val="28"/>
          <w:szCs w:val="28"/>
        </w:rPr>
        <w:t xml:space="preserve"> e i superiori ecclesiastici.  Altri organi che erano a latere rispetto all’organizzazione canonica erano l’unione missionaria del clero oppure le pontificie opere missionarie, in quanto organismi di cooperazione. </w:t>
      </w:r>
    </w:p>
    <w:p w14:paraId="7E276C19"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All’interno della curia romana, la Congregazione di Propaganda fide aveva un potere amplissimo. Esso </w:t>
      </w:r>
      <w:bookmarkStart w:id="1" w:name="_Hlk106459836"/>
      <w:r w:rsidRPr="00383122">
        <w:rPr>
          <w:rStyle w:val="fontstyle01"/>
          <w:rFonts w:ascii="Times New Roman" w:hAnsi="Times New Roman" w:cs="Times New Roman"/>
          <w:color w:val="000000" w:themeColor="text1"/>
          <w:sz w:val="28"/>
          <w:szCs w:val="28"/>
        </w:rPr>
        <w:t xml:space="preserve">venne ridimensionato con la costituzione </w:t>
      </w:r>
      <w:r w:rsidRPr="00383122">
        <w:rPr>
          <w:rStyle w:val="fontstyle01"/>
          <w:rFonts w:ascii="Times New Roman" w:hAnsi="Times New Roman" w:cs="Times New Roman"/>
          <w:i/>
          <w:color w:val="000000" w:themeColor="text1"/>
          <w:sz w:val="28"/>
          <w:szCs w:val="28"/>
        </w:rPr>
        <w:t>Sapienti consilio</w:t>
      </w:r>
      <w:r w:rsidRPr="00383122">
        <w:rPr>
          <w:rStyle w:val="fontstyle01"/>
          <w:rFonts w:ascii="Times New Roman" w:hAnsi="Times New Roman" w:cs="Times New Roman"/>
          <w:color w:val="000000" w:themeColor="text1"/>
          <w:sz w:val="28"/>
          <w:szCs w:val="28"/>
        </w:rPr>
        <w:t xml:space="preserve"> (1908), che diede maggiore spazio alla S.C dei religiosi. I territori sotto la giurisdizione della Congregazione erano: in Europa, in Africa, in America ed in Oceania.</w:t>
      </w:r>
      <w:bookmarkEnd w:id="1"/>
      <w:r w:rsidRPr="00383122">
        <w:rPr>
          <w:rStyle w:val="fontstyle01"/>
          <w:rFonts w:ascii="Times New Roman" w:hAnsi="Times New Roman" w:cs="Times New Roman"/>
          <w:color w:val="000000" w:themeColor="text1"/>
          <w:sz w:val="28"/>
          <w:szCs w:val="28"/>
        </w:rPr>
        <w:t xml:space="preserve"> L’erezione o la promozione delle circoscrizioni ecclesiastiche avveniva attraverso le informazioni fornite a Propaganda dai superiori di missione o dai delegati apostolici, necessarie alla segreteria della Congregazione per creare «la ponenza relativa»</w:t>
      </w:r>
      <w:r w:rsidRPr="00383122">
        <w:rPr>
          <w:rStyle w:val="Rimandonotaapidipagina"/>
          <w:rFonts w:ascii="Times New Roman" w:hAnsi="Times New Roman" w:cs="Times New Roman"/>
          <w:color w:val="000000" w:themeColor="text1"/>
          <w:sz w:val="28"/>
          <w:szCs w:val="28"/>
        </w:rPr>
        <w:footnoteReference w:id="61"/>
      </w:r>
      <w:r w:rsidRPr="00383122">
        <w:rPr>
          <w:rStyle w:val="fontstyle01"/>
          <w:rFonts w:ascii="Times New Roman" w:hAnsi="Times New Roman" w:cs="Times New Roman"/>
          <w:color w:val="000000" w:themeColor="text1"/>
          <w:sz w:val="28"/>
          <w:szCs w:val="28"/>
        </w:rPr>
        <w:t xml:space="preserve">, la quale poi doveva essere approvata dalla congregazione plenaria dei cardinali ed infine dal papa.  </w:t>
      </w:r>
    </w:p>
    <w:p w14:paraId="27343CE8"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Quando erigeva una nuova circoscrizione Propaganda provvedeva anche al governo della medesima, affidandola laddove fosse possibile al clero secolare indigeno, così da garantire un avvicinamento ai territori di diritto comune, </w:t>
      </w:r>
      <w:r w:rsidRPr="00383122">
        <w:rPr>
          <w:rStyle w:val="fontstyle01"/>
          <w:rFonts w:ascii="Times New Roman" w:hAnsi="Times New Roman" w:cs="Times New Roman"/>
          <w:color w:val="000000" w:themeColor="text1"/>
          <w:sz w:val="28"/>
          <w:szCs w:val="28"/>
        </w:rPr>
        <w:lastRenderedPageBreak/>
        <w:t>perché lo sviluppo della vita spirituale dei fedeli o di qualsiasi attività futura dipendeva esclusivamente da elementi locali. Tuttavia spesso il clero indigeno era poco numeroso, per questo la Congregazione affidava l’erezione delle nuove circoscrizioni a «missionari esteri»</w:t>
      </w:r>
      <w:r w:rsidRPr="00383122">
        <w:rPr>
          <w:rStyle w:val="Rimandonotaapidipagina"/>
          <w:rFonts w:ascii="Times New Roman" w:hAnsi="Times New Roman" w:cs="Times New Roman"/>
          <w:color w:val="000000" w:themeColor="text1"/>
          <w:sz w:val="28"/>
          <w:szCs w:val="28"/>
        </w:rPr>
        <w:footnoteReference w:id="62"/>
      </w:r>
      <w:r w:rsidRPr="00383122">
        <w:rPr>
          <w:rStyle w:val="fontstyle01"/>
          <w:rFonts w:ascii="Times New Roman" w:hAnsi="Times New Roman" w:cs="Times New Roman"/>
          <w:color w:val="000000" w:themeColor="text1"/>
          <w:sz w:val="28"/>
          <w:szCs w:val="28"/>
        </w:rPr>
        <w:t xml:space="preserve">, che appartenevano sempre ad una congregazione o ad un istituto religioso. </w:t>
      </w:r>
    </w:p>
    <w:p w14:paraId="283263AB"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Tale affidamento implicava la creazione, in senso largo, poiché non si trattava di due soggetti giuridici omogenei, di un contratto tra la Santa Sede e l’istituto con diritti e doveri reciproci. Per prima cosa l’affidamento non era perpetuo ma </w:t>
      </w:r>
      <w:r w:rsidRPr="00383122">
        <w:rPr>
          <w:rStyle w:val="fontstyle01"/>
          <w:rFonts w:ascii="Times New Roman" w:hAnsi="Times New Roman" w:cs="Times New Roman"/>
          <w:i/>
          <w:color w:val="000000" w:themeColor="text1"/>
          <w:sz w:val="28"/>
          <w:szCs w:val="28"/>
        </w:rPr>
        <w:t>ad nutum Sedis Apostolicae</w:t>
      </w:r>
      <w:r w:rsidRPr="00383122">
        <w:rPr>
          <w:rStyle w:val="fontstyle01"/>
          <w:rFonts w:ascii="Times New Roman" w:hAnsi="Times New Roman" w:cs="Times New Roman"/>
          <w:color w:val="000000" w:themeColor="text1"/>
          <w:sz w:val="28"/>
          <w:szCs w:val="28"/>
        </w:rPr>
        <w:t>, quindi revocabile in qualsiasi momento e per qualsiasi ragione. Inoltre i doveri degli istituti erano determinati dai documenti pontifici e dalle istruzioni di Propaganda e si concretizzavano principalmente nel mettere a disposizione del territorio da evangelizzare personale e mezzi sufficienti allo scopo, servendosi della generosità dei fedeli e rispondere attraverso il superiore generale di fronte alla Santa Sede circa l’andamento della missione. È importante ricordare che la figura del superiore veniva scelta direttamente dalla Santa Sede.</w:t>
      </w:r>
    </w:p>
    <w:p w14:paraId="30266D4A"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bookmarkStart w:id="2" w:name="_Hlk106459636"/>
      <w:r w:rsidRPr="00383122">
        <w:rPr>
          <w:rStyle w:val="fontstyle01"/>
          <w:rFonts w:ascii="Times New Roman" w:hAnsi="Times New Roman" w:cs="Times New Roman"/>
          <w:color w:val="000000" w:themeColor="text1"/>
          <w:sz w:val="28"/>
          <w:szCs w:val="28"/>
        </w:rPr>
        <w:t>Per quanto riguarda le persone, Propaganda esercitava la propria giurisdizione ai sensi del § 5 del canone 252 «su tutto ciò che riguarda i religiosi in quanto missionari»</w:t>
      </w:r>
      <w:r w:rsidRPr="00383122">
        <w:rPr>
          <w:rStyle w:val="Rimandonotaapidipagina"/>
          <w:rFonts w:ascii="Times New Roman" w:hAnsi="Times New Roman" w:cs="Times New Roman"/>
          <w:color w:val="000000" w:themeColor="text1"/>
          <w:sz w:val="28"/>
          <w:szCs w:val="28"/>
        </w:rPr>
        <w:footnoteReference w:id="63"/>
      </w:r>
      <w:r w:rsidRPr="00383122">
        <w:rPr>
          <w:rStyle w:val="fontstyle01"/>
          <w:rFonts w:ascii="Times New Roman" w:hAnsi="Times New Roman" w:cs="Times New Roman"/>
          <w:color w:val="000000" w:themeColor="text1"/>
          <w:sz w:val="28"/>
          <w:szCs w:val="28"/>
        </w:rPr>
        <w:t>.  Si trattava di una limitazione concernente i religiosi non missionari, che erano dipendenti dalla S.C dei religiosi.</w:t>
      </w:r>
    </w:p>
    <w:p w14:paraId="7F789760"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Inoltre, sotto la giurisdizione di Propaganda vi erano vari istituti religiosi sia maschili che femminili a carattere missionario. Per poter passare sotto la giurisdizione di Propaganda il superiore generale dell’istituto doveva presentare la domanda o al pontefice o alla S.C dei religiosi. La Congregazione si occupava di erigere le nuove missioni e di gestire quelle già erette, nominando o cambiando i ministri necessari e facendo «tutto ciò che </w:t>
      </w:r>
      <w:r w:rsidRPr="00383122">
        <w:rPr>
          <w:rStyle w:val="fontstyle01"/>
          <w:rFonts w:ascii="Times New Roman" w:hAnsi="Times New Roman" w:cs="Times New Roman"/>
          <w:color w:val="000000" w:themeColor="text1"/>
          <w:sz w:val="28"/>
          <w:szCs w:val="28"/>
        </w:rPr>
        <w:lastRenderedPageBreak/>
        <w:t>riteneva opportuno e necessario in materia»</w:t>
      </w:r>
      <w:r w:rsidRPr="00383122">
        <w:rPr>
          <w:rStyle w:val="Rimandonotaapidipagina"/>
          <w:rFonts w:ascii="Times New Roman" w:hAnsi="Times New Roman" w:cs="Times New Roman"/>
          <w:color w:val="000000" w:themeColor="text1"/>
          <w:sz w:val="28"/>
          <w:szCs w:val="28"/>
        </w:rPr>
        <w:footnoteReference w:id="64"/>
      </w:r>
      <w:r w:rsidRPr="00383122">
        <w:rPr>
          <w:rStyle w:val="fontstyle01"/>
          <w:rFonts w:ascii="Times New Roman" w:hAnsi="Times New Roman" w:cs="Times New Roman"/>
          <w:color w:val="000000" w:themeColor="text1"/>
          <w:sz w:val="28"/>
          <w:szCs w:val="28"/>
        </w:rPr>
        <w:t xml:space="preserve">. Aveva una piena giurisdizione amministrativa sui territori di missione, salvo però i diritti dei sacri dicasteri che sulle missioni avevano competenza indirettaGli altri dicasteri della curia, aventi una competenza missionaria indiretta, comunicavano con Propaganda. La S.C. del Sant’officio provvedeva alla tutela della fede e dei costumi, attraverso dispense dal digiuno eucaristico dei celebranti o quelle matrimoniali riguardanti il privilegio paolino. Propaganda ricorreva a tale dicastero per la soluzione delle questioni di carattere generale e particolare, ma anche per ottenere facoltà ed indulti. La S.C. concistoriale aveva un rapporto con Propaganda limitato ai casi in cui un territorio, ad esempio di competenza della prima dovesse passare sotto la giurisdizione della seconda e viceversa. Le competenze della S.C della disciplina dei sacramenti, della S.C. dei riti e della S.C. dei seminari delle università degli studi venivano esercitate da Propaganda nei territori di missione. La S.C dei religiosi, dopo la </w:t>
      </w:r>
      <w:r w:rsidRPr="00383122">
        <w:rPr>
          <w:rStyle w:val="fontstyle01"/>
          <w:rFonts w:ascii="Times New Roman" w:hAnsi="Times New Roman" w:cs="Times New Roman"/>
          <w:i/>
          <w:color w:val="000000" w:themeColor="text1"/>
          <w:sz w:val="28"/>
          <w:szCs w:val="28"/>
        </w:rPr>
        <w:t>Sapienti consilio</w:t>
      </w:r>
      <w:r w:rsidRPr="00383122">
        <w:rPr>
          <w:rStyle w:val="fontstyle01"/>
          <w:rFonts w:ascii="Times New Roman" w:hAnsi="Times New Roman" w:cs="Times New Roman"/>
          <w:color w:val="000000" w:themeColor="text1"/>
          <w:sz w:val="28"/>
          <w:szCs w:val="28"/>
        </w:rPr>
        <w:t xml:space="preserve"> (1908) aveva competenza su tutti i religiosi, pur mantenendo dei rapporti con Propaganda, perché da questa dipendevano i religiosi missionari, facenti parte di istituti religiosi posti sotto la giurisdizione della Congregazione. La S.C degli affari ecclesiastici straordinari si occupava di «tutti gli affari che dovevano essere conclusi d’intesa con i vari Governi civili»</w:t>
      </w:r>
      <w:r w:rsidRPr="00383122">
        <w:rPr>
          <w:rStyle w:val="Rimandonotaapidipagina"/>
          <w:rFonts w:ascii="Times New Roman" w:hAnsi="Times New Roman" w:cs="Times New Roman"/>
          <w:color w:val="000000" w:themeColor="text1"/>
          <w:sz w:val="28"/>
          <w:szCs w:val="28"/>
        </w:rPr>
        <w:footnoteReference w:id="65"/>
      </w:r>
      <w:r w:rsidRPr="00383122">
        <w:rPr>
          <w:rStyle w:val="fontstyle01"/>
          <w:rFonts w:ascii="Times New Roman" w:hAnsi="Times New Roman" w:cs="Times New Roman"/>
          <w:color w:val="000000" w:themeColor="text1"/>
          <w:sz w:val="28"/>
          <w:szCs w:val="28"/>
        </w:rPr>
        <w:t>. Infine i tre tribunali della curia conservavano la loro competenza nei territori di missione: la penitenzieria apostolica per il foro interno, la romana rota e la segnatura apostolica per il foro esterno.</w:t>
      </w:r>
    </w:p>
    <w:bookmarkEnd w:id="2"/>
    <w:p w14:paraId="0D8B4235"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 Per quanto riguarda la gerarchia periferica la chiesa missionaria, come la chiesa di diritto comune era suddivisa in circoscrizioni territoriali, chiamate diocesi o quasi diocesi, a seconda del maggiore o minore sviluppo della vita cristiana, o meglio a seconda della presenza o meno di una gerarchia ordinaria. Le diocesi erano raggruppate in province ecclesiastiche, formate da </w:t>
      </w:r>
      <w:r w:rsidRPr="00383122">
        <w:rPr>
          <w:rStyle w:val="fontstyle01"/>
          <w:rFonts w:ascii="Times New Roman" w:hAnsi="Times New Roman" w:cs="Times New Roman"/>
          <w:color w:val="000000" w:themeColor="text1"/>
          <w:sz w:val="28"/>
          <w:szCs w:val="28"/>
        </w:rPr>
        <w:lastRenderedPageBreak/>
        <w:t xml:space="preserve">una sede arcivescovile o metropolitana e da diocesi suffraganee a cui spesso erano uniti i vicariati e le prefetture apostoliche. Esistevano anche diocesi sciolte dai vincoli metropolitici e dipendenti direttamente dalla Santa Sede, le quali però pur essendo esenti dal sistema comune di inquadramento provinciale dovevano </w:t>
      </w:r>
      <w:r w:rsidRPr="00383122">
        <w:rPr>
          <w:rFonts w:ascii="Times New Roman" w:hAnsi="Times New Roman" w:cs="Times New Roman"/>
          <w:color w:val="000000" w:themeColor="text1"/>
          <w:sz w:val="28"/>
          <w:szCs w:val="28"/>
        </w:rPr>
        <w:t>scegliere un metropolita vicino</w:t>
      </w:r>
      <w:r w:rsidRPr="00383122">
        <w:rPr>
          <w:rStyle w:val="Rimandonotaapidipagina"/>
          <w:rFonts w:ascii="Times New Roman" w:hAnsi="Times New Roman" w:cs="Times New Roman"/>
          <w:color w:val="000000" w:themeColor="text1"/>
          <w:sz w:val="28"/>
          <w:szCs w:val="28"/>
        </w:rPr>
        <w:footnoteReference w:id="66"/>
      </w:r>
      <w:r w:rsidRPr="00383122">
        <w:rPr>
          <w:rFonts w:ascii="Times New Roman" w:hAnsi="Times New Roman" w:cs="Times New Roman"/>
          <w:color w:val="000000" w:themeColor="text1"/>
          <w:sz w:val="28"/>
          <w:szCs w:val="28"/>
        </w:rPr>
        <w:t>, a cui fare capo in determinate circostanze</w:t>
      </w:r>
      <w:r w:rsidRPr="00383122">
        <w:rPr>
          <w:rStyle w:val="Rimandonotaapidipagina"/>
          <w:rFonts w:ascii="Times New Roman" w:hAnsi="Times New Roman" w:cs="Times New Roman"/>
          <w:color w:val="000000" w:themeColor="text1"/>
          <w:sz w:val="28"/>
          <w:szCs w:val="28"/>
        </w:rPr>
        <w:footnoteReference w:id="67"/>
      </w:r>
      <w:r w:rsidRPr="00383122">
        <w:rPr>
          <w:rFonts w:ascii="Times New Roman" w:hAnsi="Times New Roman" w:cs="Times New Roman"/>
          <w:color w:val="000000" w:themeColor="text1"/>
          <w:sz w:val="28"/>
          <w:szCs w:val="28"/>
        </w:rPr>
        <w:t>.</w:t>
      </w:r>
    </w:p>
    <w:p w14:paraId="11E63A6A"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distinzione tra diocesi e quasi diocesi aveva conseguenze giuridiche. Difatti le diocesi erano governate dai vescovi, «quali successori degli Apostoli, con potestà propria ordinaria»</w:t>
      </w:r>
      <w:r w:rsidRPr="00383122">
        <w:rPr>
          <w:rStyle w:val="Rimandonotaapidipagina"/>
          <w:rFonts w:ascii="Times New Roman" w:hAnsi="Times New Roman" w:cs="Times New Roman"/>
          <w:color w:val="000000" w:themeColor="text1"/>
          <w:sz w:val="28"/>
          <w:szCs w:val="28"/>
        </w:rPr>
        <w:footnoteReference w:id="68"/>
      </w:r>
      <w:r w:rsidRPr="00383122">
        <w:rPr>
          <w:rFonts w:ascii="Times New Roman" w:hAnsi="Times New Roman" w:cs="Times New Roman"/>
          <w:color w:val="000000" w:themeColor="text1"/>
          <w:sz w:val="28"/>
          <w:szCs w:val="28"/>
        </w:rPr>
        <w:t>, mentre le quasi diocesi erano governate da prelati, in nome del papa , che agivano con potestà non propria ma vicaria, sebbene ordinaria. Sia le diocesi che le quasi diocesi erano circoscrizioni territoriali con un proprio governo pastorale e cioè con un particolare popolo, un territorio ben determinato, un proprio prelato e un clero proprio. La loro erezione, divisione o soppressione avveniva necessariamente con l’autorizzazione della suprema potestà pontificia. I prelati che gestivano le varie circoscrizioni territoriali venivano definiti ordinari di luogo ed avevano una «giurisdizione personale verso i propri sudditi dovunque questi si trovino»</w:t>
      </w:r>
      <w:r w:rsidRPr="00383122">
        <w:rPr>
          <w:rStyle w:val="Rimandonotaapidipagina"/>
          <w:rFonts w:ascii="Times New Roman" w:hAnsi="Times New Roman" w:cs="Times New Roman"/>
          <w:color w:val="000000" w:themeColor="text1"/>
          <w:sz w:val="28"/>
          <w:szCs w:val="28"/>
        </w:rPr>
        <w:footnoteReference w:id="69"/>
      </w:r>
      <w:r w:rsidRPr="00383122">
        <w:rPr>
          <w:rFonts w:ascii="Times New Roman" w:hAnsi="Times New Roman" w:cs="Times New Roman"/>
          <w:color w:val="000000" w:themeColor="text1"/>
          <w:sz w:val="28"/>
          <w:szCs w:val="28"/>
        </w:rPr>
        <w:t xml:space="preserve">. Agli ordinari di missione venivano concesse facoltà ordinarie o straordinarie tramite formule a stampa o rescritti. Nelle diocesi gli ordinari del luogo erano i vescovi e nelle quasi diocesi erano i vicari, i prefetti apostolici, i superiori delle missioni autonome e gli abati </w:t>
      </w:r>
      <w:r w:rsidRPr="00383122">
        <w:rPr>
          <w:rFonts w:ascii="Times New Roman" w:hAnsi="Times New Roman" w:cs="Times New Roman"/>
          <w:i/>
          <w:color w:val="000000" w:themeColor="text1"/>
          <w:sz w:val="28"/>
          <w:szCs w:val="28"/>
        </w:rPr>
        <w:t>nullius.</w:t>
      </w:r>
      <w:r w:rsidRPr="00383122">
        <w:rPr>
          <w:rFonts w:ascii="Times New Roman" w:hAnsi="Times New Roman" w:cs="Times New Roman"/>
          <w:color w:val="000000" w:themeColor="text1"/>
          <w:sz w:val="28"/>
          <w:szCs w:val="28"/>
        </w:rPr>
        <w:t xml:space="preserve"> </w:t>
      </w:r>
    </w:p>
    <w:p w14:paraId="7C0EE547"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Per poter chiarire il ruolo dei singoli ordinari è necessario analizzarli individualmente, partendo dalle diocesi. Il diritto canonico riconosceva tre tipologie diverse di vescovi: quelli residenziali, detti anche ordinari o diocesani, che esercitavano il governo ordinario sul clero e sul popolo, affidatogli dalla diocesi; i vescovi titolari, privi di giurisdizione e senza clero </w:t>
      </w:r>
      <w:r w:rsidRPr="00383122">
        <w:rPr>
          <w:rFonts w:ascii="Times New Roman" w:hAnsi="Times New Roman" w:cs="Times New Roman"/>
          <w:color w:val="000000" w:themeColor="text1"/>
          <w:sz w:val="28"/>
          <w:szCs w:val="28"/>
        </w:rPr>
        <w:lastRenderedPageBreak/>
        <w:t>o popolo ed infine quelli ausiliari, il cui compito principale era quello di coadiuvare il vescovo residenziale. Tra questi solo i vescovi titolari erano veri ordinari e si distinguevano in suffraganei, dipendenti da un metropolita, ed esenti ovvero soggetti al pontefice. Il metropolita presiedeva a una provincia ecclesiastica e aveva sotto di sé altri vescovi, detti suffraganei  e poteva avere anche il titolo di arcivescovo conferitogli dalla Santa Sede con semplice valore onorifico</w:t>
      </w:r>
      <w:r w:rsidRPr="00383122">
        <w:rPr>
          <w:rStyle w:val="Rimandonotaapidipagina"/>
          <w:rFonts w:ascii="Times New Roman" w:hAnsi="Times New Roman" w:cs="Times New Roman"/>
          <w:color w:val="000000" w:themeColor="text1"/>
          <w:sz w:val="28"/>
          <w:szCs w:val="28"/>
        </w:rPr>
        <w:footnoteReference w:id="70"/>
      </w:r>
      <w:r w:rsidRPr="00383122">
        <w:rPr>
          <w:rFonts w:ascii="Times New Roman" w:hAnsi="Times New Roman" w:cs="Times New Roman"/>
          <w:color w:val="000000" w:themeColor="text1"/>
          <w:sz w:val="28"/>
          <w:szCs w:val="28"/>
        </w:rPr>
        <w:t xml:space="preserve">. </w:t>
      </w:r>
    </w:p>
    <w:p w14:paraId="38507A47"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Il meccanismo di nomina dei vescovi presentava delle caratteristiche diverse, a seconda che si trattasse di diocesi poste sotto la giurisdizione del clero secolare oppure sotto la giurisdizione degli istituti religiosi. Nel primo caso Propaganda domandava al delegato o nunzio apostolico una terna di candidati su cui poi svolgere investigazioni, per valutare i loro requisiti morali e legali. Mentre nel secondo caso la terna di nomi deve essere presentata dal superiore dell’istituto, poi sottoposta al parere del delegato o nunzio apostolico. Una volta raccolte tutte le informazioni veniva redatta dalla segreteria di Propaganda «una ponenza»</w:t>
      </w:r>
      <w:r w:rsidRPr="00383122">
        <w:rPr>
          <w:rStyle w:val="Rimandonotaapidipagina"/>
          <w:rFonts w:ascii="Times New Roman" w:hAnsi="Times New Roman" w:cs="Times New Roman"/>
          <w:color w:val="000000" w:themeColor="text1"/>
          <w:sz w:val="28"/>
          <w:szCs w:val="28"/>
        </w:rPr>
        <w:footnoteReference w:id="71"/>
      </w:r>
      <w:r w:rsidRPr="00383122">
        <w:rPr>
          <w:rFonts w:ascii="Times New Roman" w:hAnsi="Times New Roman" w:cs="Times New Roman"/>
          <w:color w:val="000000" w:themeColor="text1"/>
          <w:sz w:val="28"/>
          <w:szCs w:val="28"/>
        </w:rPr>
        <w:t xml:space="preserve"> da far approvare, prima in congregazione plenaria e poi dal papa. I vescovi avevano potestà legislativa e la esercitavano direttamente, potestà esecutiva, esercitata tramite i vicari generali e potestà giudiziaria, esercitata tramite i vicari giudiziali. Inoltre godevano di numerosi privilegi e facoltà, pur avendo numerosi obblighi pastorali, come ad esempio l’obbligo di residenza nella diocesi e di visita di una parte della stessa almeno una volta all’anno. Inoltre vi erano anche obblighi derivanti dal rapporto gerarchico con la Santa Sede e tra questi si annoveravano: l’obbligo di presentare ogni cinque anni una relazione al papa sullo stato della diocesi affidatagli e  quello di recarsi a Roma, per la visita </w:t>
      </w:r>
      <w:r w:rsidRPr="00383122">
        <w:rPr>
          <w:rFonts w:ascii="Times New Roman" w:hAnsi="Times New Roman" w:cs="Times New Roman"/>
          <w:i/>
          <w:color w:val="000000" w:themeColor="text1"/>
          <w:sz w:val="28"/>
          <w:szCs w:val="28"/>
        </w:rPr>
        <w:t>ad limita apostolorum</w:t>
      </w:r>
      <w:r w:rsidRPr="00383122">
        <w:rPr>
          <w:rStyle w:val="Rimandonotaapidipagina"/>
          <w:rFonts w:ascii="Times New Roman" w:hAnsi="Times New Roman" w:cs="Times New Roman"/>
          <w:i/>
          <w:color w:val="000000" w:themeColor="text1"/>
          <w:sz w:val="28"/>
          <w:szCs w:val="28"/>
        </w:rPr>
        <w:footnoteReference w:id="72"/>
      </w:r>
      <w:r w:rsidRPr="00383122">
        <w:rPr>
          <w:rFonts w:ascii="Times New Roman" w:hAnsi="Times New Roman" w:cs="Times New Roman"/>
          <w:color w:val="000000" w:themeColor="text1"/>
          <w:sz w:val="28"/>
          <w:szCs w:val="28"/>
        </w:rPr>
        <w:t xml:space="preserve">. </w:t>
      </w:r>
      <w:r w:rsidRPr="00383122">
        <w:rPr>
          <w:rFonts w:ascii="Times New Roman" w:hAnsi="Times New Roman" w:cs="Times New Roman"/>
          <w:color w:val="000000" w:themeColor="text1"/>
          <w:sz w:val="28"/>
          <w:szCs w:val="28"/>
        </w:rPr>
        <w:lastRenderedPageBreak/>
        <w:t>Nelle quasi diocesi i vicari ed i prefetti apostolici avevano la medesima giurisdizione dei vescovi residenziali. L’unica differenza stava nel fatto che la loro giurisdizione, sebbene ordinaria, era vicaria</w:t>
      </w:r>
      <w:r w:rsidRPr="00383122">
        <w:rPr>
          <w:rStyle w:val="Rimandonotaapidipagina"/>
          <w:rFonts w:ascii="Times New Roman" w:hAnsi="Times New Roman" w:cs="Times New Roman"/>
          <w:color w:val="000000" w:themeColor="text1"/>
          <w:sz w:val="28"/>
          <w:szCs w:val="28"/>
        </w:rPr>
        <w:footnoteReference w:id="73"/>
      </w:r>
      <w:r w:rsidRPr="00383122">
        <w:rPr>
          <w:rFonts w:ascii="Times New Roman" w:hAnsi="Times New Roman" w:cs="Times New Roman"/>
          <w:color w:val="000000" w:themeColor="text1"/>
          <w:sz w:val="28"/>
          <w:szCs w:val="28"/>
        </w:rPr>
        <w:t xml:space="preserve">. Inoltre avevano l’obbligo di inviare le stesse relazioni dei vescovi residenziali e quello di residenza che però si declinava in maniera differente, perché non avevano una cattedrale, proprio per questo dovevano creare un consiglio missionario da consultare per gli affari più importanti e inoltre, almeno una volta all’anno dovevano riunire tutti i missionari per discutere ciò che avrebbe potuto migliorare la loro attività. Godevano degli stessi privilegi e delle stesse facoltà dei vescovi residenziali, inoltre potevano nominare dei pro-vicari o pro-prefetti, onde evitare interruzioni dannose nel governo delle missioni, riconducibili ad avvenimenti straordinari. Infine le missioni autonome o </w:t>
      </w:r>
      <w:r w:rsidRPr="00383122">
        <w:rPr>
          <w:rFonts w:ascii="Times New Roman" w:hAnsi="Times New Roman" w:cs="Times New Roman"/>
          <w:i/>
          <w:color w:val="000000" w:themeColor="text1"/>
          <w:sz w:val="28"/>
          <w:szCs w:val="28"/>
        </w:rPr>
        <w:t xml:space="preserve">sui iuris </w:t>
      </w:r>
      <w:r w:rsidRPr="00383122">
        <w:rPr>
          <w:rFonts w:ascii="Times New Roman" w:hAnsi="Times New Roman" w:cs="Times New Roman"/>
          <w:color w:val="000000" w:themeColor="text1"/>
          <w:sz w:val="28"/>
          <w:szCs w:val="28"/>
        </w:rPr>
        <w:t xml:space="preserve">erano quei territori di missione, che non facevano parte di nessun vicariato o prefettura apostolica e rappresentavano il primo stadio dell’organizzazione ecclesiastica missionaria. A capo di queste vi era un superiore ecclesiastico, nominato da Propaganda. Tale superiore era dichiarato ordinario di luogo, avendo di conseguenza tutti i diritti, le obbligazioni e le facoltà di cui godevano i prefetti apostolici, tranne i privilegi relativi alle vesti prelatizie. Le missioni autonome non ebbero il successo che Propaganda sperava, per questo vennero sostituite con missioni dipendenti da un ordinario di luogo. In questo modo Propaganda affidava ad un gruppo di </w:t>
      </w:r>
      <w:r w:rsidRPr="00383122">
        <w:rPr>
          <w:rFonts w:ascii="Times New Roman" w:hAnsi="Times New Roman" w:cs="Times New Roman"/>
          <w:color w:val="000000" w:themeColor="text1"/>
          <w:sz w:val="28"/>
          <w:szCs w:val="28"/>
        </w:rPr>
        <w:lastRenderedPageBreak/>
        <w:t>missionari parte di un vicariato o di una prefettura, senza staccarla dal restante territorio.</w:t>
      </w:r>
    </w:p>
    <w:p w14:paraId="5411EE5A" w14:textId="04883498" w:rsidR="008D612C" w:rsidRDefault="008D612C" w:rsidP="00484F9B">
      <w:pPr>
        <w:spacing w:after="0" w:line="360" w:lineRule="auto"/>
        <w:ind w:left="680"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EAAA526" w14:textId="77777777" w:rsidR="00F24444" w:rsidRPr="00383122" w:rsidRDefault="00D75940" w:rsidP="00484F9B">
      <w:pPr>
        <w:spacing w:after="0" w:line="360" w:lineRule="auto"/>
        <w:ind w:left="680"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CAPITOLO II</w:t>
      </w:r>
    </w:p>
    <w:p w14:paraId="692BBBD3"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p>
    <w:p w14:paraId="4DD16A0A" w14:textId="77777777" w:rsidR="00F24444" w:rsidRPr="007D5C80" w:rsidRDefault="00F24444" w:rsidP="00484F9B">
      <w:pPr>
        <w:pStyle w:val="Paragrafoelenco"/>
        <w:numPr>
          <w:ilvl w:val="1"/>
          <w:numId w:val="3"/>
        </w:numPr>
        <w:spacing w:after="0" w:line="360" w:lineRule="auto"/>
        <w:ind w:left="680" w:right="340"/>
        <w:jc w:val="both"/>
        <w:rPr>
          <w:rFonts w:ascii="Times New Roman" w:hAnsi="Times New Roman" w:cs="Times New Roman"/>
          <w:i/>
          <w:color w:val="000000" w:themeColor="text1"/>
          <w:sz w:val="28"/>
          <w:szCs w:val="28"/>
        </w:rPr>
      </w:pPr>
      <w:r w:rsidRPr="007D5C80">
        <w:rPr>
          <w:rFonts w:ascii="Times New Roman" w:hAnsi="Times New Roman" w:cs="Times New Roman"/>
          <w:i/>
          <w:color w:val="000000" w:themeColor="text1"/>
          <w:sz w:val="28"/>
          <w:szCs w:val="28"/>
        </w:rPr>
        <w:t>L’evangelizzazione in India e Indocina</w:t>
      </w:r>
    </w:p>
    <w:p w14:paraId="75DDDA0C" w14:textId="77777777" w:rsidR="00F24444" w:rsidRPr="007D5C80" w:rsidRDefault="00F24444" w:rsidP="00484F9B">
      <w:pPr>
        <w:pStyle w:val="Paragrafoelenco"/>
        <w:numPr>
          <w:ilvl w:val="1"/>
          <w:numId w:val="3"/>
        </w:numPr>
        <w:spacing w:after="0" w:line="360" w:lineRule="auto"/>
        <w:ind w:left="680" w:right="340"/>
        <w:jc w:val="both"/>
        <w:rPr>
          <w:rFonts w:ascii="Times New Roman" w:hAnsi="Times New Roman" w:cs="Times New Roman"/>
          <w:i/>
          <w:color w:val="000000" w:themeColor="text1"/>
          <w:sz w:val="28"/>
          <w:szCs w:val="28"/>
        </w:rPr>
      </w:pPr>
      <w:r w:rsidRPr="007D5C80">
        <w:rPr>
          <w:rFonts w:ascii="Times New Roman" w:hAnsi="Times New Roman" w:cs="Times New Roman"/>
          <w:i/>
          <w:color w:val="000000" w:themeColor="text1"/>
          <w:sz w:val="28"/>
          <w:szCs w:val="28"/>
        </w:rPr>
        <w:t>L’evangelizzazione in Cina e Giappone</w:t>
      </w:r>
    </w:p>
    <w:p w14:paraId="5B02E516" w14:textId="77777777" w:rsidR="00F813F9" w:rsidRDefault="00F813F9"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191B5808" w14:textId="77777777" w:rsidR="00F813F9" w:rsidRPr="00383122" w:rsidRDefault="00F813F9"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490CF8FB"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p>
    <w:p w14:paraId="11B8995E" w14:textId="77777777" w:rsidR="00F24444" w:rsidRPr="007D5C80" w:rsidRDefault="00F24444" w:rsidP="00484F9B">
      <w:pPr>
        <w:pStyle w:val="Paragrafoelenco"/>
        <w:numPr>
          <w:ilvl w:val="1"/>
          <w:numId w:val="4"/>
        </w:numPr>
        <w:spacing w:after="0" w:line="360" w:lineRule="auto"/>
        <w:ind w:left="680" w:right="340"/>
        <w:jc w:val="both"/>
        <w:rPr>
          <w:rFonts w:ascii="Times New Roman" w:hAnsi="Times New Roman" w:cs="Times New Roman"/>
          <w:i/>
          <w:color w:val="000000" w:themeColor="text1"/>
          <w:sz w:val="28"/>
          <w:szCs w:val="28"/>
        </w:rPr>
      </w:pPr>
      <w:r w:rsidRPr="007D5C80">
        <w:rPr>
          <w:rFonts w:ascii="Times New Roman" w:hAnsi="Times New Roman" w:cs="Times New Roman"/>
          <w:i/>
          <w:color w:val="000000" w:themeColor="text1"/>
          <w:sz w:val="28"/>
          <w:szCs w:val="28"/>
        </w:rPr>
        <w:t>L’evangelizzazione in India e Indocina</w:t>
      </w:r>
    </w:p>
    <w:p w14:paraId="71E05900"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46C35B7F" w14:textId="77777777" w:rsidR="00F24444" w:rsidRPr="00383122" w:rsidRDefault="00F24444"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L’attività di evangelizzazione in India veniva descritta con l’espressione «scisma goanese», per indicare la costante «prova di forza tra Roma ed il patronato portoghese»</w:t>
      </w:r>
      <w:r w:rsidRPr="00383122">
        <w:rPr>
          <w:rStyle w:val="Rimandonotaapidipagina"/>
          <w:rFonts w:ascii="Times New Roman" w:hAnsi="Times New Roman" w:cs="Times New Roman"/>
          <w:color w:val="000000" w:themeColor="text1"/>
          <w:sz w:val="28"/>
          <w:szCs w:val="28"/>
        </w:rPr>
        <w:footnoteReference w:id="74"/>
      </w:r>
      <w:r w:rsidRPr="00383122">
        <w:rPr>
          <w:rFonts w:ascii="Times New Roman" w:hAnsi="Times New Roman" w:cs="Times New Roman"/>
          <w:color w:val="000000" w:themeColor="text1"/>
          <w:sz w:val="28"/>
          <w:szCs w:val="28"/>
        </w:rPr>
        <w:t xml:space="preserve">. Nel 1534 era stata fondata una diocesi a Goa, antico centro culturale, commerciale e amministrativo dell’impero indù e poi colonia portoghese. Nel 1606 le fu concesso il grado di primazia apostolica, con giurisdizione spirituale in tutto l’Oriente asiatico e sulle coste dell’Africa, fino al Capo di Buona Speranza. Il gesuita S. Francesco Saverio nel 1542 vi aveva fondato il collegio di S. Paolo, da cui dipesero tutte le missioni di gesuiti in Oriente. Tuttavia questo territorio si trovava sotto il potere del patronato portoghese. </w:t>
      </w:r>
    </w:p>
    <w:p w14:paraId="60037563"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commissione cardinalizia deputata ad organizzare e coordinare la diffusione della fede aveva inasprito i rapporti con il patronato, istituendo vicariati in quei territori dove questo non poteva esercitare la sua giurisdizione a causa di resistenze delle forze coloniali straniere. In tale contesto i missionari di Propaganda venivano visti come degli «usurpatori»</w:t>
      </w:r>
      <w:r w:rsidRPr="00383122">
        <w:rPr>
          <w:rStyle w:val="Rimandonotaapidipagina"/>
          <w:rFonts w:ascii="Times New Roman" w:hAnsi="Times New Roman" w:cs="Times New Roman"/>
          <w:color w:val="000000" w:themeColor="text1"/>
          <w:sz w:val="28"/>
          <w:szCs w:val="28"/>
        </w:rPr>
        <w:footnoteReference w:id="75"/>
      </w:r>
      <w:r w:rsidRPr="00383122">
        <w:rPr>
          <w:rFonts w:ascii="Times New Roman" w:hAnsi="Times New Roman" w:cs="Times New Roman"/>
          <w:color w:val="000000" w:themeColor="text1"/>
          <w:sz w:val="28"/>
          <w:szCs w:val="28"/>
        </w:rPr>
        <w:t xml:space="preserve">, poiché erano considerati responsabili dell’interruzione dei rapporti tra Santa Sede e patronato. In particolare, la proposta di istituzione di cinque nuovi vicariati tra il 1832-1836, avrebbe implicato una subordinazione del clero del </w:t>
      </w:r>
      <w:r w:rsidRPr="00383122">
        <w:rPr>
          <w:rFonts w:ascii="Times New Roman" w:hAnsi="Times New Roman" w:cs="Times New Roman"/>
          <w:color w:val="000000" w:themeColor="text1"/>
          <w:sz w:val="28"/>
          <w:szCs w:val="28"/>
        </w:rPr>
        <w:lastRenderedPageBreak/>
        <w:t>patronato attivo in quelle zone alla giurisdizione dei vicariati apostolici. Tuttavia ciò non avvenne, sia perché l’istituzione dei vicariati era in contrasto con i diritti della corona portoghese, sia perché i brevi giunsero in India senza l’</w:t>
      </w:r>
      <w:r w:rsidRPr="00383122">
        <w:rPr>
          <w:rFonts w:ascii="Times New Roman" w:hAnsi="Times New Roman" w:cs="Times New Roman"/>
          <w:i/>
          <w:color w:val="000000" w:themeColor="text1"/>
          <w:sz w:val="28"/>
          <w:szCs w:val="28"/>
        </w:rPr>
        <w:t>exequatur</w:t>
      </w:r>
      <w:r w:rsidRPr="00383122">
        <w:rPr>
          <w:rFonts w:ascii="Times New Roman" w:hAnsi="Times New Roman" w:cs="Times New Roman"/>
          <w:color w:val="000000" w:themeColor="text1"/>
          <w:sz w:val="28"/>
          <w:szCs w:val="28"/>
        </w:rPr>
        <w:t xml:space="preserve"> governativo. Questo portò all’emanazione di due bolle, ossia la </w:t>
      </w:r>
      <w:r w:rsidRPr="00383122">
        <w:rPr>
          <w:rFonts w:ascii="Times New Roman" w:hAnsi="Times New Roman" w:cs="Times New Roman"/>
          <w:i/>
          <w:color w:val="000000" w:themeColor="text1"/>
          <w:sz w:val="28"/>
          <w:szCs w:val="28"/>
        </w:rPr>
        <w:t>Commissi nobis</w:t>
      </w:r>
      <w:r w:rsidRPr="00383122">
        <w:rPr>
          <w:rFonts w:ascii="Times New Roman" w:hAnsi="Times New Roman" w:cs="Times New Roman"/>
          <w:color w:val="000000" w:themeColor="text1"/>
          <w:sz w:val="28"/>
          <w:szCs w:val="28"/>
        </w:rPr>
        <w:t xml:space="preserve"> (4 agosto 1835) e la </w:t>
      </w:r>
      <w:r w:rsidRPr="00383122">
        <w:rPr>
          <w:rFonts w:ascii="Times New Roman" w:hAnsi="Times New Roman" w:cs="Times New Roman"/>
          <w:i/>
          <w:color w:val="000000" w:themeColor="text1"/>
          <w:sz w:val="28"/>
          <w:szCs w:val="28"/>
        </w:rPr>
        <w:t xml:space="preserve">Multa praeclare </w:t>
      </w:r>
      <w:r w:rsidRPr="00383122">
        <w:rPr>
          <w:rFonts w:ascii="Times New Roman" w:hAnsi="Times New Roman" w:cs="Times New Roman"/>
          <w:color w:val="000000" w:themeColor="text1"/>
          <w:sz w:val="28"/>
          <w:szCs w:val="28"/>
        </w:rPr>
        <w:t>(24 aprile 1838) con cui il papa Gregorio XVI revocava i diritti del patronato, considerandolo alla stregua di un privilegio o di un contratto. Così il papa aboliva tutte le diocesi di patronato in India ed Indocina, con l’esclusione di Goa, e assegnava i loro territori ai vicariati apostolici.</w:t>
      </w:r>
    </w:p>
    <w:p w14:paraId="4DA7C559"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rPr>
        <w:t xml:space="preserve"> Ma in tutta l’India nessun sacerdote si sottopose alla giurisdizione dei vicari apostolici. Proprio per questo Propaganda venne esortata dai vicari a definire scismatici gli oppositori, ma essa preferì adottare un atteggiamento mite, provando prima tutte le altre soluzioni possibili, onde evitare una frattura definitiva che sarebbe stata molto difficile da risanare. L’atteggiamento della Santa Sede permise la ripresa dei rapporti diplomatici con il Portogallo e consentì la nomina, nel 1843, di José Maria da Silva Torres, come arcivescovo di Goa. Però, Silva Torres, sapendo che numerose diocesi erano nelle mani dei vicariati apostolici emanò atti in cui esortava </w:t>
      </w:r>
      <w:r w:rsidRPr="00383122">
        <w:rPr>
          <w:rFonts w:ascii="Times New Roman" w:hAnsi="Times New Roman" w:cs="Times New Roman"/>
          <w:color w:val="000000" w:themeColor="text1"/>
          <w:sz w:val="28"/>
          <w:szCs w:val="28"/>
          <w:shd w:val="clear" w:color="auto" w:fill="FFFFFF"/>
        </w:rPr>
        <w:t xml:space="preserve">i vescovi a rimanere fedeli al Patronato, opponendosi ai vicari considerati invasori. Non vi era possibilità che Silva Torres potesse accettare «un breve del papa senza il </w:t>
      </w:r>
      <w:r w:rsidRPr="00383122">
        <w:rPr>
          <w:rFonts w:ascii="Times New Roman" w:hAnsi="Times New Roman" w:cs="Times New Roman"/>
          <w:i/>
          <w:color w:val="000000" w:themeColor="text1"/>
          <w:sz w:val="28"/>
          <w:szCs w:val="28"/>
          <w:shd w:val="clear" w:color="auto" w:fill="FFFFFF"/>
        </w:rPr>
        <w:t>placet</w:t>
      </w:r>
      <w:r w:rsidRPr="00383122">
        <w:rPr>
          <w:rFonts w:ascii="Times New Roman" w:hAnsi="Times New Roman" w:cs="Times New Roman"/>
          <w:color w:val="000000" w:themeColor="text1"/>
          <w:sz w:val="28"/>
          <w:szCs w:val="28"/>
          <w:shd w:val="clear" w:color="auto" w:fill="FFFFFF"/>
        </w:rPr>
        <w:t xml:space="preserve"> regio»</w:t>
      </w:r>
      <w:r w:rsidRPr="00383122">
        <w:rPr>
          <w:rStyle w:val="Rimandonotaapidipagina"/>
          <w:rFonts w:ascii="Times New Roman" w:hAnsi="Times New Roman" w:cs="Times New Roman"/>
          <w:color w:val="000000" w:themeColor="text1"/>
          <w:sz w:val="28"/>
          <w:szCs w:val="28"/>
          <w:shd w:val="clear" w:color="auto" w:fill="FFFFFF"/>
        </w:rPr>
        <w:footnoteReference w:id="76"/>
      </w:r>
      <w:r w:rsidRPr="00383122">
        <w:rPr>
          <w:rFonts w:ascii="Times New Roman" w:hAnsi="Times New Roman" w:cs="Times New Roman"/>
          <w:color w:val="000000" w:themeColor="text1"/>
          <w:sz w:val="28"/>
          <w:szCs w:val="28"/>
          <w:shd w:val="clear" w:color="auto" w:fill="FFFFFF"/>
        </w:rPr>
        <w:t xml:space="preserve">. Similmente a Silva Torres si comportò il vescovo Mata, che aveva ricevuto l’incarico di recarsi a Goa, ma passando per Bombay e Ceylon esercitò le funzioni vescovili, senza autorizzazione. </w:t>
      </w:r>
    </w:p>
    <w:p w14:paraId="2959EA35"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 xml:space="preserve">Così il papa Pio IX, dopo aver condannato l’operato del vescovo, tentò la via diplomatica, attraverso due concordati. Uno nel 1857 che venne percepito come una vittoria su Propaganda da parte dei sostenitori del patronato, ma che non trovò attuazione. Mentre il secondo, ossia quello del 1886, sancì che la corona portoghese potesse continuare ad esercitare il proprio patronato sulle </w:t>
      </w:r>
      <w:r w:rsidRPr="00383122">
        <w:rPr>
          <w:rFonts w:ascii="Times New Roman" w:hAnsi="Times New Roman" w:cs="Times New Roman"/>
          <w:color w:val="000000" w:themeColor="text1"/>
          <w:sz w:val="28"/>
          <w:szCs w:val="28"/>
          <w:shd w:val="clear" w:color="auto" w:fill="FFFFFF"/>
        </w:rPr>
        <w:lastRenderedPageBreak/>
        <w:t>cattedrali in India, nel rispetto del diritto canonico e rese il metropolita di Goa «Patriarca d’India»</w:t>
      </w:r>
      <w:r w:rsidRPr="00383122">
        <w:rPr>
          <w:rStyle w:val="Rimandonotaapidipagina"/>
          <w:rFonts w:ascii="Times New Roman" w:hAnsi="Times New Roman" w:cs="Times New Roman"/>
          <w:color w:val="000000" w:themeColor="text1"/>
          <w:sz w:val="28"/>
          <w:szCs w:val="28"/>
          <w:shd w:val="clear" w:color="auto" w:fill="FFFFFF"/>
        </w:rPr>
        <w:footnoteReference w:id="77"/>
      </w:r>
      <w:r w:rsidRPr="00383122">
        <w:rPr>
          <w:rFonts w:ascii="Times New Roman" w:hAnsi="Times New Roman" w:cs="Times New Roman"/>
          <w:color w:val="000000" w:themeColor="text1"/>
          <w:sz w:val="28"/>
          <w:szCs w:val="28"/>
          <w:shd w:val="clear" w:color="auto" w:fill="FFFFFF"/>
        </w:rPr>
        <w:t>.</w:t>
      </w:r>
    </w:p>
    <w:p w14:paraId="73664E11"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L’evangelizzazione nel territorio indiano vedeva protagonisti numerosi ordini religiosi, tra i quali si ricordano i Carmelitani, le Missioni estere di Parigi ed in un secondo momento i Gesuiti. L’afflusso di personale missionario straniero in India ed a Ceylon favorì la creazione di nuovi vicariati e rese evidente la necessità di creare un clero autoctono, fondamentale per la realizzazione delle chiese particolari. Fin dal 1659 Propaganda aveva formulato un’istruzione con la quale sottolineava che l’istituzione di ordini e congregazioni autoctone non doveva seguire un orientamento «occidentaleggiante»</w:t>
      </w:r>
      <w:r w:rsidRPr="00383122">
        <w:rPr>
          <w:rStyle w:val="Rimandonotaapidipagina"/>
          <w:rFonts w:ascii="Times New Roman" w:hAnsi="Times New Roman" w:cs="Times New Roman"/>
          <w:color w:val="000000" w:themeColor="text1"/>
          <w:sz w:val="28"/>
          <w:szCs w:val="28"/>
          <w:shd w:val="clear" w:color="auto" w:fill="FFFFFF"/>
        </w:rPr>
        <w:footnoteReference w:id="78"/>
      </w:r>
      <w:r w:rsidRPr="00383122">
        <w:rPr>
          <w:rFonts w:ascii="Times New Roman" w:hAnsi="Times New Roman" w:cs="Times New Roman"/>
          <w:color w:val="000000" w:themeColor="text1"/>
          <w:sz w:val="28"/>
          <w:szCs w:val="28"/>
          <w:shd w:val="clear" w:color="auto" w:fill="FFFFFF"/>
        </w:rPr>
        <w:t>, ma adeguarsi alla cultura indiana, attraverso lo studio della lingua, dei costumi e delle tradizioni locali. La realizzazione di tali obiettivi si scontrò però con il problema delle caste, dei riti</w:t>
      </w:r>
      <w:r w:rsidRPr="00383122">
        <w:rPr>
          <w:rStyle w:val="Rimandonotaapidipagina"/>
          <w:rFonts w:ascii="Times New Roman" w:hAnsi="Times New Roman" w:cs="Times New Roman"/>
          <w:color w:val="000000" w:themeColor="text1"/>
          <w:sz w:val="28"/>
          <w:szCs w:val="28"/>
          <w:shd w:val="clear" w:color="auto" w:fill="FFFFFF"/>
        </w:rPr>
        <w:footnoteReference w:id="79"/>
      </w:r>
      <w:r w:rsidRPr="00383122">
        <w:rPr>
          <w:rFonts w:ascii="Times New Roman" w:hAnsi="Times New Roman" w:cs="Times New Roman"/>
          <w:color w:val="000000" w:themeColor="text1"/>
          <w:sz w:val="28"/>
          <w:szCs w:val="28"/>
          <w:shd w:val="clear" w:color="auto" w:fill="FFFFFF"/>
        </w:rPr>
        <w:t xml:space="preserve"> e con le linee direttive ed i decreti pastorali che avevano un orientamento troppo europeo.</w:t>
      </w:r>
    </w:p>
    <w:p w14:paraId="19C7A765"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 xml:space="preserve">A seguito dell’inchiesta sugli sforzi di Propaganda, riportata dai vescovi Bonnard e Carbonneaux, nel periodo compreso tra il 1858-60 venne resa nuovamente evidente la mancanza di preti indiani all’interno dei vicariati. Così, nel 1886 Leone XIII con la bolla </w:t>
      </w:r>
      <w:r w:rsidRPr="00383122">
        <w:rPr>
          <w:rFonts w:ascii="Times New Roman" w:hAnsi="Times New Roman" w:cs="Times New Roman"/>
          <w:i/>
          <w:color w:val="000000" w:themeColor="text1"/>
          <w:sz w:val="28"/>
          <w:szCs w:val="28"/>
          <w:shd w:val="clear" w:color="auto" w:fill="FFFFFF"/>
        </w:rPr>
        <w:t>Humanae salutis</w:t>
      </w:r>
      <w:r w:rsidRPr="00383122">
        <w:rPr>
          <w:rFonts w:ascii="Times New Roman" w:hAnsi="Times New Roman" w:cs="Times New Roman"/>
          <w:color w:val="000000" w:themeColor="text1"/>
          <w:sz w:val="28"/>
          <w:szCs w:val="28"/>
          <w:shd w:val="clear" w:color="auto" w:fill="FFFFFF"/>
        </w:rPr>
        <w:t xml:space="preserve"> istituì la gerarchia ecclesiastica nelle circoscrizioni non sottoposte al Patronato, creando sei arcidiocesi (Agra, Bombay, Calcutta Madras, Pondicherry e Verapoly) e dieci diocesi (Allahabad, Cochin, Coimbatore, Hyderabad, Krishnagar, Mysore, Pune, Quilon, Tiruchirapalli e Vishakapatnam). Quando venne istituita la gerarchia  nel 1886 vi erano già diciassette «</w:t>
      </w:r>
      <w:r w:rsidRPr="00383122">
        <w:rPr>
          <w:rFonts w:ascii="Times New Roman" w:hAnsi="Times New Roman" w:cs="Times New Roman"/>
          <w:i/>
          <w:color w:val="000000" w:themeColor="text1"/>
          <w:sz w:val="28"/>
          <w:szCs w:val="28"/>
          <w:shd w:val="clear" w:color="auto" w:fill="FFFFFF"/>
        </w:rPr>
        <w:t>ecclesiastical units»</w:t>
      </w:r>
      <w:r w:rsidRPr="00383122">
        <w:rPr>
          <w:rStyle w:val="Rimandonotaapidipagina"/>
          <w:rFonts w:ascii="Times New Roman" w:hAnsi="Times New Roman" w:cs="Times New Roman"/>
          <w:i/>
          <w:color w:val="000000" w:themeColor="text1"/>
          <w:sz w:val="28"/>
          <w:szCs w:val="28"/>
          <w:shd w:val="clear" w:color="auto" w:fill="FFFFFF"/>
        </w:rPr>
        <w:footnoteReference w:id="80"/>
      </w:r>
      <w:r w:rsidRPr="00383122">
        <w:rPr>
          <w:rFonts w:ascii="Times New Roman" w:hAnsi="Times New Roman" w:cs="Times New Roman"/>
          <w:color w:val="000000" w:themeColor="text1"/>
          <w:sz w:val="28"/>
          <w:szCs w:val="28"/>
          <w:shd w:val="clear" w:color="auto" w:fill="FFFFFF"/>
        </w:rPr>
        <w:t xml:space="preserve">, sotto Propaganda e due unità, ossia l’arcidiocesi di Goa e la diocesi di Mylapore </w:t>
      </w:r>
      <w:r w:rsidRPr="00383122">
        <w:rPr>
          <w:rFonts w:ascii="Times New Roman" w:hAnsi="Times New Roman" w:cs="Times New Roman"/>
          <w:color w:val="000000" w:themeColor="text1"/>
          <w:sz w:val="28"/>
          <w:szCs w:val="28"/>
          <w:shd w:val="clear" w:color="auto" w:fill="FFFFFF"/>
        </w:rPr>
        <w:lastRenderedPageBreak/>
        <w:t xml:space="preserve">sotto il patronato. Inoltre nel 1894 venne istituito dal papa un seminario nazionale a Kandy, che rappresentò il primo passo per la indigenizzazione  </w:t>
      </w:r>
      <w:r w:rsidRPr="00383122">
        <w:rPr>
          <w:rFonts w:ascii="Times New Roman" w:hAnsi="Times New Roman" w:cs="Times New Roman"/>
          <w:i/>
          <w:color w:val="000000" w:themeColor="text1"/>
          <w:sz w:val="28"/>
          <w:szCs w:val="28"/>
          <w:shd w:val="clear" w:color="auto" w:fill="FFFFFF"/>
        </w:rPr>
        <w:t xml:space="preserve"> </w:t>
      </w:r>
      <w:r w:rsidRPr="00383122">
        <w:rPr>
          <w:rFonts w:ascii="Times New Roman" w:hAnsi="Times New Roman" w:cs="Times New Roman"/>
          <w:color w:val="000000" w:themeColor="text1"/>
          <w:sz w:val="28"/>
          <w:szCs w:val="28"/>
          <w:shd w:val="clear" w:color="auto" w:fill="FFFFFF"/>
        </w:rPr>
        <w:t>della gerarchia indiana. Tra il 1887 ed il 1905 Roma fece convocare  sinodi diocesani e provinciali in India ed a Ceylon per garantire «slancio alla diffusione della fede»</w:t>
      </w:r>
      <w:r w:rsidRPr="00383122">
        <w:rPr>
          <w:rStyle w:val="Rimandonotaapidipagina"/>
          <w:rFonts w:ascii="Times New Roman" w:hAnsi="Times New Roman" w:cs="Times New Roman"/>
          <w:color w:val="000000" w:themeColor="text1"/>
          <w:sz w:val="28"/>
          <w:szCs w:val="28"/>
          <w:shd w:val="clear" w:color="auto" w:fill="FFFFFF"/>
        </w:rPr>
        <w:footnoteReference w:id="81"/>
      </w:r>
      <w:r w:rsidRPr="00383122">
        <w:rPr>
          <w:rFonts w:ascii="Times New Roman" w:hAnsi="Times New Roman" w:cs="Times New Roman"/>
          <w:color w:val="000000" w:themeColor="text1"/>
          <w:sz w:val="28"/>
          <w:szCs w:val="28"/>
          <w:shd w:val="clear" w:color="auto" w:fill="FFFFFF"/>
        </w:rPr>
        <w:t>.</w:t>
      </w:r>
    </w:p>
    <w:p w14:paraId="5EB9571E"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 xml:space="preserve">Nel 1910, dopo la rivoluzione che portò alla fine della monarchia e l’istituzione della prima Repubblica, il governo portoghese sancì la separazione Chiesa-Stato, eliminando così quanto stabilito dai precedenti concordati, attraverso l’annullamento della doppia giurisdizione territoriale e personale. A seguito della prima guerra mondiale, la Congregazione tentò di riorganizzare le missioni nell’India settentrionale, attraverso accordi con alcuni ordini religiosi, come ad esempio quello dei Gesuiti, però il passaggio definitivo dalla chiesa missionaria a quella particolare, a Ceylon ed in India avvenne nel 1919 con la </w:t>
      </w:r>
      <w:r w:rsidRPr="00383122">
        <w:rPr>
          <w:rFonts w:ascii="Times New Roman" w:hAnsi="Times New Roman" w:cs="Times New Roman"/>
          <w:i/>
          <w:color w:val="000000" w:themeColor="text1"/>
          <w:sz w:val="28"/>
          <w:szCs w:val="28"/>
          <w:shd w:val="clear" w:color="auto" w:fill="FFFFFF"/>
        </w:rPr>
        <w:t>Maximum illud</w:t>
      </w:r>
      <w:r w:rsidRPr="00383122">
        <w:rPr>
          <w:rFonts w:ascii="Times New Roman" w:hAnsi="Times New Roman" w:cs="Times New Roman"/>
          <w:color w:val="000000" w:themeColor="text1"/>
          <w:sz w:val="28"/>
          <w:szCs w:val="28"/>
          <w:shd w:val="clear" w:color="auto" w:fill="FFFFFF"/>
        </w:rPr>
        <w:t>.  Inoltre contemporanea a tale periodo fu un’iniziativa, portata avanti dai protestanti e per questo guardata con sospetto dai cattolici, concernente la creazione dell’</w:t>
      </w:r>
      <w:r w:rsidRPr="00383122">
        <w:rPr>
          <w:rFonts w:ascii="Times New Roman" w:hAnsi="Times New Roman" w:cs="Times New Roman"/>
          <w:i/>
          <w:color w:val="000000" w:themeColor="text1"/>
          <w:sz w:val="28"/>
          <w:szCs w:val="28"/>
          <w:shd w:val="clear" w:color="auto" w:fill="FFFFFF"/>
        </w:rPr>
        <w:t>All India conference of indian christians (AICIC),</w:t>
      </w:r>
      <w:r w:rsidRPr="00383122">
        <w:rPr>
          <w:rFonts w:ascii="Times New Roman" w:hAnsi="Times New Roman" w:cs="Times New Roman"/>
          <w:color w:val="000000" w:themeColor="text1"/>
          <w:sz w:val="28"/>
          <w:szCs w:val="28"/>
          <w:shd w:val="clear" w:color="auto" w:fill="FFFFFF"/>
        </w:rPr>
        <w:t xml:space="preserve"> incentrata su questioni sociali e scolastiche. Era un’organizzazione ecumenica, creata nel 1914, per preservare gli interessi dei cristiani in India, garantendo lo sviluppo morale, economico ed intellettuale delle comunità cristiane in India. La sua creazione riunì sotto un unico gruppo associazioni cristiane locali e regionali, che esistevano a Bombay, Madras, Hyderabad, Punjab, United Provinces, Bengal e Burma.</w:t>
      </w:r>
    </w:p>
    <w:p w14:paraId="07500A25"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Per quanto riguardava invece l’Indocina, termine con cui si indicava quell’area del sud est asiatico (comprendente il Vietnam, la Cambogia, il Laos, la Malesia e la Birmania) bisogna tener conto prima di tutto del particolare contesto culturale favorevole alla Chiesa.</w:t>
      </w:r>
    </w:p>
    <w:p w14:paraId="24A1E4AA"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 xml:space="preserve">Inoltre è importante ricordare una delle principali caratteristiche dell’Indocina, ossia lo spezzettamento etnico, che era il risultato della </w:t>
      </w:r>
      <w:r w:rsidRPr="00383122">
        <w:rPr>
          <w:rFonts w:ascii="Times New Roman" w:hAnsi="Times New Roman" w:cs="Times New Roman"/>
          <w:color w:val="000000" w:themeColor="text1"/>
          <w:sz w:val="28"/>
          <w:szCs w:val="28"/>
          <w:shd w:val="clear" w:color="auto" w:fill="FFFFFF"/>
        </w:rPr>
        <w:lastRenderedPageBreak/>
        <w:t>sovrapposizione e della fusione di immigrazioni di popoli diversi. I più antichi abitanti di questo territorio erano stati probabilmente i Cham, un tempo organizzati in uno Stato potente (Champa), e il gruppo dei Mon-Khmer, distribuiti in tutta l’Indocina. Le civiltà Cham e Mon-Khmer, influenzate da quella indiana, cedettero sotto i colpi di popoli indocinesi e degli Annamiti</w:t>
      </w:r>
      <w:r w:rsidRPr="00383122">
        <w:rPr>
          <w:rStyle w:val="Rimandonotaapidipagina"/>
          <w:rFonts w:ascii="Times New Roman" w:hAnsi="Times New Roman" w:cs="Times New Roman"/>
          <w:color w:val="000000" w:themeColor="text1"/>
          <w:sz w:val="28"/>
          <w:szCs w:val="28"/>
          <w:shd w:val="clear" w:color="auto" w:fill="FFFFFF"/>
        </w:rPr>
        <w:footnoteReference w:id="82"/>
      </w:r>
      <w:r w:rsidRPr="00383122">
        <w:rPr>
          <w:rFonts w:ascii="Times New Roman" w:hAnsi="Times New Roman" w:cs="Times New Roman"/>
          <w:color w:val="000000" w:themeColor="text1"/>
          <w:sz w:val="28"/>
          <w:szCs w:val="28"/>
          <w:shd w:val="clear" w:color="auto" w:fill="FFFFFF"/>
        </w:rPr>
        <w:t>. I primi indocinesi in senso proprio appartenevano al ramo tibeto-birmano; un altro ramo era costituito dai Sinosiamesi e comprende i Karen e i Taungthu (Myanmar), gruppi più antichi, e i Thai. Il gruppo dei Thai venne invaso dalla Cina, subendone l’influenza religiosa e culturale. La preponderanza delle influenze culturali e religiose indiane e cinesi furono indispensabili per evitare che venisse meno l’unità della Chiesa.</w:t>
      </w:r>
    </w:p>
    <w:p w14:paraId="0C1152EC"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 xml:space="preserve">L’attività di evangelizzazione veniva portata avanti principalmente da una società missionaria, ossia le Missioni Estere di Parigi, ed il centro della sua attività erano le città di Siam, Ayuthia e Bangkok, perché a partire da queste aree i missionari venivano disseminati verso le due grandi province del Vietnam: Tonchino e Cocincina. Nel 1660 vennero eretti due Vicariati apostolici in Vietnam, grazie al gesuita francese Alessandro de Rhodes (1583-1660). </w:t>
      </w:r>
    </w:p>
    <w:p w14:paraId="0FA6E268"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De Rhodes inviato a Roma nel 1649 come procuratore, esortò Propaganda ad istituire la gerarchia, nominando Vicari apostolici per l’Indocina, così da sottrarre l’attività della Chiesa al Patronato portoghese. Il successo della sua attività di evangelizzazione era imputabile a vari fattori, ovvero «alla notevole bontà naturale della gente»</w:t>
      </w:r>
      <w:r w:rsidRPr="00383122">
        <w:rPr>
          <w:rStyle w:val="Rimandonotaapidipagina"/>
          <w:rFonts w:ascii="Times New Roman" w:hAnsi="Times New Roman" w:cs="Times New Roman"/>
          <w:color w:val="000000" w:themeColor="text1"/>
          <w:sz w:val="28"/>
          <w:szCs w:val="28"/>
          <w:shd w:val="clear" w:color="auto" w:fill="FFFFFF"/>
        </w:rPr>
        <w:footnoteReference w:id="83"/>
      </w:r>
      <w:r w:rsidRPr="00383122">
        <w:rPr>
          <w:rFonts w:ascii="Times New Roman" w:hAnsi="Times New Roman" w:cs="Times New Roman"/>
          <w:color w:val="000000" w:themeColor="text1"/>
          <w:sz w:val="28"/>
          <w:szCs w:val="28"/>
          <w:shd w:val="clear" w:color="auto" w:fill="FFFFFF"/>
        </w:rPr>
        <w:t xml:space="preserve"> , allo studio della lingua locale e «all’immersione </w:t>
      </w:r>
      <w:r w:rsidRPr="00383122">
        <w:rPr>
          <w:rFonts w:ascii="Times New Roman" w:hAnsi="Times New Roman" w:cs="Times New Roman"/>
          <w:color w:val="000000" w:themeColor="text1"/>
          <w:sz w:val="28"/>
          <w:szCs w:val="28"/>
          <w:shd w:val="clear" w:color="auto" w:fill="FFFFFF"/>
        </w:rPr>
        <w:lastRenderedPageBreak/>
        <w:t>totale nella vita e mentalità del popolo, per trovare i mezzi più consoni a trasmettere i valori evangelici»</w:t>
      </w:r>
      <w:r w:rsidRPr="00383122">
        <w:rPr>
          <w:rStyle w:val="Rimandonotaapidipagina"/>
          <w:rFonts w:ascii="Times New Roman" w:hAnsi="Times New Roman" w:cs="Times New Roman"/>
          <w:color w:val="000000" w:themeColor="text1"/>
          <w:sz w:val="28"/>
          <w:szCs w:val="28"/>
          <w:shd w:val="clear" w:color="auto" w:fill="FFFFFF"/>
        </w:rPr>
        <w:footnoteReference w:id="84"/>
      </w:r>
      <w:r w:rsidRPr="00383122">
        <w:rPr>
          <w:rFonts w:ascii="Times New Roman" w:hAnsi="Times New Roman" w:cs="Times New Roman"/>
          <w:color w:val="000000" w:themeColor="text1"/>
          <w:sz w:val="28"/>
          <w:szCs w:val="28"/>
          <w:shd w:val="clear" w:color="auto" w:fill="FFFFFF"/>
        </w:rPr>
        <w:t>. Inoltre De Rhodes «evangelizzava i vietnamiti con i vietnamiti»</w:t>
      </w:r>
      <w:r w:rsidRPr="00383122">
        <w:rPr>
          <w:rStyle w:val="Rimandonotaapidipagina"/>
          <w:rFonts w:ascii="Times New Roman" w:hAnsi="Times New Roman" w:cs="Times New Roman"/>
          <w:color w:val="000000" w:themeColor="text1"/>
          <w:sz w:val="28"/>
          <w:szCs w:val="28"/>
          <w:shd w:val="clear" w:color="auto" w:fill="FFFFFF"/>
        </w:rPr>
        <w:footnoteReference w:id="85"/>
      </w:r>
      <w:r w:rsidRPr="00383122">
        <w:rPr>
          <w:rFonts w:ascii="Times New Roman" w:hAnsi="Times New Roman" w:cs="Times New Roman"/>
          <w:color w:val="000000" w:themeColor="text1"/>
          <w:sz w:val="28"/>
          <w:szCs w:val="28"/>
          <w:shd w:val="clear" w:color="auto" w:fill="FFFFFF"/>
        </w:rPr>
        <w:t xml:space="preserve"> e proprio per questo decise di creare la congregazione dei catechisti, attraverso la quale questi venivano istruiti alla conoscenza e alla pratica della fede, vivendo nello stesso luogo dei missionari e del personale di missione ed esercitando tutte le funzioni, che non richiedevano il sacerdozio. Nasceva così una chiesa autosufficiente che continuò ad esistere, anche in assenza dei missionari.</w:t>
      </w:r>
    </w:p>
    <w:p w14:paraId="17D0C336"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Tra il 1850 ed il 1862, con la solita al trono di Tu Duc, che voleva ricostruire un’unità politica, secondo «l’antico assioma: un re, una fede, una legge»</w:t>
      </w:r>
      <w:r w:rsidRPr="00383122">
        <w:rPr>
          <w:rStyle w:val="Rimandonotaapidipagina"/>
          <w:rFonts w:ascii="Times New Roman" w:hAnsi="Times New Roman" w:cs="Times New Roman"/>
          <w:color w:val="000000" w:themeColor="text1"/>
          <w:sz w:val="28"/>
          <w:szCs w:val="28"/>
          <w:shd w:val="clear" w:color="auto" w:fill="FFFFFF"/>
        </w:rPr>
        <w:footnoteReference w:id="86"/>
      </w:r>
      <w:r w:rsidRPr="00383122">
        <w:rPr>
          <w:rFonts w:ascii="Times New Roman" w:hAnsi="Times New Roman" w:cs="Times New Roman"/>
          <w:color w:val="000000" w:themeColor="text1"/>
          <w:sz w:val="28"/>
          <w:szCs w:val="28"/>
          <w:shd w:val="clear" w:color="auto" w:fill="FFFFFF"/>
        </w:rPr>
        <w:t xml:space="preserve"> vi furono persecuzioni in Cocincina e Tonchino, volte a smantellare le comunità cristiane. La chiesa vietnamita pagò un caro prezzo con ben 117 martiri, ma nonostante ciò riuscì a sopravvivere, rimanendo coesa anche grazie all’opera delle religiose Amanti della Croce. Le persecuzioni cessarono per un breve periodo, grazie ai coloni francesi che si contendevano quei territori con gli inglesi, poiché li consideravano uno strumento per poter risalire fino alla Cina. I francesi stipularono un trattato per la libertà religiosa e la fine delle persecuzioni, con cui ottennero anche cinque province del Vietnam meridionale. </w:t>
      </w:r>
    </w:p>
    <w:p w14:paraId="58133F37"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Nella mentalità dei francesi i cristiani ed i missionari, in quanto compatrioti sarebbero dovuti essere naturali alleati e guide nelle spedizioni di conquista, ma non fu così, fino a quando i missionari adottarono nel 1885, a seguito del servizio militare obbligatorio un atteggiamento fortemente nazionalista.</w:t>
      </w:r>
    </w:p>
    <w:p w14:paraId="756D1557" w14:textId="77777777" w:rsidR="00F24444" w:rsidRPr="00383122" w:rsidRDefault="00F24444"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 xml:space="preserve">Ma non finirono le difficoltà per la comunità cattolica perché i nazionalisti vietnamiti consideravano il cristianesimo come una religione straniera. I francesi, stanchi dell’inutilità degli sforzi diplomati con i vietnamiti, decisero </w:t>
      </w:r>
      <w:r w:rsidRPr="00383122">
        <w:rPr>
          <w:rFonts w:ascii="Times New Roman" w:hAnsi="Times New Roman" w:cs="Times New Roman"/>
          <w:color w:val="000000" w:themeColor="text1"/>
          <w:sz w:val="28"/>
          <w:szCs w:val="28"/>
          <w:shd w:val="clear" w:color="auto" w:fill="FFFFFF"/>
        </w:rPr>
        <w:lastRenderedPageBreak/>
        <w:t>di imporre con la forza la loro presenza, attraverso il bombardamento della capitale Huè nel giugno 1885 e la distruzione dei villaggi cristiani, considerati potenziali traditori.</w:t>
      </w:r>
    </w:p>
    <w:p w14:paraId="74D8AE2D"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Passata la bufera, la chiesa vietnamita fu riorganizzata, dandole una configurazione che avrebbe mantenuto per molti anni a seguire. La base era costituita dal villaggio con gli anziani ed il catechista ed in ogni villaggio importante vi era anche la parrocchia e il sacerdote autoctono. Inoltre ogni parrocchia era dotata di una scuola, la quale doveva avere un legame diretto con il prete, per consentirgli di individuare «nuove vocazioni»</w:t>
      </w:r>
      <w:r w:rsidRPr="00383122">
        <w:rPr>
          <w:rStyle w:val="Rimandonotaapidipagina"/>
          <w:rFonts w:ascii="Times New Roman" w:hAnsi="Times New Roman" w:cs="Times New Roman"/>
          <w:color w:val="000000" w:themeColor="text1"/>
          <w:sz w:val="28"/>
          <w:szCs w:val="28"/>
        </w:rPr>
        <w:footnoteReference w:id="87"/>
      </w:r>
      <w:r w:rsidRPr="00383122">
        <w:rPr>
          <w:rStyle w:val="fontstyle01"/>
          <w:rFonts w:ascii="Times New Roman" w:hAnsi="Times New Roman" w:cs="Times New Roman"/>
          <w:color w:val="000000" w:themeColor="text1"/>
          <w:sz w:val="28"/>
          <w:szCs w:val="28"/>
        </w:rPr>
        <w:t xml:space="preserve">. </w:t>
      </w:r>
    </w:p>
    <w:p w14:paraId="67DF198E"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Oltre al Vietnam le altre aree in cui si tentò l’opera di evangelizzazione e che erano interconnesse tra loro furono: la Cambogia, il Siam (Thailandia), la Malesia e la Birmania.</w:t>
      </w:r>
    </w:p>
    <w:p w14:paraId="74E442A3"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Analizzando singolarmente l’opera di evangelizzazione in queste aree si può partire dalla Cambogia, che dal 1600 in poi venne considerata solo una zona di passaggio per la missione in Cocincina. Tuttavia la persecuzione scoppiata in Vietnam nel 1850 fece capire che quel paese poteva costituire un’importante retrovia e proprio per questo nello stesso anno venne fondato il vicariato apostolico della Cambogia.</w:t>
      </w:r>
    </w:p>
    <w:p w14:paraId="73DD5030"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I cambogiani erano molto pacifici, ma l’opera di evangelizzazione in queste aree non ebbe successo, sia perché questi diffidavano dei vietnamiti, sia perché i cambogiani erano molto diversi dai vietnamiti. Per prima cosa i cambogiani erano eredi dell’India e non della Cina, difatti praticavano il buddismo del Piccolo Veicolo, ed in secondo luogo il punto di riferimento per loro non era la famiglia, come i vietnamiti, ma la pagoda. L’attività missionaria era abbastanza fallimentare, a causa della gestione decentrata delle missioni e dei tentativi di annessione del Vietnam. Questo, consentì alla Francia, nel 1863, che da poco si era installata in Cocincina, di stipulare un </w:t>
      </w:r>
      <w:r w:rsidRPr="00383122">
        <w:rPr>
          <w:rStyle w:val="fontstyle01"/>
          <w:rFonts w:ascii="Times New Roman" w:hAnsi="Times New Roman" w:cs="Times New Roman"/>
          <w:color w:val="000000" w:themeColor="text1"/>
          <w:sz w:val="28"/>
          <w:szCs w:val="28"/>
        </w:rPr>
        <w:lastRenderedPageBreak/>
        <w:t xml:space="preserve">trattato di protettorato, fondamentale per salvare il paese dalla totale scomparsa. </w:t>
      </w:r>
    </w:p>
    <w:p w14:paraId="0C5A2DB6"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Anche a Siam (Thailandia) si riscontrava una situazione simile a quella della Cambogia, ossia una Chiesa formata da meticci e stranieri che non era riuscita a penetrare nel territorio locale. L’attività di evangelizzazione in questa zona trovò il suo punto di riferimento nella capitale del regno Ayuthia e nell’organizzazione di seminari per la formazione del clero affidati alla Società delle Missioni Estere. Tuttavia tali seminari si rivelarono fallimentari e rallentarono il processo di evangelizzazione, in quanto la partecipazione ad essi da parte di cinesi, vietnamiti e siamesi richiedeva doti eccezionali come la conoscenza di almeno tre lingue. Altra enorme difficoltà era rappresentata «dall’orgoglio nazionalista, alimentato dal fondamentalismo religioso»</w:t>
      </w:r>
      <w:r w:rsidRPr="00383122">
        <w:rPr>
          <w:rStyle w:val="Rimandonotaapidipagina"/>
          <w:rFonts w:ascii="Times New Roman" w:hAnsi="Times New Roman" w:cs="Times New Roman"/>
          <w:color w:val="000000" w:themeColor="text1"/>
          <w:sz w:val="28"/>
          <w:szCs w:val="28"/>
        </w:rPr>
        <w:footnoteReference w:id="88"/>
      </w:r>
      <w:r w:rsidRPr="00383122">
        <w:rPr>
          <w:rStyle w:val="fontstyle01"/>
          <w:rFonts w:ascii="Times New Roman" w:hAnsi="Times New Roman" w:cs="Times New Roman"/>
          <w:color w:val="000000" w:themeColor="text1"/>
          <w:sz w:val="28"/>
          <w:szCs w:val="28"/>
        </w:rPr>
        <w:t xml:space="preserve"> e per «sfuggire al ghetto nel quale i buddisti siamesi tenevano rinchiusa la Chiesa»</w:t>
      </w:r>
      <w:r w:rsidRPr="00383122">
        <w:rPr>
          <w:rStyle w:val="Rimandonotaapidipagina"/>
          <w:rFonts w:ascii="Times New Roman" w:hAnsi="Times New Roman" w:cs="Times New Roman"/>
          <w:color w:val="000000" w:themeColor="text1"/>
          <w:sz w:val="28"/>
          <w:szCs w:val="28"/>
        </w:rPr>
        <w:footnoteReference w:id="89"/>
      </w:r>
      <w:r w:rsidRPr="00383122">
        <w:rPr>
          <w:rStyle w:val="fontstyle01"/>
          <w:rFonts w:ascii="Times New Roman" w:hAnsi="Times New Roman" w:cs="Times New Roman"/>
          <w:color w:val="000000" w:themeColor="text1"/>
          <w:sz w:val="28"/>
          <w:szCs w:val="28"/>
        </w:rPr>
        <w:t xml:space="preserve">, era necessario svincolarsi dall’influenza di Bangkok. Proprio per questo vi fu un’apertura del paese verso la civiltà europea, di cui approfittò la Chiesa, per stabilire la propria influenza nei settori dell’istruzione e della sanità. Inoltre il Siam fu l’unico territorio che riuscì ad evitare la colonizzazione, ma dovette subire le ripercussioni della presenza francese lungo le frontiere orientali e questo influenzò sia il rapporto con i buddisti, che con i cristiani, sospettati di essere l’avanguardia di una possibile colonizzazione.  </w:t>
      </w:r>
    </w:p>
    <w:p w14:paraId="625FB7C2"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 xml:space="preserve">Tuttavia, un risultato importante delle missioni del Siam fu la nascita nel 1841 della chiesa della Malesia, nella quale era stata prima forte l’influenza del Patronato e poi quella dei coloni inglesi che consentirono la creazione del seminario generale dell’Estremo Oriente, attorno al quale si riunì una piccola comunità, dipendente dalle missioni del Siam. La chiesa malese aveva influenze cinesi e indiane, elementi che acuirono lo scontro con un territorio </w:t>
      </w:r>
      <w:r w:rsidRPr="00383122">
        <w:rPr>
          <w:rStyle w:val="fontstyle01"/>
          <w:rFonts w:ascii="Times New Roman" w:hAnsi="Times New Roman" w:cs="Times New Roman"/>
          <w:color w:val="000000" w:themeColor="text1"/>
          <w:sz w:val="28"/>
          <w:szCs w:val="28"/>
        </w:rPr>
        <w:lastRenderedPageBreak/>
        <w:t>già fortemente islamizzato. Inoltre la chiesa malese investì molte energie nell’educazione, seguendo però i modelli europei. L’insuccesso dell’attività di evangelizzazione in questo paese del sud est asiatico era riconducibile ad un errore di approccio.</w:t>
      </w:r>
      <w:r w:rsidRPr="00383122" w:rsidDel="0097762B">
        <w:rPr>
          <w:rStyle w:val="fontstyle01"/>
          <w:rFonts w:ascii="Times New Roman" w:hAnsi="Times New Roman" w:cs="Times New Roman"/>
          <w:color w:val="000000" w:themeColor="text1"/>
          <w:sz w:val="28"/>
          <w:szCs w:val="28"/>
        </w:rPr>
        <w:t xml:space="preserve"> </w:t>
      </w:r>
      <w:r w:rsidRPr="00383122">
        <w:rPr>
          <w:rStyle w:val="fontstyle01"/>
          <w:rFonts w:ascii="Times New Roman" w:hAnsi="Times New Roman" w:cs="Times New Roman"/>
          <w:color w:val="000000" w:themeColor="text1"/>
          <w:sz w:val="28"/>
          <w:szCs w:val="28"/>
        </w:rPr>
        <w:t>I missionari non avrebbero dovuto assecondare l’esigenza di «sedentarizzare la popolazione», ma avrebbero dovuto concepire «un apostolato itinerante»</w:t>
      </w:r>
      <w:r w:rsidRPr="00383122">
        <w:rPr>
          <w:rStyle w:val="Rimandonotaapidipagina"/>
          <w:rFonts w:ascii="Times New Roman" w:hAnsi="Times New Roman" w:cs="Times New Roman"/>
          <w:color w:val="000000" w:themeColor="text1"/>
          <w:sz w:val="28"/>
          <w:szCs w:val="28"/>
        </w:rPr>
        <w:footnoteReference w:id="90"/>
      </w:r>
      <w:r w:rsidRPr="00383122">
        <w:rPr>
          <w:rStyle w:val="fontstyle01"/>
          <w:rFonts w:ascii="Times New Roman" w:hAnsi="Times New Roman" w:cs="Times New Roman"/>
          <w:color w:val="000000" w:themeColor="text1"/>
          <w:sz w:val="28"/>
          <w:szCs w:val="28"/>
        </w:rPr>
        <w:t>.</w:t>
      </w:r>
    </w:p>
    <w:p w14:paraId="22F67C17" w14:textId="77777777" w:rsidR="00F24444" w:rsidRPr="00383122" w:rsidRDefault="00F24444" w:rsidP="00484F9B">
      <w:pPr>
        <w:spacing w:after="0" w:line="360" w:lineRule="auto"/>
        <w:ind w:left="680" w:right="340" w:firstLine="368"/>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Nonostante gli scarsi risultati nell’opera di evangelizzazione, Propaganda fide tentò di ampliare i territori da evangelizzare e per questo decise di affidare al vicariato della Malesia il compito di evangelizzare il territorio della Birmania.  La Birmania era un territorio che assunse questo nome nel 1850, sotto il protettorato inglese ed indicava una vallata, ossia quella dell’Irrawadi, divisa in due regni, Pegu al sud e Ava al nord, che nel 1722 i Barnabiti italiani tentarono di evangelizzare. Il vicario apostolico stabilì una linea di apostolato molto moderna, basata sul rispetto dell’autorità birmana, sull’apertura verso il buddismo e sulla centralità rivestita dall’educazione, attraverso la creazione di scuole affidata ad alcuni istituti religiosi, come ad esempio le suore di San Giuseppe dell’Apparizione. Nel 1870 Propaganda decise di dividere il paese in due vicariati ed in una prefettura apostolica, quindi Rangoon restò il centro della Birmania meridionale e Mandalay di quella settentrionale. I disordini si crearono successivamente a causa dei coloni inglesi che decisero di deporre il sovrano birmano e di annettere il paese all’Impero delle Indie, portando i birmani a chiudersi in sé stessi ed a rifiutare la presenza missionaria, percependola uno strumento usato dai coloni.</w:t>
      </w:r>
    </w:p>
    <w:p w14:paraId="65034B15"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4A643E78" w14:textId="095B3D45" w:rsidR="00F24444"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0C4A3B1D" w14:textId="362E8378" w:rsidR="003B11C2" w:rsidRDefault="003B11C2"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31765DF9" w14:textId="48311E52" w:rsidR="003B11C2" w:rsidRDefault="003B11C2"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1F64FE77" w14:textId="77777777" w:rsidR="003B11C2" w:rsidRPr="00383122" w:rsidRDefault="003B11C2"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02BD5345" w14:textId="77777777" w:rsidR="00F24444" w:rsidRPr="007D5C80" w:rsidRDefault="00F24444" w:rsidP="00484F9B">
      <w:pPr>
        <w:pStyle w:val="Paragrafoelenco"/>
        <w:numPr>
          <w:ilvl w:val="1"/>
          <w:numId w:val="4"/>
        </w:numPr>
        <w:spacing w:after="0" w:line="360" w:lineRule="auto"/>
        <w:ind w:left="680" w:right="340"/>
        <w:jc w:val="both"/>
        <w:rPr>
          <w:rStyle w:val="fontstyle01"/>
          <w:rFonts w:ascii="Times New Roman" w:hAnsi="Times New Roman" w:cs="Times New Roman"/>
          <w:i/>
          <w:color w:val="000000" w:themeColor="text1"/>
          <w:sz w:val="28"/>
          <w:szCs w:val="28"/>
        </w:rPr>
      </w:pPr>
      <w:r w:rsidRPr="007D5C80">
        <w:rPr>
          <w:rStyle w:val="fontstyle01"/>
          <w:rFonts w:ascii="Times New Roman" w:hAnsi="Times New Roman" w:cs="Times New Roman"/>
          <w:i/>
          <w:color w:val="000000" w:themeColor="text1"/>
          <w:sz w:val="28"/>
          <w:szCs w:val="28"/>
        </w:rPr>
        <w:lastRenderedPageBreak/>
        <w:t>L’evangelizzazione in Cina e Giappone</w:t>
      </w:r>
    </w:p>
    <w:p w14:paraId="34303118" w14:textId="77777777" w:rsidR="00F813F9" w:rsidRPr="00F813F9" w:rsidRDefault="00F813F9" w:rsidP="00484F9B">
      <w:pPr>
        <w:pStyle w:val="Paragrafoelenco"/>
        <w:spacing w:after="0" w:line="360" w:lineRule="auto"/>
        <w:ind w:left="680" w:right="340"/>
        <w:jc w:val="both"/>
        <w:rPr>
          <w:rStyle w:val="fontstyle01"/>
          <w:rFonts w:ascii="Times New Roman" w:hAnsi="Times New Roman" w:cs="Times New Roman"/>
          <w:color w:val="000000" w:themeColor="text1"/>
          <w:sz w:val="28"/>
          <w:szCs w:val="28"/>
        </w:rPr>
      </w:pPr>
    </w:p>
    <w:p w14:paraId="37D833F2" w14:textId="77777777" w:rsidR="00F24444" w:rsidRPr="00383122" w:rsidRDefault="00F24444" w:rsidP="00484F9B">
      <w:pPr>
        <w:spacing w:after="0" w:line="360" w:lineRule="auto"/>
        <w:ind w:left="680" w:right="340"/>
        <w:jc w:val="both"/>
        <w:rPr>
          <w:rStyle w:val="fontstyle01"/>
          <w:rFonts w:ascii="Times New Roman" w:hAnsi="Times New Roman" w:cs="Times New Roman"/>
          <w:color w:val="000000" w:themeColor="text1"/>
          <w:sz w:val="28"/>
          <w:szCs w:val="28"/>
        </w:rPr>
      </w:pPr>
      <w:r w:rsidRPr="00383122">
        <w:rPr>
          <w:rStyle w:val="fontstyle01"/>
          <w:rFonts w:ascii="Times New Roman" w:hAnsi="Times New Roman" w:cs="Times New Roman"/>
          <w:color w:val="000000" w:themeColor="text1"/>
          <w:sz w:val="28"/>
          <w:szCs w:val="28"/>
        </w:rPr>
        <w:t>In Cina, il cristianesimo era presente già nel VII secolo, grazie al benestare dell’imperatore, il quale era favorevole al pluralismo religioso. Tre secoli più tardi, la fine della dinastia dei Tang implicò «la proscrizione delle religioni straniere»</w:t>
      </w:r>
      <w:r w:rsidRPr="00383122">
        <w:rPr>
          <w:rStyle w:val="Rimandonotaapidipagina"/>
          <w:rFonts w:ascii="Times New Roman" w:hAnsi="Times New Roman" w:cs="Times New Roman"/>
          <w:color w:val="000000" w:themeColor="text1"/>
          <w:sz w:val="28"/>
          <w:szCs w:val="28"/>
        </w:rPr>
        <w:footnoteReference w:id="91"/>
      </w:r>
      <w:r w:rsidRPr="00383122">
        <w:rPr>
          <w:rStyle w:val="fontstyle01"/>
          <w:rFonts w:ascii="Times New Roman" w:hAnsi="Times New Roman" w:cs="Times New Roman"/>
          <w:color w:val="000000" w:themeColor="text1"/>
          <w:sz w:val="28"/>
          <w:szCs w:val="28"/>
        </w:rPr>
        <w:t xml:space="preserve">, sebbene secondo le testimonianze di Marco Polo sembra che esistessero ancora piccole comunità di cristiani. Successivamente tra il XIII-XIV secolo ci fu una seconda ondata di evangelizzazione che presentava caratteristiche maggiormente legate alla tradizione occidentale, piuttosto che a quella cinese. Tra il XVI-XVII secolo  il gesuita Alessandro Valignano nel   </w:t>
      </w:r>
      <w:r w:rsidRPr="00383122">
        <w:rPr>
          <w:rStyle w:val="fontstyle01"/>
          <w:rFonts w:ascii="Times New Roman" w:hAnsi="Times New Roman" w:cs="Times New Roman"/>
          <w:i/>
          <w:color w:val="000000" w:themeColor="text1"/>
          <w:sz w:val="28"/>
          <w:szCs w:val="28"/>
        </w:rPr>
        <w:t>Manuale</w:t>
      </w:r>
      <w:r w:rsidRPr="00383122">
        <w:rPr>
          <w:rStyle w:val="fontstyle01"/>
          <w:rFonts w:ascii="Times New Roman" w:hAnsi="Times New Roman" w:cs="Times New Roman"/>
          <w:color w:val="000000" w:themeColor="text1"/>
          <w:sz w:val="28"/>
          <w:szCs w:val="28"/>
        </w:rPr>
        <w:t xml:space="preserve"> </w:t>
      </w:r>
      <w:r w:rsidRPr="00383122">
        <w:rPr>
          <w:rStyle w:val="fontstyle01"/>
          <w:rFonts w:ascii="Times New Roman" w:hAnsi="Times New Roman" w:cs="Times New Roman"/>
          <w:i/>
          <w:color w:val="000000" w:themeColor="text1"/>
          <w:sz w:val="28"/>
          <w:szCs w:val="28"/>
        </w:rPr>
        <w:t>per i missionari in Giappone</w:t>
      </w:r>
      <w:r w:rsidRPr="00383122">
        <w:rPr>
          <w:rStyle w:val="Rimandonotaapidipagina"/>
          <w:rFonts w:ascii="Times New Roman" w:hAnsi="Times New Roman" w:cs="Times New Roman"/>
          <w:color w:val="000000" w:themeColor="text1"/>
          <w:sz w:val="28"/>
          <w:szCs w:val="28"/>
        </w:rPr>
        <w:footnoteReference w:id="92"/>
      </w:r>
      <w:r w:rsidRPr="00383122">
        <w:rPr>
          <w:rStyle w:val="fontstyle01"/>
          <w:rFonts w:ascii="Times New Roman" w:hAnsi="Times New Roman" w:cs="Times New Roman"/>
          <w:color w:val="000000" w:themeColor="text1"/>
          <w:sz w:val="28"/>
          <w:szCs w:val="28"/>
        </w:rPr>
        <w:t xml:space="preserve"> teorizzò il «modello dell’inculturazione»</w:t>
      </w:r>
      <w:r w:rsidRPr="00383122">
        <w:rPr>
          <w:rStyle w:val="Rimandonotaapidipagina"/>
          <w:rFonts w:ascii="Times New Roman" w:hAnsi="Times New Roman" w:cs="Times New Roman"/>
          <w:color w:val="000000" w:themeColor="text1"/>
          <w:sz w:val="28"/>
          <w:szCs w:val="28"/>
        </w:rPr>
        <w:footnoteReference w:id="93"/>
      </w:r>
      <w:r w:rsidRPr="00383122">
        <w:rPr>
          <w:rStyle w:val="fontstyle01"/>
          <w:rFonts w:ascii="Times New Roman" w:hAnsi="Times New Roman" w:cs="Times New Roman"/>
          <w:color w:val="000000" w:themeColor="text1"/>
          <w:sz w:val="28"/>
          <w:szCs w:val="28"/>
        </w:rPr>
        <w:t>, che proponeva di adattare i principi cristiani  e gli stili di vita dei missionari alle civiltà delle varie nazioni.</w:t>
      </w:r>
    </w:p>
    <w:p w14:paraId="4BF7635F" w14:textId="77777777" w:rsidR="00F24444" w:rsidRPr="00383122" w:rsidRDefault="00F24444" w:rsidP="00484F9B">
      <w:pPr>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Style w:val="fontstyle01"/>
          <w:rFonts w:ascii="Times New Roman" w:hAnsi="Times New Roman" w:cs="Times New Roman"/>
          <w:color w:val="000000" w:themeColor="text1"/>
          <w:sz w:val="28"/>
          <w:szCs w:val="28"/>
        </w:rPr>
        <w:t xml:space="preserve">Matteo Ricci (1552-1610), allievo di Valignano, provò ad adottare questo modello in Cina, lasciando la libertà ai neo-convertiti di continuare ad esercitare quei riti, che avevano solo un valore civile, come ad esempio quello dei morti, o quello dei riti stagionali in onore del cielo. Tuttavia </w:t>
      </w:r>
      <w:r w:rsidRPr="00383122">
        <w:rPr>
          <w:rStyle w:val="fontstyle01"/>
          <w:rFonts w:ascii="Times New Roman" w:hAnsi="Times New Roman" w:cs="Times New Roman"/>
          <w:color w:val="000000" w:themeColor="text1"/>
          <w:sz w:val="28"/>
          <w:szCs w:val="28"/>
        </w:rPr>
        <w:lastRenderedPageBreak/>
        <w:t xml:space="preserve">l’atteggiamento tollerante dei gesuiti si scontrò con l’intransigenza dei domenicani e dei francescani, che culminò nella decisione di Clemente XI di proibire i riti, con la bolla </w:t>
      </w:r>
      <w:r w:rsidRPr="00383122">
        <w:rPr>
          <w:rFonts w:ascii="Times New Roman" w:hAnsi="Times New Roman" w:cs="Times New Roman"/>
          <w:i/>
          <w:iCs/>
          <w:color w:val="000000" w:themeColor="text1"/>
          <w:sz w:val="28"/>
          <w:szCs w:val="28"/>
          <w:shd w:val="clear" w:color="auto" w:fill="FFFFFF"/>
        </w:rPr>
        <w:t>Ex Illa Die</w:t>
      </w:r>
      <w:r w:rsidRPr="00383122">
        <w:rPr>
          <w:rFonts w:ascii="Times New Roman" w:hAnsi="Times New Roman" w:cs="Times New Roman"/>
          <w:iCs/>
          <w:color w:val="000000" w:themeColor="text1"/>
          <w:sz w:val="28"/>
          <w:szCs w:val="28"/>
          <w:shd w:val="clear" w:color="auto" w:fill="FFFFFF"/>
        </w:rPr>
        <w:t xml:space="preserve"> (1715).</w:t>
      </w:r>
    </w:p>
    <w:p w14:paraId="6CABFE10" w14:textId="77777777" w:rsidR="00F24444" w:rsidRPr="00383122" w:rsidRDefault="00F24444" w:rsidP="00484F9B">
      <w:pPr>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A partire dal XIX secolo i missionari in Cina cominciarono ad interessarsi alle questioni politiche, a seguito dell’intromissione dei paesi occidentali, che non erano mossi da valori religiosi ma da motivazioni economiche, legate alla strategia di potenza. La revoca dei decreti imperiali di condanna del cristianesimo, fu una conseguenza della sconfitta della Cina, in quella che venne definita “la guerra dell’oppio" (1839-1842). Si trattava di un conflitto scoppiato tra impero britannico e quello cinese sulle modalità di contrabbando dell’oppio. Gli inglesi richiedevano all’impero cinese un sistema paritario di trattati e concordati in materia. La minaccia armata rappresentata dagli inglesi portò i cinesi a sottoscrivere nel 1842 il trattato di Nanchino, con il quale gli inglesi ottennero il diritto di trattare direttamente e alla pari con il governo imperiale centrale, oltre che l’isola di Hong Kong in perpetuo. Sulla base di questo accordo ne vennero stipulati altri dalla Cina, con altri territori europei, come ad esempio la Francia, applicando la clausola della «nazione più favorita»</w:t>
      </w:r>
      <w:r w:rsidRPr="00383122">
        <w:rPr>
          <w:rStyle w:val="Rimandonotaapidipagina"/>
          <w:rFonts w:ascii="Times New Roman" w:hAnsi="Times New Roman" w:cs="Times New Roman"/>
          <w:iCs/>
          <w:color w:val="000000" w:themeColor="text1"/>
          <w:sz w:val="28"/>
          <w:szCs w:val="28"/>
          <w:shd w:val="clear" w:color="auto" w:fill="FFFFFF"/>
        </w:rPr>
        <w:footnoteReference w:id="94"/>
      </w:r>
      <w:r w:rsidRPr="00383122">
        <w:rPr>
          <w:rFonts w:ascii="Times New Roman" w:hAnsi="Times New Roman" w:cs="Times New Roman"/>
          <w:iCs/>
          <w:color w:val="000000" w:themeColor="text1"/>
          <w:sz w:val="28"/>
          <w:szCs w:val="28"/>
          <w:shd w:val="clear" w:color="auto" w:fill="FFFFFF"/>
        </w:rPr>
        <w:t>. Nel 1846 l’imperatore Daoquang firmò un editto, in cui riabilitò i cristiani, con le seguenti parole: «la religione cattolica esorta gli uomini al bene, non può essere messa alla pari delle altre religioni perverse»</w:t>
      </w:r>
      <w:r w:rsidRPr="00383122">
        <w:rPr>
          <w:rStyle w:val="Rimandonotaapidipagina"/>
          <w:rFonts w:ascii="Times New Roman" w:hAnsi="Times New Roman" w:cs="Times New Roman"/>
          <w:iCs/>
          <w:color w:val="000000" w:themeColor="text1"/>
          <w:sz w:val="28"/>
          <w:szCs w:val="28"/>
          <w:shd w:val="clear" w:color="auto" w:fill="FFFFFF"/>
        </w:rPr>
        <w:footnoteReference w:id="95"/>
      </w:r>
      <w:r w:rsidRPr="00383122">
        <w:rPr>
          <w:rFonts w:ascii="Times New Roman" w:hAnsi="Times New Roman" w:cs="Times New Roman"/>
          <w:iCs/>
          <w:color w:val="000000" w:themeColor="text1"/>
          <w:sz w:val="28"/>
          <w:szCs w:val="28"/>
          <w:shd w:val="clear" w:color="auto" w:fill="FFFFFF"/>
        </w:rPr>
        <w:t xml:space="preserve">. Successivamente, tra il 1850-1864, durante la rivolta dei Taiping ci fu un nuovo conflitto con la Cina che vedeva coinvolta accanto all’Inghilterra, anche la Francia. La rinnovata vittoria degli inglesi strappò alla Cina concessioni molto favorevoli a livello commerciale. Inoltre i francesi imposero una ulteriore clausola nel 1858, con il trattato di Tianjin, riguardante la protezione della libertà religiosa, dando la possibilità ai missionari stranieri </w:t>
      </w:r>
      <w:r w:rsidRPr="00383122">
        <w:rPr>
          <w:rFonts w:ascii="Times New Roman" w:hAnsi="Times New Roman" w:cs="Times New Roman"/>
          <w:iCs/>
          <w:color w:val="000000" w:themeColor="text1"/>
          <w:sz w:val="28"/>
          <w:szCs w:val="28"/>
          <w:shd w:val="clear" w:color="auto" w:fill="FFFFFF"/>
        </w:rPr>
        <w:lastRenderedPageBreak/>
        <w:t>di operare dappertutto all’interno del territorio cinese, purché muniti di «passaporto vistato»</w:t>
      </w:r>
      <w:r w:rsidRPr="00383122">
        <w:rPr>
          <w:rStyle w:val="Rimandonotaapidipagina"/>
          <w:rFonts w:ascii="Times New Roman" w:hAnsi="Times New Roman" w:cs="Times New Roman"/>
          <w:iCs/>
          <w:color w:val="000000" w:themeColor="text1"/>
          <w:sz w:val="28"/>
          <w:szCs w:val="28"/>
          <w:shd w:val="clear" w:color="auto" w:fill="FFFFFF"/>
        </w:rPr>
        <w:footnoteReference w:id="96"/>
      </w:r>
      <w:r w:rsidRPr="00383122">
        <w:rPr>
          <w:rFonts w:ascii="Times New Roman" w:hAnsi="Times New Roman" w:cs="Times New Roman"/>
          <w:iCs/>
          <w:color w:val="000000" w:themeColor="text1"/>
          <w:sz w:val="28"/>
          <w:szCs w:val="28"/>
          <w:shd w:val="clear" w:color="auto" w:fill="FFFFFF"/>
        </w:rPr>
        <w:t xml:space="preserve">. </w:t>
      </w:r>
    </w:p>
    <w:p w14:paraId="6ECB9FAE" w14:textId="77777777" w:rsidR="00F24444" w:rsidRPr="00383122" w:rsidRDefault="00F24444" w:rsidP="00484F9B">
      <w:pPr>
        <w:spacing w:after="0" w:line="360" w:lineRule="auto"/>
        <w:ind w:left="680" w:right="340" w:firstLine="368"/>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 xml:space="preserve">Nella seconda metà del XIX secolo le missioni cattoliche e protestanti vissero una fase di lento progresso caratterizzato dal riassetto interno e dal chiarimento della loro posizione nei riguardi dell’amministrazione imperiale. Questo portò alla creazione di una nuova modalità di evangelizzazione, molto più aperta con il coinvolgimento di nuovi istituti missionari ed al riordino delle circoscrizioni ecclesiastiche. </w:t>
      </w:r>
    </w:p>
    <w:p w14:paraId="14B9B8E5" w14:textId="77777777" w:rsidR="00F24444" w:rsidRPr="00383122" w:rsidRDefault="00F24444" w:rsidP="00484F9B">
      <w:pPr>
        <w:spacing w:after="0" w:line="360" w:lineRule="auto"/>
        <w:ind w:left="680" w:right="340" w:firstLine="368"/>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 xml:space="preserve">Tuttavia nella storia cinese era frequente il fenomeno delle rivolte contadine, soprattutto in periodi di decadenza del potere imperiale. Tali rivolte avevano una forte componente religiosa di ispirazione taoista e avevano come obiettivo finale un cambio di dinastia, attraverso la sostituzione dell’imperatore con il proprio capo carismatico. Queste caratteristiche si ritrovarono nella rivolta dei Taiping (1850-1864), con la novità che per la prima volta un movimento di rivolta contadina riprendeva alcuni elementi dal cristianesimo. Taiping (letteralmente “grande pace”) era il titolo dinastico che il capo carismatico Hong Xinquan dava al suo movimento. Hong si convertì al cristianesimo, dopo la lettura del </w:t>
      </w:r>
      <w:r w:rsidRPr="00383122">
        <w:rPr>
          <w:rFonts w:ascii="Times New Roman" w:hAnsi="Times New Roman" w:cs="Times New Roman"/>
          <w:i/>
          <w:iCs/>
          <w:color w:val="000000" w:themeColor="text1"/>
          <w:sz w:val="28"/>
          <w:szCs w:val="28"/>
          <w:shd w:val="clear" w:color="auto" w:fill="FFFFFF"/>
        </w:rPr>
        <w:t>Quanshi liangyan (</w:t>
      </w:r>
      <w:r w:rsidRPr="00383122">
        <w:rPr>
          <w:rFonts w:ascii="Times New Roman" w:hAnsi="Times New Roman" w:cs="Times New Roman"/>
          <w:i/>
          <w:color w:val="000000" w:themeColor="text1"/>
          <w:sz w:val="28"/>
          <w:szCs w:val="28"/>
          <w:shd w:val="clear" w:color="auto" w:fill="FFFFFF"/>
        </w:rPr>
        <w:t>Good Words for Exhorting the Age)</w:t>
      </w:r>
      <w:r w:rsidRPr="00383122">
        <w:rPr>
          <w:rStyle w:val="Rimandonotaapidipagina"/>
          <w:rFonts w:ascii="Times New Roman" w:hAnsi="Times New Roman" w:cs="Times New Roman"/>
          <w:i/>
          <w:color w:val="000000" w:themeColor="text1"/>
          <w:sz w:val="28"/>
          <w:szCs w:val="28"/>
          <w:shd w:val="clear" w:color="auto" w:fill="FFFFFF"/>
        </w:rPr>
        <w:footnoteReference w:id="97"/>
      </w:r>
      <w:r w:rsidRPr="00383122">
        <w:rPr>
          <w:rFonts w:ascii="Times New Roman" w:hAnsi="Times New Roman" w:cs="Times New Roman"/>
          <w:i/>
          <w:iCs/>
          <w:color w:val="000000" w:themeColor="text1"/>
          <w:sz w:val="28"/>
          <w:szCs w:val="28"/>
          <w:shd w:val="clear" w:color="auto" w:fill="FFFFFF"/>
        </w:rPr>
        <w:t xml:space="preserve">, </w:t>
      </w:r>
      <w:r w:rsidRPr="00383122">
        <w:rPr>
          <w:rFonts w:ascii="Times New Roman" w:hAnsi="Times New Roman" w:cs="Times New Roman"/>
          <w:iCs/>
          <w:color w:val="000000" w:themeColor="text1"/>
          <w:sz w:val="28"/>
          <w:szCs w:val="28"/>
          <w:shd w:val="clear" w:color="auto" w:fill="FFFFFF"/>
        </w:rPr>
        <w:t xml:space="preserve">scritto da un missionario cinese, in cui si delineavano i fondamenti del cristianesimo. </w:t>
      </w:r>
    </w:p>
    <w:p w14:paraId="21C40F0D" w14:textId="77777777" w:rsidR="00F24444" w:rsidRPr="00383122" w:rsidRDefault="00F24444" w:rsidP="00484F9B">
      <w:pPr>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 xml:space="preserve">Il movimento dei Taiping si organizzò inizialmente nelle province marittime meridionali di Guangxi e Guandong, attorno ad un nucleo di adoratori di </w:t>
      </w:r>
      <w:r w:rsidRPr="00383122">
        <w:rPr>
          <w:rFonts w:ascii="Times New Roman" w:hAnsi="Times New Roman" w:cs="Times New Roman"/>
          <w:iCs/>
          <w:color w:val="000000" w:themeColor="text1"/>
          <w:sz w:val="28"/>
          <w:szCs w:val="28"/>
          <w:shd w:val="clear" w:color="auto" w:fill="FFFFFF"/>
        </w:rPr>
        <w:lastRenderedPageBreak/>
        <w:t>Shangdi</w:t>
      </w:r>
      <w:r w:rsidRPr="00383122">
        <w:rPr>
          <w:rStyle w:val="Rimandonotaapidipagina"/>
          <w:rFonts w:ascii="Times New Roman" w:hAnsi="Times New Roman" w:cs="Times New Roman"/>
          <w:iCs/>
          <w:color w:val="000000" w:themeColor="text1"/>
          <w:sz w:val="28"/>
          <w:szCs w:val="28"/>
          <w:shd w:val="clear" w:color="auto" w:fill="FFFFFF"/>
        </w:rPr>
        <w:footnoteReference w:id="98"/>
      </w:r>
      <w:r w:rsidRPr="00383122">
        <w:rPr>
          <w:rFonts w:ascii="Times New Roman" w:hAnsi="Times New Roman" w:cs="Times New Roman"/>
          <w:iCs/>
          <w:color w:val="000000" w:themeColor="text1"/>
          <w:sz w:val="28"/>
          <w:szCs w:val="28"/>
          <w:shd w:val="clear" w:color="auto" w:fill="FFFFFF"/>
        </w:rPr>
        <w:t>, una setta religiosa che Hong Xinquan fondò nel 1843. Ben presto i Taiping riuscirono a conquistare Nanchino nel 1853, ribattezzandola Tianjing (letteralmente “capitale celeste”) e altri territori della Cina centrale e meridionale. La rivolta dei Taiping aveva carattere politico, difatti erano stati abbozzati programmi per l’organizzazione politico-sociale, che proponevano un assetto economico egualitario, ammettendo privilegi solo per i sommi capi. Solo marginalmente si curò l’aspetto religioso di tale rivolta. Ciò fu reso evidente dall’atteggiamento di Hong Xinquan, che in ambito religioso decise di riprendere, con alcune modifiche, alcuni elementi tipici del cristianesimo, tra i quali si annoveravano: la Bibbia come libro sacro, la fede nella trinità, il battesimo, «il culto settimanale del giorno di sabato»</w:t>
      </w:r>
      <w:r w:rsidRPr="00383122">
        <w:rPr>
          <w:rStyle w:val="Rimandonotaapidipagina"/>
          <w:rFonts w:ascii="Times New Roman" w:hAnsi="Times New Roman" w:cs="Times New Roman"/>
          <w:iCs/>
          <w:color w:val="000000" w:themeColor="text1"/>
          <w:sz w:val="28"/>
          <w:szCs w:val="28"/>
          <w:shd w:val="clear" w:color="auto" w:fill="FFFFFF"/>
        </w:rPr>
        <w:footnoteReference w:id="99"/>
      </w:r>
      <w:r w:rsidRPr="00383122">
        <w:rPr>
          <w:rFonts w:ascii="Times New Roman" w:hAnsi="Times New Roman" w:cs="Times New Roman"/>
          <w:iCs/>
          <w:color w:val="000000" w:themeColor="text1"/>
          <w:sz w:val="28"/>
          <w:szCs w:val="28"/>
          <w:shd w:val="clear" w:color="auto" w:fill="FFFFFF"/>
        </w:rPr>
        <w:t xml:space="preserve">. </w:t>
      </w:r>
    </w:p>
    <w:p w14:paraId="46272B85" w14:textId="77777777" w:rsidR="00F24444" w:rsidRPr="00383122" w:rsidRDefault="00F24444" w:rsidP="00484F9B">
      <w:pPr>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La grande modifica rispetto al cristianesimo si concretizzava nell’attribuzione del ruoto di profeta e autentico interprete della Verità ad Hong Xinquan, che veniva considerato superiore a Gesù.</w:t>
      </w:r>
    </w:p>
    <w:p w14:paraId="67BD5E63" w14:textId="77777777" w:rsidR="00F24444" w:rsidRPr="00383122" w:rsidRDefault="00F24444" w:rsidP="00484F9B">
      <w:pPr>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 xml:space="preserve"> Nel 1864 le truppe imperiali riuscirono ad avere la meglio sui Taiping. Il movimento si dissolse nel nulla, lasciandosi alle spalle solo disordini amministrativi e un atteggiamento antitetico soprattutto nel ceto mandarinale. Tale atteggiamento si concretizzava da un lato in un pregiudizio nei confronti dei cristiani, considerati in parte, a causa dei programmi dei Taiping, responsabili «del mancato rinnovamento dello Stato»</w:t>
      </w:r>
      <w:r w:rsidRPr="00383122">
        <w:rPr>
          <w:rStyle w:val="Rimandonotaapidipagina"/>
          <w:rFonts w:ascii="Times New Roman" w:hAnsi="Times New Roman" w:cs="Times New Roman"/>
          <w:iCs/>
          <w:color w:val="000000" w:themeColor="text1"/>
          <w:sz w:val="28"/>
          <w:szCs w:val="28"/>
          <w:shd w:val="clear" w:color="auto" w:fill="FFFFFF"/>
        </w:rPr>
        <w:footnoteReference w:id="100"/>
      </w:r>
      <w:r w:rsidRPr="00383122">
        <w:rPr>
          <w:rFonts w:ascii="Times New Roman" w:hAnsi="Times New Roman" w:cs="Times New Roman"/>
          <w:iCs/>
          <w:color w:val="000000" w:themeColor="text1"/>
          <w:sz w:val="28"/>
          <w:szCs w:val="28"/>
          <w:shd w:val="clear" w:color="auto" w:fill="FFFFFF"/>
        </w:rPr>
        <w:t>, mentre dall’altro lato, gli ideali vagamente cristiani che ispirarono la rivolta lasciarono un residuo di aspirazioni che a livello popolare si tradussero in una maggiore disponibilità verso i missionari.</w:t>
      </w:r>
    </w:p>
    <w:p w14:paraId="775CAE12"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 xml:space="preserve">I metodi operativi delle missioni cattoliche in questo periodo si ispiravano a quelli che venivano usati nel clima di semi-clandestinità del XVIII secolo, con </w:t>
      </w:r>
      <w:r w:rsidRPr="00383122">
        <w:rPr>
          <w:rFonts w:ascii="Times New Roman" w:hAnsi="Times New Roman" w:cs="Times New Roman"/>
          <w:iCs/>
          <w:color w:val="000000" w:themeColor="text1"/>
          <w:sz w:val="28"/>
          <w:szCs w:val="28"/>
          <w:shd w:val="clear" w:color="auto" w:fill="FFFFFF"/>
        </w:rPr>
        <w:lastRenderedPageBreak/>
        <w:t xml:space="preserve">poche rilevanti novità. Le comunità cattoliche erano sparse in zone rurali e venivano affidate ad un catechista, mentre il missionario aveva l’obbligo di visita periodica, solo per l’amministrazione dei sacramenti e la risoluzione delle principali problematiche locali. I nuovi cristiani venivano formati con la formula consacrata del catecumenato e reclutati tra gli strati meno abbienti ed istruiti della comunità. Tra le nuove attrattive esterne verso l’adesione alla comunità cristiana c’era la possibilità di godere della protezione del missionario, diventato ormai rispettabile, e occasionalmente di usufruire di aiuti materiali, oppure di appartenere ad un gruppo sociale. Ben consapevoli di queste motivazioni iniziali imperfette, i missionari si impegnarono a fare in modo che l’istruzione dei catecumenati ne purificasse le intenzioni e soprattutto confidarono nelle successive generazioni, nei figli e nei nipoti dei neofiti. </w:t>
      </w:r>
    </w:p>
    <w:p w14:paraId="398ED7A9"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I missionari si impegnarono per garantire lo sviluppo di scuole, a livello elementare per i cristiani, il cui scopo finale non era la conversione, ma l’avvicinamento al cattolicesimo, attraverso il superamento dei pregiudizi diffusi dal paganesimo</w:t>
      </w:r>
      <w:r w:rsidRPr="00383122">
        <w:rPr>
          <w:rStyle w:val="Rimandonotaapidipagina"/>
          <w:rFonts w:ascii="Times New Roman" w:hAnsi="Times New Roman" w:cs="Times New Roman"/>
          <w:iCs/>
          <w:color w:val="000000" w:themeColor="text1"/>
          <w:sz w:val="28"/>
          <w:szCs w:val="28"/>
          <w:shd w:val="clear" w:color="auto" w:fill="FFFFFF"/>
        </w:rPr>
        <w:footnoteReference w:id="101"/>
      </w:r>
      <w:r w:rsidRPr="00383122">
        <w:rPr>
          <w:rFonts w:ascii="Times New Roman" w:hAnsi="Times New Roman" w:cs="Times New Roman"/>
          <w:iCs/>
          <w:color w:val="000000" w:themeColor="text1"/>
          <w:sz w:val="28"/>
          <w:szCs w:val="28"/>
          <w:shd w:val="clear" w:color="auto" w:fill="FFFFFF"/>
        </w:rPr>
        <w:t>. Ciò portò al raffronto con i metodi missionari dei protestanti, che si dedicarono alla creazione di scuole secondarie, aperte anche ai non cristiani. Inoltre alcuni pastori protestanti furono particolarmente attivi nel campo dell’editoria, dedicandosi a pubblicazioni, sia di carattere religioso, che di carattere informativo. Durante questo lasso di tempo vi fu un aumento dei cattolici, dovuto principalmente al mutato clima generale e all’accresciuto numero di missionari e di nuove congregazioni missionarie, tra le quali si ricordano i Domenicani, i Gesuiti, i Francescani e le Missioni estere di Parigi.</w:t>
      </w:r>
    </w:p>
    <w:p w14:paraId="2DEC20DB"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 xml:space="preserve">Però grazie all’opposizione del protettorato francese in Cina non si riuscì a realizzare il coordinamento dell’attività missionaria, attraverso i sinodi regionali. Si tentò di svincolare la Cina dal protettorato francese, attraverso la nomina nel 1850 di monsignor Spelta come visitatore apostolico delle </w:t>
      </w:r>
      <w:r w:rsidRPr="00383122">
        <w:rPr>
          <w:rFonts w:ascii="Times New Roman" w:hAnsi="Times New Roman" w:cs="Times New Roman"/>
          <w:iCs/>
          <w:color w:val="000000" w:themeColor="text1"/>
          <w:sz w:val="28"/>
          <w:szCs w:val="28"/>
          <w:shd w:val="clear" w:color="auto" w:fill="FFFFFF"/>
        </w:rPr>
        <w:lastRenderedPageBreak/>
        <w:t>missioni, che avrebbe avuto come compito quello «di stipulare con il governo cinese una convenzione che tutelasse l’avvenire dei cattolici»</w:t>
      </w:r>
      <w:r w:rsidRPr="00383122">
        <w:rPr>
          <w:rStyle w:val="Rimandonotaapidipagina"/>
          <w:rFonts w:ascii="Times New Roman" w:hAnsi="Times New Roman" w:cs="Times New Roman"/>
          <w:iCs/>
          <w:color w:val="000000" w:themeColor="text1"/>
          <w:sz w:val="28"/>
          <w:szCs w:val="28"/>
          <w:shd w:val="clear" w:color="auto" w:fill="FFFFFF"/>
        </w:rPr>
        <w:footnoteReference w:id="102"/>
      </w:r>
      <w:r w:rsidRPr="00383122">
        <w:rPr>
          <w:rFonts w:ascii="Times New Roman" w:hAnsi="Times New Roman" w:cs="Times New Roman"/>
          <w:iCs/>
          <w:color w:val="000000" w:themeColor="text1"/>
          <w:sz w:val="28"/>
          <w:szCs w:val="28"/>
          <w:shd w:val="clear" w:color="auto" w:fill="FFFFFF"/>
        </w:rPr>
        <w:t>. Purtroppo tale progetto non si realizzò a causa della morte di Spelta nel 1862.  Successivamente nel 1881 il governo cinese propose alla Santa Sede l’istituzione di una rappresentanza diplomatica a Pechino. Tale iniziativa ebbe successo solo nel 1886 con la nomina di monsignor Antonio Agliardi, che era già stato delegato apostolico in India.</w:t>
      </w:r>
    </w:p>
    <w:p w14:paraId="007143E4"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Tra il 1885-1886 si inasprirono di nuovo i rapporti tra la Francia e la Cina per il dominio del Tonchino ed il governo di Pechino promosse un’iniziativa che avrebbe dovuto indebolire la tutela francese sulle missioni cattoliche. Nel 1889 con un rescritto imperiale si riconobbe uguale dignità ai vescovi cattolici e mandarini a capo di governi interprovinciali e provinciali. In realtà, grazie al fatto che la maggior parte dei missionari cattolici erano francesi, il progetto di Pechino rappresentava una forma di protezione della libertà religiosa che il governo francese sfruttò a suo vantaggio per presentarsi come «il vero paladino degli interessi religiosi»</w:t>
      </w:r>
      <w:r w:rsidRPr="00383122">
        <w:rPr>
          <w:rStyle w:val="Rimandonotaapidipagina"/>
          <w:rFonts w:ascii="Times New Roman" w:hAnsi="Times New Roman" w:cs="Times New Roman"/>
          <w:iCs/>
          <w:color w:val="000000" w:themeColor="text1"/>
          <w:sz w:val="28"/>
          <w:szCs w:val="28"/>
          <w:shd w:val="clear" w:color="auto" w:fill="FFFFFF"/>
        </w:rPr>
        <w:footnoteReference w:id="103"/>
      </w:r>
      <w:r w:rsidRPr="00383122">
        <w:rPr>
          <w:rFonts w:ascii="Times New Roman" w:hAnsi="Times New Roman" w:cs="Times New Roman"/>
          <w:iCs/>
          <w:color w:val="000000" w:themeColor="text1"/>
          <w:sz w:val="28"/>
          <w:szCs w:val="28"/>
          <w:shd w:val="clear" w:color="auto" w:fill="FFFFFF"/>
        </w:rPr>
        <w:t xml:space="preserve">. </w:t>
      </w:r>
    </w:p>
    <w:p w14:paraId="6483427D"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 xml:space="preserve">Nel breve periodo tale situazione con i missionari si adattò perfettamente alle aspettative della politica cinese, la quale tollerava la presenza di stranieri in Cina, purché si autogestissero, ma tale sistema durò troppo a lungo così da essere percepito come un’imposizione sia dal governo cinese che da quello francese. </w:t>
      </w:r>
    </w:p>
    <w:p w14:paraId="1A9AB02F"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In questo modo si acuì il risentimento popolare nei confronti delle comunità cristiane e delle loro guide. Tale risentimento non era legato solo alla stizza popolare dovuta alla presenza disinvolta di missionari stranieri, ma anche alla diffusione di dicerie calunniose sui riti ed i costumi dei cristiani. Questo clima creò la base per la rivolta dei Boxers nel 1900, nella quale si ritrovavano tutti gli elementi di risentimento contro il cristianesimo degli anni precedenti.</w:t>
      </w:r>
    </w:p>
    <w:p w14:paraId="3B65B31F"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p>
    <w:p w14:paraId="47958101"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In Giappone l’opera di evangelizzazione si sviluppò a partire dal XVI secolo grazie al gesuita Francesco Saverio.</w:t>
      </w:r>
      <w:r w:rsidRPr="00383122">
        <w:rPr>
          <w:rFonts w:ascii="Times New Roman" w:hAnsi="Times New Roman" w:cs="Times New Roman"/>
          <w:color w:val="000000" w:themeColor="text1"/>
          <w:sz w:val="28"/>
          <w:szCs w:val="28"/>
        </w:rPr>
        <w:t xml:space="preserve"> </w:t>
      </w:r>
      <w:r w:rsidRPr="00383122">
        <w:rPr>
          <w:rFonts w:ascii="Times New Roman" w:hAnsi="Times New Roman" w:cs="Times New Roman"/>
          <w:iCs/>
          <w:color w:val="000000" w:themeColor="text1"/>
          <w:sz w:val="28"/>
          <w:szCs w:val="28"/>
          <w:shd w:val="clear" w:color="auto" w:fill="FFFFFF"/>
        </w:rPr>
        <w:t xml:space="preserve">La prima comunità cristiana venne fondata nell'isola di Kyūshū, la più meridionale tra le quattro grandi isole che formano l'arcipelago. Dopo che Francesco Saverio lasciò il Giappone, arrivò nell'arcipelago il gesuita italiano Alessandro Valignano (1539-1606). Valignano si rese subito conto della profonda differenza culturale che impediva la penetrazione del cristianesimo, in quanto i missionari imponevano schemi e concetti europei che non venivano compresi dalla popolazione locale, soprattutto a causa della mancata conoscenza della lingua. Questo comportamento eurocentrico influenzava «il rapporto tra i padri gesuiti e i giapponesi entrati nella Compagnia di Gesù come ‘fratelli’ (cioè senza i voti sacerdotali) o come </w:t>
      </w:r>
      <w:r w:rsidRPr="00383122">
        <w:rPr>
          <w:rFonts w:ascii="Times New Roman" w:hAnsi="Times New Roman" w:cs="Times New Roman"/>
          <w:i/>
          <w:iCs/>
          <w:color w:val="000000" w:themeColor="text1"/>
          <w:sz w:val="28"/>
          <w:szCs w:val="28"/>
          <w:shd w:val="clear" w:color="auto" w:fill="FFFFFF"/>
        </w:rPr>
        <w:t xml:space="preserve">dōjuku </w:t>
      </w:r>
      <w:r w:rsidRPr="00383122">
        <w:rPr>
          <w:rFonts w:ascii="Times New Roman" w:hAnsi="Times New Roman" w:cs="Times New Roman"/>
          <w:iCs/>
          <w:color w:val="000000" w:themeColor="text1"/>
          <w:sz w:val="28"/>
          <w:szCs w:val="28"/>
          <w:shd w:val="clear" w:color="auto" w:fill="FFFFFF"/>
        </w:rPr>
        <w:t>(laici coadiutori dei religiosi)»</w:t>
      </w:r>
      <w:r w:rsidRPr="00383122">
        <w:rPr>
          <w:rStyle w:val="Rimandonotaapidipagina"/>
          <w:rFonts w:ascii="Times New Roman" w:hAnsi="Times New Roman" w:cs="Times New Roman"/>
          <w:iCs/>
          <w:color w:val="000000" w:themeColor="text1"/>
          <w:sz w:val="28"/>
          <w:szCs w:val="28"/>
          <w:shd w:val="clear" w:color="auto" w:fill="FFFFFF"/>
        </w:rPr>
        <w:footnoteReference w:id="104"/>
      </w:r>
      <w:r w:rsidRPr="00383122">
        <w:rPr>
          <w:rFonts w:ascii="Times New Roman" w:hAnsi="Times New Roman" w:cs="Times New Roman"/>
          <w:iCs/>
          <w:color w:val="000000" w:themeColor="text1"/>
          <w:sz w:val="28"/>
          <w:szCs w:val="28"/>
          <w:shd w:val="clear" w:color="auto" w:fill="FFFFFF"/>
        </w:rPr>
        <w:t xml:space="preserve">, i quali venivano trattati con disprezzo. Grazie alle visite alle missioni e ai confratelli ed ai colloqui con i </w:t>
      </w:r>
      <w:r w:rsidRPr="00383122">
        <w:rPr>
          <w:rFonts w:ascii="Times New Roman" w:hAnsi="Times New Roman" w:cs="Times New Roman"/>
          <w:i/>
          <w:iCs/>
          <w:color w:val="000000" w:themeColor="text1"/>
          <w:sz w:val="28"/>
          <w:szCs w:val="28"/>
          <w:shd w:val="clear" w:color="auto" w:fill="FFFFFF"/>
        </w:rPr>
        <w:t>daimyō,</w:t>
      </w:r>
      <w:r w:rsidRPr="00383122">
        <w:rPr>
          <w:rFonts w:ascii="Times New Roman" w:hAnsi="Times New Roman" w:cs="Times New Roman"/>
          <w:iCs/>
          <w:color w:val="000000" w:themeColor="text1"/>
          <w:sz w:val="28"/>
          <w:szCs w:val="28"/>
          <w:shd w:val="clear" w:color="auto" w:fill="FFFFFF"/>
        </w:rPr>
        <w:t xml:space="preserve"> Valignano comprese la necessità di un cambiamento. Elaborò il </w:t>
      </w:r>
      <w:r w:rsidRPr="00383122">
        <w:rPr>
          <w:rFonts w:ascii="Times New Roman" w:hAnsi="Times New Roman" w:cs="Times New Roman"/>
          <w:i/>
          <w:iCs/>
          <w:color w:val="000000" w:themeColor="text1"/>
          <w:sz w:val="28"/>
          <w:szCs w:val="28"/>
          <w:shd w:val="clear" w:color="auto" w:fill="FFFFFF"/>
        </w:rPr>
        <w:t>Cerimoniale</w:t>
      </w:r>
      <w:r w:rsidRPr="00383122">
        <w:rPr>
          <w:rFonts w:ascii="Times New Roman" w:hAnsi="Times New Roman" w:cs="Times New Roman"/>
          <w:iCs/>
          <w:color w:val="000000" w:themeColor="text1"/>
          <w:sz w:val="28"/>
          <w:szCs w:val="28"/>
          <w:shd w:val="clear" w:color="auto" w:fill="FFFFFF"/>
        </w:rPr>
        <w:t>, un manuale nel quale da un lato delineava il metodo missionario dell’</w:t>
      </w:r>
      <w:r w:rsidRPr="00383122">
        <w:rPr>
          <w:rFonts w:ascii="Times New Roman" w:hAnsi="Times New Roman" w:cs="Times New Roman"/>
          <w:i/>
          <w:iCs/>
          <w:color w:val="000000" w:themeColor="text1"/>
          <w:sz w:val="28"/>
          <w:szCs w:val="28"/>
          <w:shd w:val="clear" w:color="auto" w:fill="FFFFFF"/>
        </w:rPr>
        <w:t>accommodatio</w:t>
      </w:r>
      <w:r w:rsidRPr="00383122">
        <w:rPr>
          <w:rFonts w:ascii="Times New Roman" w:hAnsi="Times New Roman" w:cs="Times New Roman"/>
          <w:iCs/>
          <w:color w:val="000000" w:themeColor="text1"/>
          <w:sz w:val="28"/>
          <w:szCs w:val="28"/>
          <w:shd w:val="clear" w:color="auto" w:fill="FFFFFF"/>
        </w:rPr>
        <w:t xml:space="preserve"> dei religiosi europei agli usi locali, incentivò lo studio della lingua locale come imprescindibile strumento di comunicazione, e si impegnò nella realizzazione di seminari di formazione del clero giapponese.</w:t>
      </w:r>
      <w:r w:rsidRPr="00383122">
        <w:rPr>
          <w:rFonts w:ascii="Times New Roman" w:hAnsi="Times New Roman" w:cs="Times New Roman"/>
          <w:color w:val="000000" w:themeColor="text1"/>
          <w:sz w:val="28"/>
          <w:szCs w:val="28"/>
        </w:rPr>
        <w:t xml:space="preserve"> </w:t>
      </w:r>
      <w:r w:rsidRPr="00383122">
        <w:rPr>
          <w:rFonts w:ascii="Times New Roman" w:hAnsi="Times New Roman" w:cs="Times New Roman"/>
          <w:iCs/>
          <w:color w:val="000000" w:themeColor="text1"/>
          <w:sz w:val="28"/>
          <w:szCs w:val="28"/>
          <w:shd w:val="clear" w:color="auto" w:fill="FFFFFF"/>
        </w:rPr>
        <w:t xml:space="preserve">Valignano, conscio della difficoltà di far capire questo metodo di apostolato ai missionari e anche ai superiori in Europa, ne ribadiva il carattere strumentale, presentandolo come l’unica soluzione per far entrare il cristianesimo in una società sviluppata e culturalmente omogenea come quella giapponese. </w:t>
      </w:r>
    </w:p>
    <w:p w14:paraId="32EDE8B9"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 xml:space="preserve">Tuttavia la situazione in Giappone mutò rapidamente, sia grazie alla scomparsa dei </w:t>
      </w:r>
      <w:r w:rsidRPr="00383122">
        <w:rPr>
          <w:rFonts w:ascii="Times New Roman" w:hAnsi="Times New Roman" w:cs="Times New Roman"/>
          <w:i/>
          <w:iCs/>
          <w:color w:val="000000" w:themeColor="text1"/>
          <w:sz w:val="28"/>
          <w:szCs w:val="28"/>
          <w:shd w:val="clear" w:color="auto" w:fill="FFFFFF"/>
        </w:rPr>
        <w:t>daimyō</w:t>
      </w:r>
      <w:r w:rsidRPr="00383122">
        <w:rPr>
          <w:rFonts w:ascii="Times New Roman" w:hAnsi="Times New Roman" w:cs="Times New Roman"/>
          <w:iCs/>
          <w:color w:val="000000" w:themeColor="text1"/>
          <w:sz w:val="28"/>
          <w:szCs w:val="28"/>
          <w:shd w:val="clear" w:color="auto" w:fill="FFFFFF"/>
        </w:rPr>
        <w:t xml:space="preserve"> cristiani sostenitori dei gesuiti, sia per l’incostante atteggiamento di Toyotomi Hideyoshi che, alla fine del 1585, aveva assunto </w:t>
      </w:r>
      <w:r w:rsidRPr="00383122">
        <w:rPr>
          <w:rFonts w:ascii="Times New Roman" w:hAnsi="Times New Roman" w:cs="Times New Roman"/>
          <w:iCs/>
          <w:color w:val="000000" w:themeColor="text1"/>
          <w:sz w:val="28"/>
          <w:szCs w:val="28"/>
          <w:shd w:val="clear" w:color="auto" w:fill="FFFFFF"/>
        </w:rPr>
        <w:lastRenderedPageBreak/>
        <w:t>la carica di reggente imperiale.</w:t>
      </w:r>
      <w:r w:rsidRPr="00383122">
        <w:rPr>
          <w:rFonts w:ascii="Times New Roman" w:hAnsi="Times New Roman" w:cs="Times New Roman"/>
          <w:color w:val="000000" w:themeColor="text1"/>
          <w:sz w:val="28"/>
          <w:szCs w:val="28"/>
        </w:rPr>
        <w:t xml:space="preserve"> H</w:t>
      </w:r>
      <w:r w:rsidRPr="00383122">
        <w:rPr>
          <w:rFonts w:ascii="Times New Roman" w:hAnsi="Times New Roman" w:cs="Times New Roman"/>
          <w:iCs/>
          <w:color w:val="000000" w:themeColor="text1"/>
          <w:sz w:val="28"/>
          <w:szCs w:val="28"/>
          <w:shd w:val="clear" w:color="auto" w:fill="FFFFFF"/>
        </w:rPr>
        <w:t>ideyoshi temeva che la presenza dei missionari incrementasse l’influenza spagnola tra i cristiani ed era arrivato a proclamare la cacciata dei gesuiti, con un editto emanato il 25 luglio 1587. Tale proposta non ebbe seguito, ma contribuì a creare un clima di intolleranza nei confronti dei gesuiti e degli altri ordini religiosi arrivati successivamente nel territorio giapponese, come i francescani o i domenicani.</w:t>
      </w:r>
    </w:p>
    <w:p w14:paraId="6C05DC51"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 xml:space="preserve">Difatti la situazione precipitò dal 1612, a seguito del divieto, imposto dallo shogun di professare il cristianesimo e la distruzione in quell’anno della chiesa di Kyōto. </w:t>
      </w:r>
    </w:p>
    <w:p w14:paraId="37E20AD5"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iCs/>
          <w:color w:val="000000" w:themeColor="text1"/>
          <w:sz w:val="28"/>
          <w:szCs w:val="28"/>
          <w:shd w:val="clear" w:color="auto" w:fill="FFFFFF"/>
        </w:rPr>
        <w:t>Lo shogunato dei Tokugawa, con l’obiettivo di rafforzare ulteriormente la propria autorità prese una serie di provvedimenti che avevano come scopo quello «di sradicare il seme del cristianesimo»</w:t>
      </w:r>
      <w:r w:rsidRPr="00383122">
        <w:rPr>
          <w:rStyle w:val="Rimandonotaapidipagina"/>
          <w:rFonts w:ascii="Times New Roman" w:hAnsi="Times New Roman" w:cs="Times New Roman"/>
          <w:iCs/>
          <w:color w:val="000000" w:themeColor="text1"/>
          <w:sz w:val="28"/>
          <w:szCs w:val="28"/>
          <w:shd w:val="clear" w:color="auto" w:fill="FFFFFF"/>
        </w:rPr>
        <w:footnoteReference w:id="105"/>
      </w:r>
      <w:r w:rsidRPr="00383122">
        <w:rPr>
          <w:rFonts w:ascii="Times New Roman" w:hAnsi="Times New Roman" w:cs="Times New Roman"/>
          <w:iCs/>
          <w:color w:val="000000" w:themeColor="text1"/>
          <w:sz w:val="28"/>
          <w:szCs w:val="28"/>
          <w:shd w:val="clear" w:color="auto" w:fill="FFFFFF"/>
        </w:rPr>
        <w:t xml:space="preserve">. La tecnica che veniva seguita era quella di costringere i missionari ad abiurare, per mostrare ai giapponesi la scarsa credibilità dei loro capi morali. Lo shogun Hideata promulgò un editto (27 gennaio 1614) con il quale favorì la persecuzione dei cristiani, perché i due punti principali erano: la presentazione dei missionari come promotori di un credo diabolico, il cui obiettivo era rovesciare il governo e la presentazione del credo cristiano come un limite all’esistenza del buddismo, del confucianesimo e dello shintoismo.  </w:t>
      </w:r>
    </w:p>
    <w:p w14:paraId="58641627"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iCs/>
          <w:color w:val="000000" w:themeColor="text1"/>
          <w:sz w:val="28"/>
          <w:szCs w:val="28"/>
          <w:shd w:val="clear" w:color="auto" w:fill="FFFFFF"/>
        </w:rPr>
        <w:t>Seguì tra il 1613-1614 un ordine di espulsione dal Giappone di tutti i missionari e conversi, per il quale lasciarono il paese almeno 300 cattolici.</w:t>
      </w:r>
      <w:r w:rsidRPr="00383122">
        <w:rPr>
          <w:rFonts w:ascii="Times New Roman" w:hAnsi="Times New Roman" w:cs="Times New Roman"/>
          <w:color w:val="000000" w:themeColor="text1"/>
          <w:sz w:val="28"/>
          <w:szCs w:val="28"/>
        </w:rPr>
        <w:t xml:space="preserve"> </w:t>
      </w:r>
      <w:r w:rsidRPr="00383122">
        <w:rPr>
          <w:rFonts w:ascii="Times New Roman" w:hAnsi="Times New Roman" w:cs="Times New Roman"/>
          <w:iCs/>
          <w:color w:val="000000" w:themeColor="text1"/>
          <w:sz w:val="28"/>
          <w:szCs w:val="28"/>
          <w:shd w:val="clear" w:color="auto" w:fill="FFFFFF"/>
        </w:rPr>
        <w:t>Il cattolicesimo era proscritto come “dottrina perversa” (jakyō) e nel 1619 erano condannati al rogo circa sessanta cattolici</w:t>
      </w:r>
      <w:r w:rsidRPr="00383122">
        <w:rPr>
          <w:rStyle w:val="Rimandonotaapidipagina"/>
          <w:rFonts w:ascii="Times New Roman" w:hAnsi="Times New Roman" w:cs="Times New Roman"/>
          <w:iCs/>
          <w:color w:val="000000" w:themeColor="text1"/>
          <w:sz w:val="28"/>
          <w:szCs w:val="28"/>
          <w:shd w:val="clear" w:color="auto" w:fill="FFFFFF"/>
        </w:rPr>
        <w:footnoteReference w:id="106"/>
      </w:r>
      <w:r w:rsidRPr="00383122">
        <w:rPr>
          <w:rFonts w:ascii="Times New Roman" w:hAnsi="Times New Roman" w:cs="Times New Roman"/>
          <w:iCs/>
          <w:color w:val="000000" w:themeColor="text1"/>
          <w:sz w:val="28"/>
          <w:szCs w:val="28"/>
          <w:shd w:val="clear" w:color="auto" w:fill="FFFFFF"/>
        </w:rPr>
        <w:t>. Nel 1622 ne erano giustiziati 55 nel cosiddetto “Grande Martirio di Nagasaki”, cui ne seguirono molti altri nei decenni seguenti in varie città</w:t>
      </w:r>
      <w:r w:rsidRPr="00383122">
        <w:rPr>
          <w:rStyle w:val="Rimandonotaapidipagina"/>
          <w:rFonts w:ascii="Times New Roman" w:hAnsi="Times New Roman" w:cs="Times New Roman"/>
          <w:iCs/>
          <w:color w:val="000000" w:themeColor="text1"/>
          <w:sz w:val="28"/>
          <w:szCs w:val="28"/>
          <w:shd w:val="clear" w:color="auto" w:fill="FFFFFF"/>
        </w:rPr>
        <w:footnoteReference w:id="107"/>
      </w:r>
      <w:r w:rsidRPr="00383122">
        <w:rPr>
          <w:rFonts w:ascii="Times New Roman" w:hAnsi="Times New Roman" w:cs="Times New Roman"/>
          <w:iCs/>
          <w:color w:val="000000" w:themeColor="text1"/>
          <w:sz w:val="28"/>
          <w:szCs w:val="28"/>
          <w:shd w:val="clear" w:color="auto" w:fill="FFFFFF"/>
        </w:rPr>
        <w:t>.</w:t>
      </w:r>
      <w:r w:rsidRPr="00383122">
        <w:rPr>
          <w:rFonts w:ascii="Times New Roman" w:hAnsi="Times New Roman" w:cs="Times New Roman"/>
          <w:color w:val="000000" w:themeColor="text1"/>
          <w:sz w:val="28"/>
          <w:szCs w:val="28"/>
        </w:rPr>
        <w:t xml:space="preserve"> </w:t>
      </w:r>
      <w:r w:rsidRPr="00383122">
        <w:rPr>
          <w:rFonts w:ascii="Times New Roman" w:hAnsi="Times New Roman" w:cs="Times New Roman"/>
          <w:iCs/>
          <w:color w:val="000000" w:themeColor="text1"/>
          <w:sz w:val="28"/>
          <w:szCs w:val="28"/>
          <w:shd w:val="clear" w:color="auto" w:fill="FFFFFF"/>
        </w:rPr>
        <w:t>Nel 1625 venne instaurata la prassi dei fumi-</w:t>
      </w:r>
      <w:r w:rsidRPr="00383122">
        <w:rPr>
          <w:rFonts w:ascii="Times New Roman" w:hAnsi="Times New Roman" w:cs="Times New Roman"/>
          <w:iCs/>
          <w:color w:val="000000" w:themeColor="text1"/>
          <w:sz w:val="28"/>
          <w:szCs w:val="28"/>
          <w:shd w:val="clear" w:color="auto" w:fill="FFFFFF"/>
        </w:rPr>
        <w:lastRenderedPageBreak/>
        <w:t xml:space="preserve">e (“immagini da calpestare”) come prova di non affiliazione al cristianesimo da parte degli indiziati. Solo chi acconsentiva a calpestare pubblicamente l’immagine di Cristo o della Madonna veniva liberato, con l’obbligo però di iscriversi a un tempio buddhista, in questo modo le autorità locali potevano disporre di un organo di controllo. Inoltre nel 1630 </w:t>
      </w:r>
      <w:r w:rsidRPr="00383122">
        <w:rPr>
          <w:rFonts w:ascii="Times New Roman" w:hAnsi="Times New Roman" w:cs="Times New Roman"/>
          <w:color w:val="000000" w:themeColor="text1"/>
          <w:sz w:val="28"/>
          <w:szCs w:val="28"/>
        </w:rPr>
        <w:t xml:space="preserve">venne proibita l’importazione di libri sul cristianesimo e di opere europee tradotte in cinese. Lo shogunato con queste misure riuscì nel 1649 a cacciare tutti gli occidentali cattolici ed a distruggere l’immagine del cristianesimo.  </w:t>
      </w:r>
    </w:p>
    <w:p w14:paraId="67299A31"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Per duecento anni il Giappone rimase un paese chiuso, privo di una Chiesa visibile, fino a che la Santa Sede, incoraggiata dalla presenza dei cristiani in un territorio così chiuso all’esterno, non decise nel 1853 di fondare un vicariato apostolico ad Hong Kong, affidandolo a Theodore Forcade. </w:t>
      </w:r>
    </w:p>
    <w:p w14:paraId="420D3878"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Forcade, però pur ribadendo l’importanza strategica di Hong Kong per il successo dell’evangelizzazione in Giappone e pur proponendo al papa l’istituzione della gerarchia in questi territori, non si interessò mai alla cultura o ai costumi dei giapponesi, né tantomeno allo studio della lingua. Difatti non esercitò mai le funzioni legate alla sua carica nel territorio giapponese, perché vi furono eventi che lo spinsero ad andare in Europa, per diversi anni.</w:t>
      </w:r>
    </w:p>
    <w:p w14:paraId="103C384D"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 periodo compreso tra il 1852-1854 vi furono una serie di spedizioni americane nel territorio giapponese, con lo scopo di ottenere la stipula di un trattato commerciale con i giapponesi. Gli americani ottennero, grazie ai loro moderni armamenti, un trattato, secondo il quale avevano non solo la facoltà di abitare due porti ed esercitarvi il commercio, ma anche la possibilità di praticare la loro religione cristiana. Analoghi trattati vennero stipulati anche con la Francia e l’Inghilterra.</w:t>
      </w:r>
    </w:p>
    <w:p w14:paraId="71489A3E"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Tuttavia nei primi tempi fu pressoché impossibile svolgere il lavoro missionario tra i giapponesi. Questo perché in base agli accordi i missionari potevano risiedere nelle città previste dalle apposite concessioni e curare gli stranieri, ma non avevano «la facoltà di predicare la fede cristiana ai </w:t>
      </w:r>
      <w:r w:rsidRPr="00383122">
        <w:rPr>
          <w:rFonts w:ascii="Times New Roman" w:hAnsi="Times New Roman" w:cs="Times New Roman"/>
          <w:color w:val="000000" w:themeColor="text1"/>
          <w:sz w:val="28"/>
          <w:szCs w:val="28"/>
        </w:rPr>
        <w:lastRenderedPageBreak/>
        <w:t>giapponesi»</w:t>
      </w:r>
      <w:r w:rsidRPr="00383122">
        <w:rPr>
          <w:rStyle w:val="Rimandonotaapidipagina"/>
          <w:rFonts w:ascii="Times New Roman" w:hAnsi="Times New Roman" w:cs="Times New Roman"/>
          <w:color w:val="000000" w:themeColor="text1"/>
          <w:sz w:val="28"/>
          <w:szCs w:val="28"/>
        </w:rPr>
        <w:footnoteReference w:id="108"/>
      </w:r>
      <w:r w:rsidRPr="00383122">
        <w:rPr>
          <w:rFonts w:ascii="Times New Roman" w:hAnsi="Times New Roman" w:cs="Times New Roman"/>
          <w:color w:val="000000" w:themeColor="text1"/>
          <w:sz w:val="28"/>
          <w:szCs w:val="28"/>
        </w:rPr>
        <w:t>. Il governo del regnante shogun rimase per molti anni ostile alla religione degli stranieri ed anche la maggior parte della popolazione era piena di pregiudizi nei confronti del cristianesimo. I missionari, però non volevano limitarsi solo alla cura degli stranieri, per questo si misero segretamente alla ricerca «dei vecchi cristiani del luogo»</w:t>
      </w:r>
      <w:r w:rsidRPr="00383122">
        <w:rPr>
          <w:rStyle w:val="Rimandonotaapidipagina"/>
          <w:rFonts w:ascii="Times New Roman" w:hAnsi="Times New Roman" w:cs="Times New Roman"/>
          <w:color w:val="000000" w:themeColor="text1"/>
          <w:sz w:val="28"/>
          <w:szCs w:val="28"/>
        </w:rPr>
        <w:footnoteReference w:id="109"/>
      </w:r>
      <w:r w:rsidRPr="00383122">
        <w:rPr>
          <w:rFonts w:ascii="Times New Roman" w:hAnsi="Times New Roman" w:cs="Times New Roman"/>
          <w:color w:val="000000" w:themeColor="text1"/>
          <w:sz w:val="28"/>
          <w:szCs w:val="28"/>
        </w:rPr>
        <w:t xml:space="preserve">. </w:t>
      </w:r>
    </w:p>
    <w:p w14:paraId="263CCB91"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 missionari riuscirono a trovare piccole comunità di cristiani, soprattutto a Nagasaki, ma questa scoperta li pose di fronte a due grandi problematiche. Da un lato era pericoloso riprendere l’opera di conversione, a causa del rischio di persecuzioni per sacerdoti e fedeli, mentre dall’altro i missionari trovarono difficoltà nel riconoscere la validità di alcuni sacramenti, come ad esempio il battesimo, poiché si discostavano dalla ritualità usata dalla Chiesa latina.</w:t>
      </w:r>
    </w:p>
    <w:p w14:paraId="055A41FC"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Quando nel 1868 crollò l’antica dinastia degli shogun Tokugawa, l’imperatore Meiji instaurò un nuovo stato imperiale, fondato sulla fede nelle antiche divinità shintoiste e avverso al cristianesimo. Questo favorì le persecuzioni nei confronti dei cristiani. Molti cristiani furono incarcerati o confinati in regioni isolate, in condizioni di grave privazione. Ma nel 1870 vi fu un miglioramento della situazione, grazie alla delegazione giapponese del principe Iwakura Tomomi, che si era recato in America e in Europa per studiare il moderno ordinamento statale e per ottenere una revisione dei trattati. Il governo giapponese cedette con titubanza, solo nel 1873 pose fine alle persecuzioni, lasciando la possibilità agli esiliati di tornare nei loro paesi di origine. Negli anni successivi furono scoperti altri gruppi di «vecchi cristiani»</w:t>
      </w:r>
      <w:r w:rsidRPr="00383122">
        <w:rPr>
          <w:rStyle w:val="Rimandonotaapidipagina"/>
          <w:rFonts w:ascii="Times New Roman" w:hAnsi="Times New Roman" w:cs="Times New Roman"/>
          <w:color w:val="000000" w:themeColor="text1"/>
          <w:sz w:val="28"/>
          <w:szCs w:val="28"/>
        </w:rPr>
        <w:footnoteReference w:id="110"/>
      </w:r>
      <w:r w:rsidRPr="00383122">
        <w:rPr>
          <w:rFonts w:ascii="Times New Roman" w:hAnsi="Times New Roman" w:cs="Times New Roman"/>
          <w:color w:val="000000" w:themeColor="text1"/>
          <w:sz w:val="28"/>
          <w:szCs w:val="28"/>
        </w:rPr>
        <w:t xml:space="preserve">; non tutti però aderirono all’invito dei missionari. Quelli che se ne tennero lontani formarono una comunità religiosa a sé stante che prese il nome di “hanare” (ossia separati). I punti base del cattolicesimo si trovavano </w:t>
      </w:r>
      <w:r w:rsidRPr="00383122">
        <w:rPr>
          <w:rFonts w:ascii="Times New Roman" w:hAnsi="Times New Roman" w:cs="Times New Roman"/>
          <w:color w:val="000000" w:themeColor="text1"/>
          <w:sz w:val="28"/>
          <w:szCs w:val="28"/>
        </w:rPr>
        <w:lastRenderedPageBreak/>
        <w:t>fino al 1876 vicino a Nagasaki, Yokohama, Tokyo, Yokosuka, Niigata, Hakodate, Kobe e Osaka.</w:t>
      </w:r>
    </w:p>
    <w:p w14:paraId="5087C919"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Durante questo periodo vi fu l’apertura del Giappone all’Occidente, che venne sfruttata dai missionari, perché erano molto richieste le scuole per le lingue straniere. Difatti molte di queste vennero costruite dai missionari, con l’obiettivo di avvicinare gli studenti al cristianesimo. Tale obiettivo venne raggiunto, garantendo un grande aumento di cattolici, che fu accompagnato dalla preoccupazione dei missionari circa la formazione del clero giapponese.</w:t>
      </w:r>
    </w:p>
    <w:p w14:paraId="043AADCF"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Proprio per questo nel 1878 vennero aperti due piccoli seminari, prima a Yokohama e poi a Nagasaki. Nonostante questo l’attività missionaria si trovò limitata ancora per parecchi anni, così che i missionari furono costretti ad avvalersi dell’aiuto della rappresentanza francese, che aveva il protettorato sulla missione. Nel 1882, il governo giapponese elaborò una nuova legge sulla religione con l’aiuto della diplomazia francese, il cui aiuto venne richiesto da Propaganda fide. Si trattava di una legge che attuava la separazione dello stato dalle comunità religiose, garantendo in questo modo una notevole libertà di culto. Questo clima favorì la creazione di un rapporto tra due soggetti, che fino a quel momento erano rimasti completamenti indifferenti l’uno all’altra, ossia la Santa Sede e la corte imperiale giapponese.</w:t>
      </w:r>
    </w:p>
    <w:p w14:paraId="5A2A9CFD"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In tale contesto i vicari apostolici decisero di riunirsi in un sinodo, nel 1890 a Nagasaki, allo scopo di elaborare dei programmi in vista dell’ulteriore lavoro missionario. All’interno del sinodo si sottolineò la necessità di acquisire maggiori conoscenze rispetto alla lingua, gli usi, i costumi e la storia del Giappone. Tali conoscenze sarebbero state fondamentali per garantire un’adeguata preparazione ai catechisti, che non dovevano essere concepiti come sostituti, in caso di mancanza di missionari. Inoltre si ribadì la necessità di equiparare il clero indigeno ai sacerdoti stranieri, dandogli la possibilità di accedere a posizioni direttive. Infine, rispetto al problema shintoista, il sinodo </w:t>
      </w:r>
      <w:r w:rsidRPr="00383122">
        <w:rPr>
          <w:rFonts w:ascii="Times New Roman" w:hAnsi="Times New Roman" w:cs="Times New Roman"/>
          <w:color w:val="000000" w:themeColor="text1"/>
          <w:sz w:val="28"/>
          <w:szCs w:val="28"/>
        </w:rPr>
        <w:lastRenderedPageBreak/>
        <w:t xml:space="preserve">consentiva ai cattolici giapponesi di partecipare a tutti quei riti che non fossero in aperto contrasto con la loro fede. </w:t>
      </w:r>
    </w:p>
    <w:p w14:paraId="2FD577FE"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Nella fin troppo entusiastica euforia di quegli anni, il cardinale prefetto di Propaganda fide propose l’istituzione della gerarchia ordinaria in Giappone. Una volta svolte le dovute inchieste, la mancanza di obiezioni da parte del governo giapponese portò papa Leone XIII ad istituire nel 1891 la gerarchia ordinaria per la chiesa giapponese. In questo modo il sistema dei vicariati fu abolito, Tokyo divenne arcidiocesi, mentre Nagasaki, Osaka e Hakodate divennero diocesi. Tuttavia questo cambiamento ebbe una scarsa rilevanza, perché non si avevano sacerdoti giapponesi da nominare a capo delle diocesi. Così per decenni i vescovi e la maggior parte dei missionari continuarono ad essere degli stranieri. </w:t>
      </w:r>
    </w:p>
    <w:p w14:paraId="2B691C33"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In Giappone a partire dal 1901 vi fu l’invio di nuovi ordini religiosi, come ad esempio quello dei Domenicani spagnoli provenienti dalle Filippine. A questi venne lasciata l’intera isola di Shikoku che poi venne elevata nel 1904 a prefettura apostolica. Durante questo periodo la principale preoccupazione della Santa Sede era la creazione di forze missionarie idonee. Difatti per questo premeva sull’ampliamento delle scuole di lingua inglese in Giappone.</w:t>
      </w:r>
    </w:p>
    <w:p w14:paraId="7A6B8A98"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Negli anni successivi vi furono numerose innovazioni in ambito scolastico da parte dei missionari. Basti pensare alla creazione del </w:t>
      </w:r>
      <w:r w:rsidRPr="00383122">
        <w:rPr>
          <w:rFonts w:ascii="Times New Roman" w:hAnsi="Times New Roman" w:cs="Times New Roman"/>
          <w:i/>
          <w:color w:val="000000" w:themeColor="text1"/>
          <w:sz w:val="28"/>
          <w:szCs w:val="28"/>
        </w:rPr>
        <w:t xml:space="preserve">College of the Sacred Hearth </w:t>
      </w:r>
      <w:r w:rsidRPr="00383122">
        <w:rPr>
          <w:rFonts w:ascii="Times New Roman" w:hAnsi="Times New Roman" w:cs="Times New Roman"/>
          <w:color w:val="000000" w:themeColor="text1"/>
          <w:sz w:val="28"/>
          <w:szCs w:val="28"/>
        </w:rPr>
        <w:t>a Tokyo, che poi salì al rango di università.</w:t>
      </w:r>
    </w:p>
    <w:p w14:paraId="0AB0E0A8"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La prima guerra mondiale smorzò l’attività missionaria, perché una parte di missionari venne chiamata per il servizio militare, venne meno il sostegno finanziario a cui si erano affidate per anni le missioni e lo stato favorì il culto shintoista per esaltare il patriottismo dei suoi cittadini. La situazione cambiò drasticamente, quando papa Benedetto XV nel 26 novembre 1919 istituì una delegazione apostolica da mandare in Giappone, per far conoscere le nuove idee dell’enciclica </w:t>
      </w:r>
      <w:r w:rsidRPr="00383122">
        <w:rPr>
          <w:rFonts w:ascii="Times New Roman" w:hAnsi="Times New Roman" w:cs="Times New Roman"/>
          <w:i/>
          <w:color w:val="000000" w:themeColor="text1"/>
          <w:sz w:val="28"/>
          <w:szCs w:val="28"/>
        </w:rPr>
        <w:t xml:space="preserve">Maximum Illud </w:t>
      </w:r>
      <w:r w:rsidRPr="00383122">
        <w:rPr>
          <w:rFonts w:ascii="Times New Roman" w:hAnsi="Times New Roman" w:cs="Times New Roman"/>
          <w:color w:val="000000" w:themeColor="text1"/>
          <w:sz w:val="28"/>
          <w:szCs w:val="28"/>
        </w:rPr>
        <w:t>(1919).</w:t>
      </w:r>
    </w:p>
    <w:p w14:paraId="3EA75530" w14:textId="77777777" w:rsidR="00383122" w:rsidRPr="00383122" w:rsidRDefault="00383122"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347BE935" w14:textId="77777777" w:rsidR="00383122" w:rsidRPr="00383122" w:rsidRDefault="00383122"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10AE56C5" w14:textId="77777777" w:rsidR="00383122" w:rsidRPr="00383122" w:rsidRDefault="00383122"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0B43861B" w14:textId="3D015F49" w:rsidR="00383122" w:rsidRPr="00383122" w:rsidRDefault="000966E6" w:rsidP="00484F9B">
      <w:pPr>
        <w:tabs>
          <w:tab w:val="left" w:pos="6361"/>
        </w:tabs>
        <w:spacing w:after="0" w:line="360" w:lineRule="auto"/>
        <w:ind w:left="680"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CAPITOLO </w:t>
      </w:r>
      <w:r w:rsidR="008D612C">
        <w:rPr>
          <w:rFonts w:ascii="Times New Roman" w:hAnsi="Times New Roman" w:cs="Times New Roman"/>
          <w:color w:val="000000" w:themeColor="text1"/>
          <w:sz w:val="28"/>
          <w:szCs w:val="28"/>
        </w:rPr>
        <w:t>III</w:t>
      </w:r>
    </w:p>
    <w:p w14:paraId="1A2E4789" w14:textId="77777777" w:rsidR="00383122" w:rsidRPr="00383122" w:rsidRDefault="00383122"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7C7B1F91" w14:textId="77777777" w:rsidR="00383122" w:rsidRPr="007D5C80" w:rsidRDefault="00383122" w:rsidP="00484F9B">
      <w:pPr>
        <w:pStyle w:val="Paragrafoelenco"/>
        <w:numPr>
          <w:ilvl w:val="1"/>
          <w:numId w:val="7"/>
        </w:numPr>
        <w:spacing w:after="0" w:line="360" w:lineRule="auto"/>
        <w:ind w:left="680" w:right="340"/>
        <w:jc w:val="both"/>
        <w:rPr>
          <w:rFonts w:ascii="Times New Roman" w:hAnsi="Times New Roman" w:cs="Times New Roman"/>
          <w:i/>
          <w:color w:val="000000" w:themeColor="text1"/>
          <w:sz w:val="28"/>
          <w:szCs w:val="28"/>
        </w:rPr>
      </w:pPr>
      <w:r w:rsidRPr="00383122">
        <w:rPr>
          <w:rFonts w:ascii="Times New Roman" w:hAnsi="Times New Roman" w:cs="Times New Roman"/>
          <w:color w:val="000000" w:themeColor="text1"/>
          <w:sz w:val="28"/>
          <w:szCs w:val="28"/>
        </w:rPr>
        <w:t xml:space="preserve"> </w:t>
      </w:r>
      <w:r w:rsidRPr="007D5C80">
        <w:rPr>
          <w:rFonts w:ascii="Times New Roman" w:hAnsi="Times New Roman" w:cs="Times New Roman"/>
          <w:i/>
          <w:color w:val="000000" w:themeColor="text1"/>
          <w:sz w:val="28"/>
          <w:szCs w:val="28"/>
        </w:rPr>
        <w:t>Le circoscrizioni ecclesiastiche</w:t>
      </w:r>
    </w:p>
    <w:p w14:paraId="58277195" w14:textId="21E71A74" w:rsidR="00140247"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2.1 </w:t>
      </w:r>
      <w:r w:rsidRPr="007D5C80">
        <w:rPr>
          <w:rFonts w:ascii="Times New Roman" w:hAnsi="Times New Roman" w:cs="Times New Roman"/>
          <w:i/>
          <w:color w:val="000000" w:themeColor="text1"/>
          <w:sz w:val="28"/>
          <w:szCs w:val="28"/>
        </w:rPr>
        <w:t>La mutazione dei confini</w:t>
      </w:r>
      <w:r w:rsidR="008D612C">
        <w:rPr>
          <w:rFonts w:ascii="Times New Roman" w:hAnsi="Times New Roman" w:cs="Times New Roman"/>
          <w:color w:val="000000" w:themeColor="text1"/>
          <w:sz w:val="28"/>
          <w:szCs w:val="28"/>
        </w:rPr>
        <w:t xml:space="preserve">; </w:t>
      </w:r>
      <w:r w:rsidR="00140247">
        <w:rPr>
          <w:rFonts w:ascii="Times New Roman" w:hAnsi="Times New Roman" w:cs="Times New Roman"/>
          <w:color w:val="000000" w:themeColor="text1"/>
          <w:sz w:val="28"/>
          <w:szCs w:val="28"/>
        </w:rPr>
        <w:t xml:space="preserve">2.2 </w:t>
      </w:r>
      <w:r w:rsidR="00140247" w:rsidRPr="007D5C80">
        <w:rPr>
          <w:rFonts w:ascii="Times New Roman" w:hAnsi="Times New Roman" w:cs="Times New Roman"/>
          <w:i/>
          <w:color w:val="000000" w:themeColor="text1"/>
          <w:sz w:val="28"/>
          <w:szCs w:val="28"/>
        </w:rPr>
        <w:t>Africa</w:t>
      </w:r>
      <w:r w:rsidR="008D612C">
        <w:rPr>
          <w:rFonts w:ascii="Times New Roman" w:hAnsi="Times New Roman" w:cs="Times New Roman"/>
          <w:color w:val="000000" w:themeColor="text1"/>
          <w:sz w:val="28"/>
          <w:szCs w:val="28"/>
        </w:rPr>
        <w:t xml:space="preserve">; </w:t>
      </w:r>
      <w:r w:rsidR="00140247">
        <w:rPr>
          <w:rFonts w:ascii="Times New Roman" w:hAnsi="Times New Roman" w:cs="Times New Roman"/>
          <w:color w:val="000000" w:themeColor="text1"/>
          <w:sz w:val="28"/>
          <w:szCs w:val="28"/>
        </w:rPr>
        <w:t xml:space="preserve">2.3 </w:t>
      </w:r>
      <w:r w:rsidR="00140247" w:rsidRPr="007D5C80">
        <w:rPr>
          <w:rFonts w:ascii="Times New Roman" w:hAnsi="Times New Roman" w:cs="Times New Roman"/>
          <w:i/>
          <w:color w:val="000000" w:themeColor="text1"/>
          <w:sz w:val="28"/>
          <w:szCs w:val="28"/>
        </w:rPr>
        <w:t>Asia</w:t>
      </w:r>
      <w:r w:rsidR="008D612C">
        <w:rPr>
          <w:rFonts w:ascii="Times New Roman" w:hAnsi="Times New Roman" w:cs="Times New Roman"/>
          <w:color w:val="000000" w:themeColor="text1"/>
          <w:sz w:val="28"/>
          <w:szCs w:val="28"/>
        </w:rPr>
        <w:t xml:space="preserve">; </w:t>
      </w:r>
      <w:r w:rsidR="00140247">
        <w:rPr>
          <w:rFonts w:ascii="Times New Roman" w:hAnsi="Times New Roman" w:cs="Times New Roman"/>
          <w:color w:val="000000" w:themeColor="text1"/>
          <w:sz w:val="28"/>
          <w:szCs w:val="28"/>
        </w:rPr>
        <w:t xml:space="preserve">2.3.1 </w:t>
      </w:r>
      <w:r w:rsidR="00140247" w:rsidRPr="007D5C80">
        <w:rPr>
          <w:rFonts w:ascii="Times New Roman" w:hAnsi="Times New Roman" w:cs="Times New Roman"/>
          <w:i/>
          <w:color w:val="000000" w:themeColor="text1"/>
          <w:sz w:val="28"/>
          <w:szCs w:val="28"/>
        </w:rPr>
        <w:t>India</w:t>
      </w:r>
      <w:r w:rsidR="008D612C">
        <w:rPr>
          <w:rFonts w:ascii="Times New Roman" w:hAnsi="Times New Roman" w:cs="Times New Roman"/>
          <w:color w:val="000000" w:themeColor="text1"/>
          <w:sz w:val="28"/>
          <w:szCs w:val="28"/>
        </w:rPr>
        <w:t xml:space="preserve">; </w:t>
      </w:r>
      <w:r w:rsidR="00140247">
        <w:rPr>
          <w:rFonts w:ascii="Times New Roman" w:hAnsi="Times New Roman" w:cs="Times New Roman"/>
          <w:color w:val="000000" w:themeColor="text1"/>
          <w:sz w:val="28"/>
          <w:szCs w:val="28"/>
        </w:rPr>
        <w:t xml:space="preserve">2.3.2 </w:t>
      </w:r>
      <w:r w:rsidR="00140247" w:rsidRPr="007D5C80">
        <w:rPr>
          <w:rFonts w:ascii="Times New Roman" w:hAnsi="Times New Roman" w:cs="Times New Roman"/>
          <w:i/>
          <w:color w:val="000000" w:themeColor="text1"/>
          <w:sz w:val="28"/>
          <w:szCs w:val="28"/>
        </w:rPr>
        <w:t>Indocina</w:t>
      </w:r>
      <w:r w:rsidR="008D612C">
        <w:rPr>
          <w:rFonts w:ascii="Times New Roman" w:hAnsi="Times New Roman" w:cs="Times New Roman"/>
          <w:color w:val="000000" w:themeColor="text1"/>
          <w:sz w:val="28"/>
          <w:szCs w:val="28"/>
        </w:rPr>
        <w:t>;</w:t>
      </w:r>
    </w:p>
    <w:p w14:paraId="4C732FC1" w14:textId="407A5C2F" w:rsidR="00383122" w:rsidRDefault="00140247" w:rsidP="00484F9B">
      <w:pPr>
        <w:spacing w:after="0" w:line="360" w:lineRule="auto"/>
        <w:ind w:left="680"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2.3.3 </w:t>
      </w:r>
      <w:r w:rsidRPr="007D5C80">
        <w:rPr>
          <w:rFonts w:ascii="Times New Roman" w:hAnsi="Times New Roman" w:cs="Times New Roman"/>
          <w:i/>
          <w:color w:val="000000" w:themeColor="text1"/>
          <w:sz w:val="28"/>
          <w:szCs w:val="28"/>
        </w:rPr>
        <w:t>Cina</w:t>
      </w:r>
      <w:r w:rsidR="008D612C">
        <w:rPr>
          <w:rFonts w:ascii="Times New Roman" w:hAnsi="Times New Roman" w:cs="Times New Roman"/>
          <w:color w:val="000000" w:themeColor="text1"/>
          <w:sz w:val="28"/>
          <w:szCs w:val="28"/>
        </w:rPr>
        <w:t xml:space="preserve">; </w:t>
      </w:r>
      <w:r w:rsidR="00383122" w:rsidRPr="00383122">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3.4 </w:t>
      </w:r>
      <w:r w:rsidRPr="007D5C80">
        <w:rPr>
          <w:rFonts w:ascii="Times New Roman" w:hAnsi="Times New Roman" w:cs="Times New Roman"/>
          <w:i/>
          <w:color w:val="000000" w:themeColor="text1"/>
          <w:sz w:val="28"/>
          <w:szCs w:val="28"/>
        </w:rPr>
        <w:t>Giappone</w:t>
      </w:r>
      <w:r w:rsidR="008D612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2.4 </w:t>
      </w:r>
      <w:r w:rsidRPr="007D5C80">
        <w:rPr>
          <w:rFonts w:ascii="Times New Roman" w:hAnsi="Times New Roman" w:cs="Times New Roman"/>
          <w:i/>
          <w:color w:val="000000" w:themeColor="text1"/>
          <w:sz w:val="28"/>
          <w:szCs w:val="28"/>
        </w:rPr>
        <w:t>America</w:t>
      </w:r>
      <w:r w:rsidR="008D612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2.4.1 </w:t>
      </w:r>
      <w:r w:rsidRPr="007D5C80">
        <w:rPr>
          <w:rFonts w:ascii="Times New Roman" w:hAnsi="Times New Roman" w:cs="Times New Roman"/>
          <w:i/>
          <w:color w:val="000000" w:themeColor="text1"/>
          <w:sz w:val="28"/>
          <w:szCs w:val="28"/>
        </w:rPr>
        <w:t>America del Nord</w:t>
      </w:r>
      <w:r w:rsidR="007D5C8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2.4.2 </w:t>
      </w:r>
      <w:r w:rsidRPr="007D5C80">
        <w:rPr>
          <w:rFonts w:ascii="Times New Roman" w:hAnsi="Times New Roman" w:cs="Times New Roman"/>
          <w:i/>
          <w:color w:val="000000" w:themeColor="text1"/>
          <w:sz w:val="28"/>
          <w:szCs w:val="28"/>
        </w:rPr>
        <w:t>America del Sud</w:t>
      </w:r>
      <w:r w:rsidR="008D612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2.4.3 </w:t>
      </w:r>
      <w:r w:rsidRPr="007D5C80">
        <w:rPr>
          <w:rFonts w:ascii="Times New Roman" w:hAnsi="Times New Roman" w:cs="Times New Roman"/>
          <w:i/>
          <w:color w:val="000000" w:themeColor="text1"/>
          <w:sz w:val="28"/>
          <w:szCs w:val="28"/>
        </w:rPr>
        <w:t>America centrale</w:t>
      </w:r>
      <w:r w:rsidR="008D612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2.5 </w:t>
      </w:r>
      <w:r w:rsidRPr="007D5C80">
        <w:rPr>
          <w:rFonts w:ascii="Times New Roman" w:hAnsi="Times New Roman" w:cs="Times New Roman"/>
          <w:i/>
          <w:color w:val="000000" w:themeColor="text1"/>
          <w:sz w:val="28"/>
          <w:szCs w:val="28"/>
        </w:rPr>
        <w:t>Oceania</w:t>
      </w:r>
      <w:r w:rsidR="008D612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2.5.1 </w:t>
      </w:r>
      <w:r w:rsidRPr="007D5C80">
        <w:rPr>
          <w:rFonts w:ascii="Times New Roman" w:hAnsi="Times New Roman" w:cs="Times New Roman"/>
          <w:i/>
          <w:color w:val="000000" w:themeColor="text1"/>
          <w:sz w:val="28"/>
          <w:szCs w:val="28"/>
        </w:rPr>
        <w:t>Nuova Guinea</w:t>
      </w:r>
      <w:r w:rsidR="008D612C">
        <w:rPr>
          <w:rFonts w:ascii="Times New Roman" w:hAnsi="Times New Roman" w:cs="Times New Roman"/>
          <w:color w:val="000000" w:themeColor="text1"/>
          <w:sz w:val="28"/>
          <w:szCs w:val="28"/>
        </w:rPr>
        <w:t xml:space="preserve">; </w:t>
      </w:r>
      <w:r w:rsidR="00383122" w:rsidRPr="00383122">
        <w:rPr>
          <w:rFonts w:ascii="Times New Roman" w:hAnsi="Times New Roman" w:cs="Times New Roman"/>
          <w:color w:val="000000" w:themeColor="text1"/>
          <w:sz w:val="28"/>
          <w:szCs w:val="28"/>
        </w:rPr>
        <w:t xml:space="preserve">2.6 </w:t>
      </w:r>
      <w:r w:rsidR="00383122" w:rsidRPr="007D5C80">
        <w:rPr>
          <w:rFonts w:ascii="Times New Roman" w:hAnsi="Times New Roman" w:cs="Times New Roman"/>
          <w:i/>
          <w:color w:val="000000" w:themeColor="text1"/>
          <w:sz w:val="28"/>
          <w:szCs w:val="28"/>
        </w:rPr>
        <w:t>Conclusioni</w:t>
      </w:r>
      <w:r w:rsidR="008D612C">
        <w:rPr>
          <w:rFonts w:ascii="Times New Roman" w:hAnsi="Times New Roman" w:cs="Times New Roman"/>
          <w:color w:val="000000" w:themeColor="text1"/>
          <w:sz w:val="28"/>
          <w:szCs w:val="28"/>
        </w:rPr>
        <w:t>.</w:t>
      </w:r>
    </w:p>
    <w:p w14:paraId="627B9A4F" w14:textId="77777777" w:rsidR="007D5C80" w:rsidRDefault="007D5C80" w:rsidP="00484F9B">
      <w:pPr>
        <w:spacing w:after="0" w:line="360" w:lineRule="auto"/>
        <w:ind w:left="680" w:right="340"/>
        <w:jc w:val="both"/>
        <w:rPr>
          <w:rFonts w:ascii="Times New Roman" w:hAnsi="Times New Roman" w:cs="Times New Roman"/>
          <w:color w:val="000000" w:themeColor="text1"/>
          <w:sz w:val="28"/>
          <w:szCs w:val="28"/>
        </w:rPr>
      </w:pPr>
    </w:p>
    <w:p w14:paraId="73396B0E" w14:textId="77777777" w:rsidR="00383122" w:rsidRPr="007D5C80" w:rsidRDefault="00383122" w:rsidP="00484F9B">
      <w:pPr>
        <w:pStyle w:val="Paragrafoelenco"/>
        <w:numPr>
          <w:ilvl w:val="1"/>
          <w:numId w:val="6"/>
        </w:numPr>
        <w:spacing w:after="0" w:line="360" w:lineRule="auto"/>
        <w:ind w:left="680" w:right="340"/>
        <w:jc w:val="both"/>
        <w:rPr>
          <w:rFonts w:ascii="Times New Roman" w:hAnsi="Times New Roman" w:cs="Times New Roman"/>
          <w:i/>
          <w:color w:val="000000" w:themeColor="text1"/>
          <w:sz w:val="28"/>
          <w:szCs w:val="28"/>
        </w:rPr>
      </w:pPr>
      <w:r w:rsidRPr="007D5C80">
        <w:rPr>
          <w:rFonts w:ascii="Times New Roman" w:hAnsi="Times New Roman" w:cs="Times New Roman"/>
          <w:i/>
          <w:color w:val="000000" w:themeColor="text1"/>
          <w:sz w:val="28"/>
          <w:szCs w:val="28"/>
        </w:rPr>
        <w:t>Le circoscrizioni ecclesiastiche</w:t>
      </w:r>
    </w:p>
    <w:p w14:paraId="7CCCEC25" w14:textId="77777777" w:rsidR="00383122" w:rsidRPr="00383122" w:rsidRDefault="00383122"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5C8C5594"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Quando si parla di circoscrizioni ecclesiastiche si fa riferimento all’atteggiamento della chiesa, che sin dall’antichità affidò la giurisdizione di porzioni del proprio territorio e la cura delle rispettive comunità di fedeli a vescovi, presbiteri e diaconi. Si trattava di circoscrizioni territoriali o personali, ovvero aree specifiche, nelle quali soggetti con autorità inferiore al papa esercitavano poteri di giurisdizione e di governo.</w:t>
      </w:r>
    </w:p>
    <w:p w14:paraId="0EBBFEA3" w14:textId="77777777" w:rsidR="00383122" w:rsidRPr="00383122" w:rsidRDefault="00383122"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Le circoscrizioni territoriali fondamentali erano quelle a capo delle quali vi era un prelato con giurisdizione vescovile o quasi-vescovile. Esse erano principalmente le diocesi, al posto delle quali, nei territori di missione, generalmente vi erano i vicariati apostolici o le prefetture apostoliche; ed inoltre quei territori (generalmente di minore estensione) che non facevano parte di nessuna diocesi, come le abbazie </w:t>
      </w:r>
      <w:r w:rsidRPr="00383122">
        <w:rPr>
          <w:rFonts w:ascii="Times New Roman" w:hAnsi="Times New Roman" w:cs="Times New Roman"/>
          <w:i/>
          <w:color w:val="000000" w:themeColor="text1"/>
          <w:sz w:val="28"/>
          <w:szCs w:val="28"/>
        </w:rPr>
        <w:t>nullius</w:t>
      </w:r>
      <w:r w:rsidRPr="00383122">
        <w:rPr>
          <w:rFonts w:ascii="Times New Roman" w:hAnsi="Times New Roman" w:cs="Times New Roman"/>
          <w:color w:val="000000" w:themeColor="text1"/>
          <w:sz w:val="28"/>
          <w:szCs w:val="28"/>
        </w:rPr>
        <w:t xml:space="preserve"> e le prelature </w:t>
      </w:r>
      <w:r w:rsidRPr="00383122">
        <w:rPr>
          <w:rFonts w:ascii="Times New Roman" w:hAnsi="Times New Roman" w:cs="Times New Roman"/>
          <w:i/>
          <w:color w:val="000000" w:themeColor="text1"/>
          <w:sz w:val="28"/>
          <w:szCs w:val="28"/>
        </w:rPr>
        <w:t>nullius</w:t>
      </w:r>
      <w:r w:rsidRPr="00383122">
        <w:rPr>
          <w:rFonts w:ascii="Times New Roman" w:hAnsi="Times New Roman" w:cs="Times New Roman"/>
          <w:color w:val="000000" w:themeColor="text1"/>
          <w:sz w:val="28"/>
          <w:szCs w:val="28"/>
        </w:rPr>
        <w:t xml:space="preserve">, o di nessun vicariato o prefettura apostolica, quali le missioni sui </w:t>
      </w:r>
      <w:r w:rsidRPr="00383122">
        <w:rPr>
          <w:rFonts w:ascii="Times New Roman" w:hAnsi="Times New Roman" w:cs="Times New Roman"/>
          <w:i/>
          <w:color w:val="000000" w:themeColor="text1"/>
          <w:sz w:val="28"/>
          <w:szCs w:val="28"/>
        </w:rPr>
        <w:t>iuris</w:t>
      </w:r>
      <w:r w:rsidRPr="00383122">
        <w:rPr>
          <w:rStyle w:val="Rimandonotaapidipagina"/>
          <w:rFonts w:ascii="Times New Roman" w:hAnsi="Times New Roman" w:cs="Times New Roman"/>
          <w:i/>
          <w:color w:val="000000" w:themeColor="text1"/>
          <w:sz w:val="28"/>
          <w:szCs w:val="28"/>
        </w:rPr>
        <w:footnoteReference w:id="111"/>
      </w:r>
      <w:r w:rsidRPr="00383122">
        <w:rPr>
          <w:rFonts w:ascii="Times New Roman" w:hAnsi="Times New Roman" w:cs="Times New Roman"/>
          <w:color w:val="000000" w:themeColor="text1"/>
          <w:sz w:val="28"/>
          <w:szCs w:val="28"/>
        </w:rPr>
        <w:t>.</w:t>
      </w:r>
    </w:p>
    <w:p w14:paraId="599B396D" w14:textId="77777777" w:rsidR="00383122" w:rsidRPr="00383122" w:rsidRDefault="00383122"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L'erezione della prefettura apostolica era riservata alla suprema potestà ecclesiastica ed i limiti territoriali non erano suscettibili di prescrizione; essa </w:t>
      </w:r>
      <w:r w:rsidRPr="00383122">
        <w:rPr>
          <w:rFonts w:ascii="Times New Roman" w:hAnsi="Times New Roman" w:cs="Times New Roman"/>
          <w:color w:val="000000" w:themeColor="text1"/>
          <w:sz w:val="28"/>
          <w:szCs w:val="28"/>
        </w:rPr>
        <w:lastRenderedPageBreak/>
        <w:t>era di solito divisa in stazioni missionarie, quasi-parrocchie e distretti missionari. Generalmente, si trattava di un territorio del tutto indipendente, per quanto in pratica venisse incluso in una provincia di diritto missionario o di diritto comune e quindi subordinata, alle norme del CIC ed alla giurisdizione del metropolita. Il regime interno imitava quello della diocesi.</w:t>
      </w:r>
      <w:r w:rsidRPr="00383122">
        <w:rPr>
          <w:color w:val="000000" w:themeColor="text1"/>
        </w:rPr>
        <w:t xml:space="preserve"> </w:t>
      </w:r>
      <w:r w:rsidRPr="00383122">
        <w:rPr>
          <w:rFonts w:ascii="Times New Roman" w:hAnsi="Times New Roman" w:cs="Times New Roman"/>
          <w:color w:val="000000" w:themeColor="text1"/>
          <w:sz w:val="28"/>
          <w:szCs w:val="28"/>
        </w:rPr>
        <w:t>Quando i progressi dell’evangelizzazione si consolidarono, la prefettura apostolica venne elevata al grado di vicariato apostolico. Il vicariato apostolico era una forma di chiesa particolare, equiparata alla diocesi. Si trattava di una specifica circoscrizione territoriale, gestita da un vescovo, che doveva essere presentato dall’istituto religioso e approvato dal papa. Tale vescovo svolgeva tutti i compiti che venivano svolti dal vescovo diocesano nella propria diocesi. Il motivo per cui una determinata zona non diventava diocesi, ma vicariato apostolico, era la sua presenza in una zona di missione, dove il cristianesimo non era ancora radicato e non sarebbe stato possibile costituire una vera diocesi, considerando la debolezza delle strutture ecclesiastiche.</w:t>
      </w:r>
    </w:p>
    <w:p w14:paraId="32F6FA3E" w14:textId="77777777" w:rsidR="00383122" w:rsidRPr="00383122" w:rsidRDefault="00383122"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competenza a costituire o mutare le circoscrizioni ecclesiastiche spettava all’autorità ecclesiastica: e in particolare, nella chiesa latina spettava al papa (che a seconda dei casi si serviva della S.C. Concistoriale o di Propaganda Fide)</w:t>
      </w:r>
      <w:r w:rsidRPr="00383122">
        <w:rPr>
          <w:color w:val="000000" w:themeColor="text1"/>
        </w:rPr>
        <w:t xml:space="preserve"> </w:t>
      </w:r>
      <w:r w:rsidRPr="00383122">
        <w:rPr>
          <w:rFonts w:ascii="Times New Roman" w:hAnsi="Times New Roman" w:cs="Times New Roman"/>
          <w:color w:val="000000" w:themeColor="text1"/>
          <w:sz w:val="28"/>
          <w:szCs w:val="28"/>
        </w:rPr>
        <w:t>costituire, sopprimere, dividere, o unire le diocesi o</w:t>
      </w:r>
      <w:r w:rsidRPr="00383122">
        <w:rPr>
          <w:color w:val="000000" w:themeColor="text1"/>
        </w:rPr>
        <w:t xml:space="preserve"> </w:t>
      </w:r>
      <w:r w:rsidRPr="00383122">
        <w:rPr>
          <w:rFonts w:ascii="Times New Roman" w:hAnsi="Times New Roman" w:cs="Times New Roman"/>
          <w:color w:val="000000" w:themeColor="text1"/>
          <w:sz w:val="28"/>
          <w:szCs w:val="28"/>
        </w:rPr>
        <w:t>le circoscrizioni ad esse parallele o superiori, o mutarne i confini</w:t>
      </w:r>
      <w:r w:rsidRPr="00383122">
        <w:rPr>
          <w:rStyle w:val="Rimandonotaapidipagina"/>
          <w:rFonts w:ascii="Times New Roman" w:hAnsi="Times New Roman" w:cs="Times New Roman"/>
          <w:color w:val="000000" w:themeColor="text1"/>
          <w:sz w:val="28"/>
          <w:szCs w:val="28"/>
        </w:rPr>
        <w:footnoteReference w:id="112"/>
      </w:r>
      <w:r w:rsidRPr="00383122">
        <w:rPr>
          <w:rFonts w:ascii="Times New Roman" w:hAnsi="Times New Roman" w:cs="Times New Roman"/>
          <w:color w:val="000000" w:themeColor="text1"/>
          <w:sz w:val="28"/>
          <w:szCs w:val="28"/>
        </w:rPr>
        <w:t>.</w:t>
      </w:r>
    </w:p>
    <w:p w14:paraId="19EEF6FF" w14:textId="77777777" w:rsidR="00383122" w:rsidRPr="00383122" w:rsidRDefault="00383122"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Rientrava, invece tra i compiti dell’ordinario del luogo costituire nuove parrocchie, trasferirle, dividerle, unirle, mutarne i confini</w:t>
      </w:r>
      <w:r w:rsidRPr="00383122">
        <w:rPr>
          <w:rStyle w:val="Rimandonotaapidipagina"/>
          <w:rFonts w:ascii="Times New Roman" w:hAnsi="Times New Roman" w:cs="Times New Roman"/>
          <w:color w:val="000000" w:themeColor="text1"/>
          <w:sz w:val="28"/>
          <w:szCs w:val="28"/>
        </w:rPr>
        <w:footnoteReference w:id="113"/>
      </w:r>
      <w:r w:rsidRPr="00383122">
        <w:rPr>
          <w:rFonts w:ascii="Times New Roman" w:hAnsi="Times New Roman" w:cs="Times New Roman"/>
          <w:color w:val="000000" w:themeColor="text1"/>
          <w:sz w:val="28"/>
          <w:szCs w:val="28"/>
        </w:rPr>
        <w:t xml:space="preserve"> ,riservando però al papa il diritto di decidere sulla loro soppressione</w:t>
      </w:r>
      <w:r w:rsidRPr="00383122">
        <w:rPr>
          <w:rStyle w:val="Rimandonotaapidipagina"/>
          <w:rFonts w:ascii="Times New Roman" w:hAnsi="Times New Roman" w:cs="Times New Roman"/>
          <w:color w:val="000000" w:themeColor="text1"/>
          <w:sz w:val="28"/>
          <w:szCs w:val="28"/>
        </w:rPr>
        <w:footnoteReference w:id="114"/>
      </w:r>
      <w:r w:rsidRPr="00383122">
        <w:rPr>
          <w:rFonts w:ascii="Times New Roman" w:hAnsi="Times New Roman" w:cs="Times New Roman"/>
          <w:color w:val="000000" w:themeColor="text1"/>
          <w:sz w:val="28"/>
          <w:szCs w:val="28"/>
        </w:rPr>
        <w:t>.</w:t>
      </w:r>
    </w:p>
    <w:p w14:paraId="5C0DBE9D" w14:textId="77777777" w:rsidR="00383122" w:rsidRPr="00383122" w:rsidRDefault="00383122"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Inoltre la Santa Sede concedeva all’autorità civile, soprattutto attraverso i concordati, un potere più o meno ampio di intervento in ciò che riguardava le modifiche delle circoscrizioni ecclesiastiche. </w:t>
      </w:r>
    </w:p>
    <w:p w14:paraId="165683E0" w14:textId="77777777" w:rsidR="00383122" w:rsidRPr="00383122" w:rsidRDefault="00383122"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lastRenderedPageBreak/>
        <w:t xml:space="preserve"> Inoltre la Santa Sede pur non essendovi obbligato, ha fatto in modo di far coincidere le circoscrizioni ecclesiastiche con quelle civili, così da facilitare la comunicazione tra i fedeli ed i loro pastori. </w:t>
      </w:r>
    </w:p>
    <w:p w14:paraId="100DDF00" w14:textId="77777777" w:rsidR="00383122" w:rsidRPr="00383122" w:rsidRDefault="00383122" w:rsidP="00484F9B">
      <w:pPr>
        <w:pStyle w:val="Paragrafoelenco"/>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Propaganda prima di fondare una nuova missione richiedeva una serie specifica di informazioni indicate all’interno di una </w:t>
      </w:r>
      <w:r w:rsidRPr="00383122">
        <w:rPr>
          <w:rFonts w:ascii="Times New Roman" w:hAnsi="Times New Roman" w:cs="Times New Roman"/>
          <w:i/>
          <w:color w:val="000000" w:themeColor="text1"/>
          <w:sz w:val="28"/>
          <w:szCs w:val="28"/>
        </w:rPr>
        <w:t>Instructio</w:t>
      </w:r>
      <w:r w:rsidRPr="00383122">
        <w:rPr>
          <w:rFonts w:ascii="Times New Roman" w:hAnsi="Times New Roman" w:cs="Times New Roman"/>
          <w:color w:val="000000" w:themeColor="text1"/>
          <w:sz w:val="28"/>
          <w:szCs w:val="28"/>
        </w:rPr>
        <w:t xml:space="preserve"> del 1942, che si analizzerà meglio all’interno del capitolo successivo, tuttavia è utile ai fini della trattazione spiegare la tipologia di informazioni. Vi erano informazioni di carattere geografico, ossia la necessità di indicare con precisione l’area in cui si intendeva istituire la nuova missione, facendo in modo che i confini di questa coincidessero con i confini civili dello stato o della provincia</w:t>
      </w:r>
      <w:r w:rsidRPr="00383122">
        <w:rPr>
          <w:rStyle w:val="Rimandonotaapidipagina"/>
          <w:rFonts w:ascii="Times New Roman" w:hAnsi="Times New Roman" w:cs="Times New Roman"/>
          <w:color w:val="000000" w:themeColor="text1"/>
          <w:sz w:val="28"/>
          <w:szCs w:val="28"/>
        </w:rPr>
        <w:footnoteReference w:id="115"/>
      </w:r>
      <w:r w:rsidRPr="00383122">
        <w:rPr>
          <w:rFonts w:ascii="Times New Roman" w:hAnsi="Times New Roman" w:cs="Times New Roman"/>
          <w:color w:val="000000" w:themeColor="text1"/>
          <w:sz w:val="28"/>
          <w:szCs w:val="28"/>
        </w:rPr>
        <w:t>. Informazioni di carattere religioso, che si concretizzavano nella necessità di spiegare come l’istituzione di una nuova missione si potesse collegare alla storia delle missioni cattoliche e anche nella raccolta di informazioni sulle comunità di fedeli autoctoni presenti sul territorio e sulla disponibilità e lo stato delle chiese presenti nel territorio</w:t>
      </w:r>
      <w:r w:rsidRPr="00383122">
        <w:rPr>
          <w:rStyle w:val="Rimandonotaapidipagina"/>
          <w:rFonts w:ascii="Times New Roman" w:hAnsi="Times New Roman" w:cs="Times New Roman"/>
          <w:color w:val="000000" w:themeColor="text1"/>
          <w:sz w:val="28"/>
          <w:szCs w:val="28"/>
        </w:rPr>
        <w:footnoteReference w:id="116"/>
      </w:r>
      <w:r w:rsidRPr="00383122">
        <w:rPr>
          <w:rFonts w:ascii="Times New Roman" w:hAnsi="Times New Roman" w:cs="Times New Roman"/>
          <w:color w:val="000000" w:themeColor="text1"/>
          <w:sz w:val="28"/>
          <w:szCs w:val="28"/>
        </w:rPr>
        <w:t>. Inoltre era importante anche individuare i missionari disponibili, insieme agli aiuti che potevano essere forniti alle missioni dal governo e dalle popolazioni locali</w:t>
      </w:r>
      <w:r w:rsidRPr="00383122">
        <w:rPr>
          <w:rStyle w:val="Rimandonotaapidipagina"/>
          <w:rFonts w:ascii="Times New Roman" w:hAnsi="Times New Roman" w:cs="Times New Roman"/>
          <w:color w:val="000000" w:themeColor="text1"/>
          <w:sz w:val="28"/>
          <w:szCs w:val="28"/>
        </w:rPr>
        <w:footnoteReference w:id="117"/>
      </w:r>
      <w:r w:rsidRPr="00383122">
        <w:rPr>
          <w:rFonts w:ascii="Times New Roman" w:hAnsi="Times New Roman" w:cs="Times New Roman"/>
          <w:color w:val="000000" w:themeColor="text1"/>
          <w:sz w:val="28"/>
          <w:szCs w:val="28"/>
        </w:rPr>
        <w:t>.</w:t>
      </w:r>
    </w:p>
    <w:p w14:paraId="3DBFB70B" w14:textId="77777777" w:rsidR="00383122" w:rsidRPr="00383122" w:rsidRDefault="00383122" w:rsidP="00484F9B">
      <w:pPr>
        <w:pStyle w:val="Paragrafoelenco"/>
        <w:spacing w:after="0" w:line="360" w:lineRule="auto"/>
        <w:ind w:left="680" w:right="340"/>
        <w:jc w:val="both"/>
        <w:rPr>
          <w:rFonts w:ascii="Times New Roman" w:hAnsi="Times New Roman" w:cs="Times New Roman"/>
          <w:color w:val="000000" w:themeColor="text1"/>
          <w:sz w:val="28"/>
          <w:szCs w:val="28"/>
        </w:rPr>
      </w:pPr>
    </w:p>
    <w:p w14:paraId="24CA36F8" w14:textId="36BCE8F9" w:rsidR="00383122" w:rsidRDefault="00383122" w:rsidP="00484F9B">
      <w:pPr>
        <w:pStyle w:val="Paragrafoelenco"/>
        <w:numPr>
          <w:ilvl w:val="1"/>
          <w:numId w:val="8"/>
        </w:numPr>
        <w:spacing w:after="0" w:line="360" w:lineRule="auto"/>
        <w:ind w:left="680" w:right="340"/>
        <w:jc w:val="both"/>
        <w:rPr>
          <w:rFonts w:ascii="Times New Roman" w:hAnsi="Times New Roman" w:cs="Times New Roman"/>
          <w:i/>
          <w:color w:val="000000" w:themeColor="text1"/>
          <w:sz w:val="28"/>
          <w:szCs w:val="28"/>
        </w:rPr>
      </w:pPr>
      <w:r w:rsidRPr="00383122">
        <w:rPr>
          <w:rFonts w:ascii="Times New Roman" w:hAnsi="Times New Roman" w:cs="Times New Roman"/>
          <w:color w:val="000000" w:themeColor="text1"/>
          <w:sz w:val="28"/>
          <w:szCs w:val="28"/>
        </w:rPr>
        <w:t xml:space="preserve"> </w:t>
      </w:r>
      <w:r w:rsidRPr="007D5C80">
        <w:rPr>
          <w:rFonts w:ascii="Times New Roman" w:hAnsi="Times New Roman" w:cs="Times New Roman"/>
          <w:i/>
          <w:color w:val="000000" w:themeColor="text1"/>
          <w:sz w:val="28"/>
          <w:szCs w:val="28"/>
        </w:rPr>
        <w:t>La mutazione dei confini</w:t>
      </w:r>
    </w:p>
    <w:p w14:paraId="08425E38" w14:textId="77777777" w:rsidR="003B11C2" w:rsidRPr="003B11C2" w:rsidRDefault="003B11C2" w:rsidP="00484F9B">
      <w:pPr>
        <w:pStyle w:val="Paragrafoelenco"/>
        <w:spacing w:after="0" w:line="360" w:lineRule="auto"/>
        <w:ind w:left="680" w:right="340"/>
        <w:jc w:val="both"/>
        <w:rPr>
          <w:rFonts w:ascii="Times New Roman" w:hAnsi="Times New Roman" w:cs="Times New Roman"/>
          <w:i/>
          <w:color w:val="000000" w:themeColor="text1"/>
          <w:sz w:val="28"/>
          <w:szCs w:val="28"/>
        </w:rPr>
      </w:pPr>
    </w:p>
    <w:p w14:paraId="06CDDFCA" w14:textId="1CE4ABB2" w:rsidR="003B11C2" w:rsidRPr="003B11C2" w:rsidRDefault="00383122" w:rsidP="00484F9B">
      <w:pPr>
        <w:pStyle w:val="Paragrafoelenco"/>
        <w:numPr>
          <w:ilvl w:val="1"/>
          <w:numId w:val="8"/>
        </w:numPr>
        <w:spacing w:after="0" w:line="360" w:lineRule="auto"/>
        <w:ind w:left="680" w:right="340"/>
        <w:jc w:val="both"/>
        <w:rPr>
          <w:rFonts w:ascii="Times New Roman" w:hAnsi="Times New Roman" w:cs="Times New Roman"/>
          <w:i/>
          <w:color w:val="000000" w:themeColor="text1"/>
          <w:sz w:val="28"/>
          <w:szCs w:val="28"/>
        </w:rPr>
      </w:pPr>
      <w:r w:rsidRPr="00383122">
        <w:rPr>
          <w:rFonts w:ascii="Times New Roman" w:hAnsi="Times New Roman" w:cs="Times New Roman"/>
          <w:color w:val="000000" w:themeColor="text1"/>
          <w:sz w:val="28"/>
          <w:szCs w:val="28"/>
        </w:rPr>
        <w:t xml:space="preserve"> </w:t>
      </w:r>
      <w:r w:rsidRPr="007D5C80">
        <w:rPr>
          <w:rFonts w:ascii="Times New Roman" w:hAnsi="Times New Roman" w:cs="Times New Roman"/>
          <w:i/>
          <w:color w:val="000000" w:themeColor="text1"/>
          <w:sz w:val="28"/>
          <w:szCs w:val="28"/>
        </w:rPr>
        <w:t>Africa</w:t>
      </w:r>
    </w:p>
    <w:p w14:paraId="5B4E4F16"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p>
    <w:p w14:paraId="663CECE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Una volta delineato il significato di circoscrizione ecclesiastica, è necessario analizzare i cambiamenti riguardati i vicariati, le diocesi e le altre strutture tipiche dell’organizzazione periferica di Propaganda Fide. Nel seguente </w:t>
      </w:r>
      <w:r w:rsidRPr="00383122">
        <w:rPr>
          <w:rFonts w:ascii="Times New Roman" w:hAnsi="Times New Roman" w:cs="Times New Roman"/>
          <w:color w:val="000000" w:themeColor="text1"/>
          <w:sz w:val="28"/>
          <w:szCs w:val="28"/>
        </w:rPr>
        <w:lastRenderedPageBreak/>
        <w:t>paragrafo si prenderà in considerazione il continente dell’Africa</w:t>
      </w:r>
      <w:r w:rsidRPr="00383122">
        <w:rPr>
          <w:rStyle w:val="Rimandonotaapidipagina"/>
          <w:rFonts w:ascii="Times New Roman" w:hAnsi="Times New Roman" w:cs="Times New Roman"/>
          <w:color w:val="000000" w:themeColor="text1"/>
          <w:sz w:val="28"/>
          <w:szCs w:val="28"/>
        </w:rPr>
        <w:footnoteReference w:id="118"/>
      </w:r>
      <w:r w:rsidRPr="00383122">
        <w:rPr>
          <w:rFonts w:ascii="Times New Roman" w:hAnsi="Times New Roman" w:cs="Times New Roman"/>
          <w:color w:val="000000" w:themeColor="text1"/>
          <w:sz w:val="28"/>
          <w:szCs w:val="28"/>
        </w:rPr>
        <w:t xml:space="preserve"> e se ne analizzeranno i mutamenti nel lasso di tempo compreso tra 1918 al 1963.</w:t>
      </w:r>
    </w:p>
    <w:p w14:paraId="6951E7CF"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Partendo dall’Africa è possibile notare come già in epoca medievale vi fossero i primi cenni di attività missionaria, principalmente lungo le coste settentrionali, inizialmente come forma di assistenza spirituale per le colonie italiani, fondate dalle repubbliche marinare. In seguito vi furono tentativi di evangelizzazione che vennero portati avanti a più riprese, lungo la zona di Tunisi e del Marocco dai francescani e dai domenicani. </w:t>
      </w:r>
    </w:p>
    <w:p w14:paraId="0636D61B" w14:textId="77777777" w:rsidR="00383122" w:rsidRPr="00383122" w:rsidRDefault="00383122" w:rsidP="00484F9B">
      <w:pPr>
        <w:spacing w:after="0" w:line="360" w:lineRule="auto"/>
        <w:ind w:left="680" w:right="340"/>
        <w:jc w:val="both"/>
        <w:rPr>
          <w:color w:val="000000" w:themeColor="text1"/>
        </w:rPr>
      </w:pPr>
      <w:r w:rsidRPr="00383122">
        <w:rPr>
          <w:rFonts w:ascii="Times New Roman" w:hAnsi="Times New Roman" w:cs="Times New Roman"/>
          <w:color w:val="000000" w:themeColor="text1"/>
          <w:sz w:val="28"/>
          <w:szCs w:val="28"/>
        </w:rPr>
        <w:t>Tuttavia, la chiesa africana ebbe la sua vera rinascita solo nella prima metà del XIX secolo, grazie a diversi fattori. Tra questi si devono annoverare: il frazionamento coloniale del suo territorio tra le diverse nazioni europee, il risveglio dello spirito missionario, tramite anche l’appoggio alla propaganda antischiavista ed infine la fioritura di nuovi istituti missionari specializzati per l’Africa (Società dello spirito santo, Società dei padri bianchi, Missioni africane di Lione in Francia, Missioni africane di Verona e Missioni della Consolata in Italia).</w:t>
      </w:r>
      <w:r w:rsidRPr="00383122">
        <w:rPr>
          <w:color w:val="000000" w:themeColor="text1"/>
        </w:rPr>
        <w:t xml:space="preserve"> </w:t>
      </w:r>
    </w:p>
    <w:p w14:paraId="00C07E7D"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zona dell’Africa settentrionale venne colonizzata dalla Francia, dall’Italia e dalla Spagna, dando vita «alla missione delle Due Guinee, che si estendeva dal Senegal al Capo»</w:t>
      </w:r>
      <w:r w:rsidRPr="00383122">
        <w:rPr>
          <w:rStyle w:val="Rimandonotaapidipagina"/>
          <w:rFonts w:ascii="Times New Roman" w:hAnsi="Times New Roman" w:cs="Times New Roman"/>
          <w:color w:val="000000" w:themeColor="text1"/>
          <w:sz w:val="28"/>
          <w:szCs w:val="28"/>
        </w:rPr>
        <w:footnoteReference w:id="119"/>
      </w:r>
      <w:r w:rsidRPr="00383122">
        <w:rPr>
          <w:rFonts w:ascii="Times New Roman" w:hAnsi="Times New Roman" w:cs="Times New Roman"/>
          <w:color w:val="000000" w:themeColor="text1"/>
          <w:sz w:val="28"/>
          <w:szCs w:val="28"/>
        </w:rPr>
        <w:t xml:space="preserve">. A tale progetto successivamente lavorarono anche i missionari dello Spirito Santo e quelli di Lione, riuscendo ad estendersi anche nelle zone della Nigeria, della Sierra Leone, del Congo, del Togo e del Camerun. Mentre nella zona dell’Africa centrale, che partiva da Zanzibar, l’attività di evangelizzazione venne portata avanti dai padri dello Spirito Santo, che crearono dei centri in Kenya e dai i padri bianchi del Lavigerie, che si occuparono invece della regione dei grandi laghi: Nyanza, Tanganyica, Nyassa. </w:t>
      </w:r>
    </w:p>
    <w:p w14:paraId="54536E71"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lastRenderedPageBreak/>
        <w:t>Nell’area dell’Africa centrale</w:t>
      </w:r>
      <w:r w:rsidRPr="00383122">
        <w:rPr>
          <w:rStyle w:val="Rimandonotaapidipagina"/>
          <w:rFonts w:ascii="Times New Roman" w:hAnsi="Times New Roman" w:cs="Times New Roman"/>
          <w:color w:val="000000" w:themeColor="text1"/>
          <w:sz w:val="28"/>
          <w:szCs w:val="28"/>
        </w:rPr>
        <w:footnoteReference w:id="120"/>
      </w:r>
      <w:r w:rsidRPr="00383122">
        <w:rPr>
          <w:rFonts w:ascii="Times New Roman" w:hAnsi="Times New Roman" w:cs="Times New Roman"/>
          <w:color w:val="000000" w:themeColor="text1"/>
          <w:sz w:val="28"/>
          <w:szCs w:val="28"/>
        </w:rPr>
        <w:t xml:space="preserve"> vi era la prefettura di Sokode, situata nel Togo francese ed eretta dalla Società per le missioni in Africa il 18 maggio 1937 dalla parte settentrionale del vicariato apostolico del Togo, cui il 14 giugno 1938 fu data la denominazione di Lomé</w:t>
      </w:r>
      <w:r w:rsidRPr="00383122">
        <w:rPr>
          <w:rStyle w:val="Rimandonotaapidipagina"/>
          <w:rFonts w:ascii="Times New Roman" w:hAnsi="Times New Roman" w:cs="Times New Roman"/>
          <w:color w:val="000000" w:themeColor="text1"/>
          <w:sz w:val="28"/>
          <w:szCs w:val="28"/>
        </w:rPr>
        <w:footnoteReference w:id="121"/>
      </w:r>
      <w:r w:rsidRPr="00383122">
        <w:rPr>
          <w:rFonts w:ascii="Times New Roman" w:hAnsi="Times New Roman" w:cs="Times New Roman"/>
          <w:color w:val="000000" w:themeColor="text1"/>
          <w:sz w:val="28"/>
          <w:szCs w:val="28"/>
        </w:rPr>
        <w:t>. Tale vicariato appartenne, fino al 1860, al vicariato apostolico delle Due Guinee, poi a quello del Niamey, da cui fu staccato con l’erezione della prefettura apostolica del Togo (12 aprile 1892), elevata a vicariato apostolico il 16 marzo 1914</w:t>
      </w:r>
      <w:r w:rsidRPr="00383122">
        <w:rPr>
          <w:rStyle w:val="Rimandonotaapidipagina"/>
          <w:rFonts w:ascii="Times New Roman" w:hAnsi="Times New Roman" w:cs="Times New Roman"/>
          <w:color w:val="000000" w:themeColor="text1"/>
          <w:sz w:val="28"/>
          <w:szCs w:val="28"/>
        </w:rPr>
        <w:footnoteReference w:id="122"/>
      </w:r>
      <w:r w:rsidRPr="00383122">
        <w:rPr>
          <w:rFonts w:ascii="Times New Roman" w:hAnsi="Times New Roman" w:cs="Times New Roman"/>
          <w:color w:val="000000" w:themeColor="text1"/>
          <w:sz w:val="28"/>
          <w:szCs w:val="28"/>
        </w:rPr>
        <w:t>.</w:t>
      </w:r>
    </w:p>
    <w:p w14:paraId="17D82647"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Dal 1842 al 1860 il territorio del golfo di Benin, situato sulla costa atlantica dell’Africa, fu sotto la giurisdizione del vicario apostolico delle Due Guinee. Nel 1860 i padri della società delle missioni africane iniziarono l’evangelizzazione della costa di Benin e riuscirono ad ottenere risultati positivi, tanto che nello stesso anno venne eretta la prefettura apostolica di Dahomey, per distacco dal vicariato delle Due Guinee</w:t>
      </w:r>
      <w:r w:rsidRPr="00383122">
        <w:rPr>
          <w:rStyle w:val="Rimandonotaapidipagina"/>
          <w:rFonts w:ascii="Times New Roman" w:hAnsi="Times New Roman" w:cs="Times New Roman"/>
          <w:color w:val="000000" w:themeColor="text1"/>
          <w:sz w:val="28"/>
          <w:szCs w:val="28"/>
        </w:rPr>
        <w:footnoteReference w:id="123"/>
      </w:r>
      <w:r w:rsidRPr="00383122">
        <w:rPr>
          <w:rFonts w:ascii="Times New Roman" w:hAnsi="Times New Roman" w:cs="Times New Roman"/>
          <w:color w:val="000000" w:themeColor="text1"/>
          <w:sz w:val="28"/>
          <w:szCs w:val="28"/>
        </w:rPr>
        <w:t>. Ma nel 1883 fu smembrata la prefettura apostolica di Dahomey, che poi divenne in parte vicariato apostolico di Ouidah, comprendente il territorio ad est del fiume Okpara. Dopo varie rettifiche di confini, avvenute nel 1894, nel 1901 e nel 1926 ebbe il nome di Lamos il 12 gennaio 1943 e il 18 aprile 1950 fu elevata ad arcidiocesi</w:t>
      </w:r>
      <w:r w:rsidRPr="00383122">
        <w:rPr>
          <w:rStyle w:val="Rimandonotaapidipagina"/>
          <w:rFonts w:ascii="Times New Roman" w:hAnsi="Times New Roman" w:cs="Times New Roman"/>
          <w:color w:val="000000" w:themeColor="text1"/>
          <w:sz w:val="28"/>
          <w:szCs w:val="28"/>
        </w:rPr>
        <w:footnoteReference w:id="124"/>
      </w:r>
      <w:r w:rsidRPr="00383122">
        <w:rPr>
          <w:rFonts w:ascii="Times New Roman" w:hAnsi="Times New Roman" w:cs="Times New Roman"/>
          <w:color w:val="000000" w:themeColor="text1"/>
          <w:sz w:val="28"/>
          <w:szCs w:val="28"/>
        </w:rPr>
        <w:t xml:space="preserve">. </w:t>
      </w:r>
    </w:p>
    <w:p w14:paraId="33AEF8DE"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Sempre nell’area del Benin, venne eretta nel 1948 la prefettura apostolica di Parakou, costituita in parte dal territorio distaccato dalla prefettura apostolica di Niamey ed affidata alla società delle missioni africane</w:t>
      </w:r>
      <w:r w:rsidRPr="00383122">
        <w:rPr>
          <w:rStyle w:val="Rimandonotaapidipagina"/>
          <w:rFonts w:ascii="Times New Roman" w:hAnsi="Times New Roman" w:cs="Times New Roman"/>
          <w:color w:val="000000" w:themeColor="text1"/>
          <w:sz w:val="28"/>
          <w:szCs w:val="28"/>
        </w:rPr>
        <w:footnoteReference w:id="125"/>
      </w:r>
      <w:r w:rsidRPr="00383122">
        <w:rPr>
          <w:rFonts w:ascii="Times New Roman" w:hAnsi="Times New Roman" w:cs="Times New Roman"/>
          <w:color w:val="000000" w:themeColor="text1"/>
          <w:sz w:val="28"/>
          <w:szCs w:val="28"/>
        </w:rPr>
        <w:t>.</w:t>
      </w:r>
      <w:r w:rsidRPr="00383122">
        <w:rPr>
          <w:color w:val="000000" w:themeColor="text1"/>
        </w:rPr>
        <w:t xml:space="preserve"> </w:t>
      </w:r>
      <w:r w:rsidRPr="00383122">
        <w:rPr>
          <w:rFonts w:ascii="Times New Roman" w:hAnsi="Times New Roman" w:cs="Times New Roman"/>
          <w:color w:val="000000" w:themeColor="text1"/>
          <w:sz w:val="28"/>
          <w:szCs w:val="28"/>
        </w:rPr>
        <w:t>Tale prefettura</w:t>
      </w:r>
      <w:r w:rsidRPr="00383122">
        <w:rPr>
          <w:color w:val="000000" w:themeColor="text1"/>
        </w:rPr>
        <w:t xml:space="preserve"> </w:t>
      </w:r>
      <w:r w:rsidRPr="00383122">
        <w:rPr>
          <w:rFonts w:ascii="Times New Roman" w:hAnsi="Times New Roman" w:cs="Times New Roman"/>
          <w:color w:val="000000" w:themeColor="text1"/>
          <w:sz w:val="28"/>
          <w:szCs w:val="28"/>
        </w:rPr>
        <w:t xml:space="preserve">comprendeva la parte settentrionale della colonia di Dahomey, cioè i distretti civili di Djougou, Natitingou e Kandi e confinava a sud con il vicariato </w:t>
      </w:r>
      <w:r w:rsidRPr="00383122">
        <w:rPr>
          <w:rFonts w:ascii="Times New Roman" w:hAnsi="Times New Roman" w:cs="Times New Roman"/>
          <w:color w:val="000000" w:themeColor="text1"/>
          <w:sz w:val="28"/>
          <w:szCs w:val="28"/>
        </w:rPr>
        <w:lastRenderedPageBreak/>
        <w:t>apostolico di Quidah, ad ovest con il Togo, a nord con la prefettura apostolica di Niamey e ad est con la Nigeria. Con decreto del 13 maggio 1948 si ebbe una modifica di confini tra la nuova prefettura apostolica di Parakou e il vicariato apostolico di Dahomey, che cambiò il nome in quello di Quidah</w:t>
      </w:r>
      <w:r w:rsidRPr="00383122">
        <w:rPr>
          <w:rStyle w:val="Rimandonotaapidipagina"/>
          <w:rFonts w:ascii="Times New Roman" w:hAnsi="Times New Roman" w:cs="Times New Roman"/>
          <w:color w:val="000000" w:themeColor="text1"/>
          <w:sz w:val="28"/>
          <w:szCs w:val="28"/>
        </w:rPr>
        <w:footnoteReference w:id="126"/>
      </w:r>
      <w:r w:rsidRPr="00383122">
        <w:rPr>
          <w:rFonts w:ascii="Times New Roman" w:hAnsi="Times New Roman" w:cs="Times New Roman"/>
          <w:color w:val="000000" w:themeColor="text1"/>
          <w:sz w:val="28"/>
          <w:szCs w:val="28"/>
        </w:rPr>
        <w:t xml:space="preserve">. </w:t>
      </w:r>
    </w:p>
    <w:p w14:paraId="780ED00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Ad ovest del Benin venne eretto nel 1950 il vicariato apostolico di Monrovia, nome assunto dall’antico vicariato apostolico di Liberia, dopo la divisione (2 febbraio 1950) del suo territorio per erigere la prefettura apostolica di Cape Palmas.</w:t>
      </w:r>
    </w:p>
    <w:p w14:paraId="6B4FD2D7"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Il confine è segnato dal fiume Negben o Cestos</w:t>
      </w:r>
      <w:r w:rsidRPr="00383122">
        <w:rPr>
          <w:rStyle w:val="Rimandonotaapidipagina"/>
          <w:rFonts w:ascii="Times New Roman" w:hAnsi="Times New Roman" w:cs="Times New Roman"/>
          <w:color w:val="000000" w:themeColor="text1"/>
          <w:sz w:val="28"/>
          <w:szCs w:val="28"/>
        </w:rPr>
        <w:footnoteReference w:id="127"/>
      </w:r>
      <w:r w:rsidRPr="00383122">
        <w:rPr>
          <w:rFonts w:ascii="Times New Roman" w:hAnsi="Times New Roman" w:cs="Times New Roman"/>
          <w:color w:val="000000" w:themeColor="text1"/>
          <w:sz w:val="28"/>
          <w:szCs w:val="28"/>
        </w:rPr>
        <w:t>.</w:t>
      </w:r>
    </w:p>
    <w:p w14:paraId="0E2A26D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Nell’Africa nord-orientale le missioni, si svilupparono principalmente in Egitto ed in Etiopia, con tentativi anche nel Sudan anglo-egiziano. L’attività di evangelizzazione in queste aree fu molto difficile, soprattutto a causa dell’intransigenza degli abitanti mussulmani.</w:t>
      </w:r>
    </w:p>
    <w:p w14:paraId="0220FF91" w14:textId="77777777" w:rsidR="00383122" w:rsidRPr="00383122" w:rsidRDefault="00383122" w:rsidP="00484F9B">
      <w:pPr>
        <w:spacing w:after="0" w:line="360" w:lineRule="auto"/>
        <w:ind w:left="680" w:right="340"/>
        <w:jc w:val="both"/>
        <w:rPr>
          <w:color w:val="000000" w:themeColor="text1"/>
        </w:rPr>
      </w:pPr>
      <w:r w:rsidRPr="00383122">
        <w:rPr>
          <w:rFonts w:ascii="Times New Roman" w:hAnsi="Times New Roman" w:cs="Times New Roman"/>
          <w:color w:val="000000" w:themeColor="text1"/>
          <w:sz w:val="28"/>
          <w:szCs w:val="28"/>
        </w:rPr>
        <w:t>Tali difficoltà furono evidenti nel territorio di Ghardaia del Sahara, un’area circoscritta tra il sud dell’Algeria ed il Sahara, e la cui evangelizzazione era stata affidata ai padri bianchi.</w:t>
      </w:r>
      <w:r w:rsidRPr="00383122">
        <w:rPr>
          <w:color w:val="000000" w:themeColor="text1"/>
        </w:rPr>
        <w:t xml:space="preserve"> </w:t>
      </w:r>
    </w:p>
    <w:p w14:paraId="46F92203"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color w:val="000000" w:themeColor="text1"/>
          <w:sz w:val="28"/>
          <w:szCs w:val="28"/>
        </w:rPr>
        <w:t>Esisteva  una prefettura, che nel 1891 venne elevata a vicariato apostolico e dal suo territorio fu distaccata il 19 luglio 1901 la prefettura apostolica di Ghardaia e il vicariato apostolico del Sahara, che prese allora il nome di vicariato apostolico di Sahara del Sudan francese, il quale poi nel 1921 fu diviso nei vicariati apostolici di Bamako e di Ouagadougou (solo nel 1955 tale vicariato divenne un arcidiocesi)</w:t>
      </w:r>
      <w:r w:rsidRPr="00383122">
        <w:rPr>
          <w:rStyle w:val="Rimandonotaapidipagina"/>
          <w:rFonts w:ascii="Times New Roman" w:hAnsi="Times New Roman" w:cs="Times New Roman"/>
          <w:color w:val="000000" w:themeColor="text1"/>
          <w:sz w:val="28"/>
          <w:szCs w:val="28"/>
        </w:rPr>
        <w:footnoteReference w:id="128"/>
      </w:r>
      <w:r w:rsidRPr="00383122">
        <w:rPr>
          <w:rFonts w:ascii="Times New Roman" w:hAnsi="Times New Roman" w:cs="Times New Roman"/>
          <w:color w:val="000000" w:themeColor="text1"/>
          <w:sz w:val="28"/>
          <w:szCs w:val="28"/>
        </w:rPr>
        <w:t xml:space="preserve">. Questo perché vi era spesso la tendenza a modificare i nomi delle delegazioni, con i nomi dei territori dove il vicario aveva la propria sede. Successivamente nel 1942 vi fu l’erezione </w:t>
      </w:r>
      <w:r w:rsidRPr="00383122">
        <w:rPr>
          <w:rFonts w:ascii="Times New Roman" w:hAnsi="Times New Roman" w:cs="Times New Roman"/>
          <w:color w:val="000000" w:themeColor="text1"/>
          <w:sz w:val="28"/>
          <w:szCs w:val="28"/>
        </w:rPr>
        <w:lastRenderedPageBreak/>
        <w:t>della prefettura apostolica di Gao, nell’Africa occidentale francese, dai distaccamenti dei vicariati di Ouagadougou, politicamente legato ai territori dell'Algeria, di Bamako, e di Bobo-Dioulasso. Tale area venne affidata ai padri bianchi</w:t>
      </w:r>
      <w:r w:rsidRPr="00383122">
        <w:rPr>
          <w:rStyle w:val="Rimandonotaapidipagina"/>
          <w:rFonts w:ascii="Times New Roman" w:hAnsi="Times New Roman" w:cs="Times New Roman"/>
          <w:color w:val="000000" w:themeColor="text1"/>
          <w:sz w:val="28"/>
          <w:szCs w:val="28"/>
        </w:rPr>
        <w:footnoteReference w:id="129"/>
      </w:r>
      <w:r w:rsidRPr="00383122">
        <w:rPr>
          <w:rFonts w:ascii="Times New Roman" w:hAnsi="Times New Roman" w:cs="Times New Roman"/>
          <w:color w:val="000000" w:themeColor="text1"/>
          <w:sz w:val="28"/>
          <w:szCs w:val="28"/>
        </w:rPr>
        <w:t>. Nel 1958 vi fu una ridefinizione di confini tra l’</w:t>
      </w:r>
      <w:r w:rsidRPr="00383122">
        <w:rPr>
          <w:rFonts w:ascii="Times New Roman" w:hAnsi="Times New Roman" w:cs="Times New Roman"/>
          <w:bCs/>
          <w:color w:val="000000" w:themeColor="text1"/>
          <w:sz w:val="28"/>
          <w:szCs w:val="28"/>
          <w:shd w:val="clear" w:color="auto" w:fill="FFFFFF"/>
        </w:rPr>
        <w:t>arcidiocesi di Ouagadougou e la diocesi di Koudougou, entrambe situate nella zona del Burkina Faso, poiché il distretto civile del Sierra Leone che precedentemente apparteneva ad Ouagadougou passò alla diocesi di Koudougou</w:t>
      </w:r>
      <w:r w:rsidRPr="00383122">
        <w:rPr>
          <w:rStyle w:val="Rimandonotaapidipagina"/>
          <w:rFonts w:ascii="Times New Roman" w:hAnsi="Times New Roman" w:cs="Times New Roman"/>
          <w:bCs/>
          <w:color w:val="000000" w:themeColor="text1"/>
          <w:sz w:val="28"/>
          <w:szCs w:val="28"/>
          <w:shd w:val="clear" w:color="auto" w:fill="FFFFFF"/>
        </w:rPr>
        <w:footnoteReference w:id="130"/>
      </w:r>
      <w:r w:rsidRPr="00383122">
        <w:rPr>
          <w:rFonts w:ascii="Times New Roman" w:hAnsi="Times New Roman" w:cs="Times New Roman"/>
          <w:bCs/>
          <w:color w:val="000000" w:themeColor="text1"/>
          <w:sz w:val="28"/>
          <w:szCs w:val="28"/>
          <w:shd w:val="clear" w:color="auto" w:fill="FFFFFF"/>
        </w:rPr>
        <w:t>.</w:t>
      </w:r>
    </w:p>
    <w:p w14:paraId="39C046FF"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 distribuzione geografica dei nuclei cristiani segnalava come regioni più dense di popolazione cattolica quelle dell’Africa centro-orientale, mentre le regioni con minor numero di cattolici erano quelle dell’Africa settentrionale e nord-orientale.</w:t>
      </w:r>
      <w:r w:rsidRPr="00383122">
        <w:rPr>
          <w:color w:val="000000" w:themeColor="text1"/>
        </w:rPr>
        <w:t xml:space="preserve"> </w:t>
      </w:r>
      <w:r w:rsidRPr="00383122">
        <w:rPr>
          <w:rFonts w:ascii="Times New Roman" w:hAnsi="Times New Roman" w:cs="Times New Roman"/>
          <w:color w:val="000000" w:themeColor="text1"/>
          <w:sz w:val="28"/>
          <w:szCs w:val="28"/>
        </w:rPr>
        <w:t>Le missioni erano raggruppate in tre grandi unità ecclesiastiche (delegazioni). Ogni delegazione, pur essendo dipendente da Propaganda fide, gestiva un gruppo di missioni, aventi una propria omogeneità. Tali gruppi erano quello dell’Africa meridionale (1922), quello dell’Africa orientale e occidentale britannica (1930) e quella del Congo belga e Ruanda (1930). Queste delegazioni, pur non avendo valore diplomatico, furono fondamentali per creare un collegamento su interessi comuni tra le missioni ed i governi coloniali.</w:t>
      </w:r>
    </w:p>
    <w:p w14:paraId="20707650"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Partendo dalla zona del Congo Belga</w:t>
      </w:r>
      <w:r w:rsidRPr="00383122">
        <w:rPr>
          <w:rStyle w:val="Rimandonotaapidipagina"/>
          <w:rFonts w:ascii="Times New Roman" w:hAnsi="Times New Roman" w:cs="Times New Roman"/>
          <w:color w:val="000000" w:themeColor="text1"/>
          <w:sz w:val="28"/>
          <w:szCs w:val="28"/>
        </w:rPr>
        <w:footnoteReference w:id="131"/>
      </w:r>
      <w:r w:rsidRPr="00383122">
        <w:rPr>
          <w:rFonts w:ascii="Times New Roman" w:hAnsi="Times New Roman" w:cs="Times New Roman"/>
          <w:color w:val="000000" w:themeColor="text1"/>
          <w:sz w:val="28"/>
          <w:szCs w:val="28"/>
        </w:rPr>
        <w:t xml:space="preserve">, si deve ricordare come tutte le missioni appartenessero al tempo moderno, e prima fra tutte fu quella dei padri bianchi che per impulso del cardinale Lavigerie, attraversato il territorio del Tanganyica, favorirono la creazione del vicariato apostolico del Congo superiore, con residenza a Baudoinville. In seguito venne eretto il vicariato apostolico del Congo indipendente affidato ai missionari detti “di </w:t>
      </w:r>
      <w:r w:rsidRPr="00383122">
        <w:rPr>
          <w:rFonts w:ascii="Times New Roman" w:hAnsi="Times New Roman" w:cs="Times New Roman"/>
          <w:i/>
          <w:color w:val="000000" w:themeColor="text1"/>
          <w:sz w:val="28"/>
          <w:szCs w:val="28"/>
        </w:rPr>
        <w:t>Scheutveld”</w:t>
      </w:r>
      <w:r w:rsidRPr="00383122">
        <w:rPr>
          <w:rFonts w:ascii="Times New Roman" w:hAnsi="Times New Roman" w:cs="Times New Roman"/>
          <w:color w:val="000000" w:themeColor="text1"/>
          <w:sz w:val="28"/>
          <w:szCs w:val="28"/>
        </w:rPr>
        <w:t xml:space="preserve">, i quali concentrarono le loro attività a Leopoldville, nella parte occidentale del Congo belga. Nel 1923 Propaganda fide ratificò la richiesta di </w:t>
      </w:r>
      <w:r w:rsidRPr="00383122">
        <w:rPr>
          <w:rFonts w:ascii="Times New Roman" w:hAnsi="Times New Roman" w:cs="Times New Roman"/>
          <w:color w:val="000000" w:themeColor="text1"/>
          <w:sz w:val="28"/>
          <w:szCs w:val="28"/>
        </w:rPr>
        <w:lastRenderedPageBreak/>
        <w:t xml:space="preserve">delineare un confine netto tra il vicariato apostolico di Leopoldville, affidato ai missionari di </w:t>
      </w:r>
      <w:r w:rsidRPr="00383122">
        <w:rPr>
          <w:rFonts w:ascii="Times New Roman" w:hAnsi="Times New Roman" w:cs="Times New Roman"/>
          <w:i/>
          <w:color w:val="000000" w:themeColor="text1"/>
          <w:sz w:val="28"/>
          <w:szCs w:val="28"/>
        </w:rPr>
        <w:t>Scheutveld</w:t>
      </w:r>
      <w:r w:rsidRPr="00383122">
        <w:rPr>
          <w:rFonts w:ascii="Times New Roman" w:hAnsi="Times New Roman" w:cs="Times New Roman"/>
          <w:color w:val="000000" w:themeColor="text1"/>
          <w:sz w:val="28"/>
          <w:szCs w:val="28"/>
        </w:rPr>
        <w:t>, e quello del Matadi, situato vicino alle foci del fiume Congo ed affidato ai redentoristi</w:t>
      </w:r>
      <w:r w:rsidRPr="00383122">
        <w:rPr>
          <w:rStyle w:val="Rimandonotaapidipagina"/>
          <w:rFonts w:ascii="Times New Roman" w:hAnsi="Times New Roman" w:cs="Times New Roman"/>
          <w:color w:val="000000" w:themeColor="text1"/>
          <w:sz w:val="28"/>
          <w:szCs w:val="28"/>
        </w:rPr>
        <w:footnoteReference w:id="132"/>
      </w:r>
      <w:r w:rsidRPr="00383122">
        <w:rPr>
          <w:rFonts w:ascii="Times New Roman" w:hAnsi="Times New Roman" w:cs="Times New Roman"/>
          <w:color w:val="000000" w:themeColor="text1"/>
          <w:sz w:val="28"/>
          <w:szCs w:val="28"/>
        </w:rPr>
        <w:t>. La questione si pose grazie alla regione del Mayumba, appartenente nella parte nord-orientale al vicariato di Leopoldville, ma allo stesso tempo collegata anche al vicariato di Matadi, senza confini precisi</w:t>
      </w:r>
      <w:r w:rsidRPr="00383122">
        <w:rPr>
          <w:rStyle w:val="Rimandonotaapidipagina"/>
          <w:rFonts w:ascii="Times New Roman" w:hAnsi="Times New Roman" w:cs="Times New Roman"/>
          <w:color w:val="000000" w:themeColor="text1"/>
          <w:sz w:val="28"/>
          <w:szCs w:val="28"/>
        </w:rPr>
        <w:footnoteReference w:id="133"/>
      </w:r>
      <w:r w:rsidRPr="00383122">
        <w:rPr>
          <w:rFonts w:ascii="Times New Roman" w:hAnsi="Times New Roman" w:cs="Times New Roman"/>
          <w:color w:val="000000" w:themeColor="text1"/>
          <w:sz w:val="28"/>
          <w:szCs w:val="28"/>
        </w:rPr>
        <w:t>.Un ulteriore modifica vi fu nel 1939, quando su richiesta del delegato apostolico (P. D. John Delepiane) e di due ordinari si decise di includere tutta l’area del fiume NgudiaBaka  sino al punto in cui sfociava nel fiume Congo, nel vicariato di Matadi, togliendolo da quello di Leopoldville</w:t>
      </w:r>
      <w:r w:rsidRPr="00383122">
        <w:rPr>
          <w:rStyle w:val="Rimandonotaapidipagina"/>
          <w:rFonts w:ascii="Times New Roman" w:hAnsi="Times New Roman" w:cs="Times New Roman"/>
          <w:color w:val="000000" w:themeColor="text1"/>
          <w:sz w:val="28"/>
          <w:szCs w:val="28"/>
        </w:rPr>
        <w:footnoteReference w:id="134"/>
      </w:r>
      <w:r w:rsidRPr="00383122">
        <w:rPr>
          <w:rFonts w:ascii="Times New Roman" w:hAnsi="Times New Roman" w:cs="Times New Roman"/>
          <w:color w:val="000000" w:themeColor="text1"/>
          <w:sz w:val="28"/>
          <w:szCs w:val="28"/>
        </w:rPr>
        <w:t>.</w:t>
      </w:r>
    </w:p>
    <w:p w14:paraId="1FC42726"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p>
    <w:p w14:paraId="431EB153" w14:textId="77777777" w:rsidR="00383122" w:rsidRPr="00383122" w:rsidRDefault="00383122" w:rsidP="00484F9B">
      <w:pPr>
        <w:spacing w:after="0" w:line="360" w:lineRule="auto"/>
        <w:ind w:left="680" w:right="340"/>
        <w:jc w:val="both"/>
        <w:rPr>
          <w:color w:val="000000" w:themeColor="text1"/>
        </w:rPr>
      </w:pPr>
      <w:r w:rsidRPr="00383122">
        <w:rPr>
          <w:rFonts w:ascii="Times New Roman" w:hAnsi="Times New Roman" w:cs="Times New Roman"/>
          <w:color w:val="000000" w:themeColor="text1"/>
          <w:sz w:val="28"/>
          <w:szCs w:val="28"/>
        </w:rPr>
        <w:t xml:space="preserve">Inoltre nel Congo belga, affidato ai missionari di Scheutweld vi era il vicariato apostolico di Lisala. </w:t>
      </w:r>
      <w:r w:rsidRPr="00383122">
        <w:rPr>
          <w:rFonts w:ascii="Times New Roman" w:hAnsi="Times New Roman" w:cs="Times New Roman"/>
          <w:color w:val="000000" w:themeColor="text1"/>
          <w:sz w:val="28"/>
          <w:szCs w:val="28"/>
        </w:rPr>
        <w:tab/>
        <w:t>Questo fu eretto il 3 aprile 1919, con il nome di vicariato apostolico di Nuova Anversa ed inizialmente distaccato dal vicariato apostolico del Congo belga</w:t>
      </w:r>
      <w:r w:rsidRPr="00383122">
        <w:rPr>
          <w:rStyle w:val="Rimandonotaapidipagina"/>
          <w:rFonts w:ascii="Times New Roman" w:hAnsi="Times New Roman" w:cs="Times New Roman"/>
          <w:color w:val="000000" w:themeColor="text1"/>
          <w:sz w:val="28"/>
          <w:szCs w:val="28"/>
        </w:rPr>
        <w:footnoteReference w:id="135"/>
      </w:r>
      <w:r w:rsidRPr="00383122">
        <w:rPr>
          <w:rFonts w:ascii="Times New Roman" w:hAnsi="Times New Roman" w:cs="Times New Roman"/>
          <w:color w:val="000000" w:themeColor="text1"/>
          <w:sz w:val="28"/>
          <w:szCs w:val="28"/>
        </w:rPr>
        <w:t>. Subì modifiche di territorio e di confini per nuove divisioni ed ebbe mutato il nome in quello di vicariato apostolico di Lisala il 27 gennaio 1936, a seguito dell’annessione del vicariato apostolico di Ubangi, situato nella parte nord-orientale del Congo belga e la cui opera di evangelizzazione era stata affidata ai padri cappuccini della provincia belga</w:t>
      </w:r>
      <w:r w:rsidRPr="00383122">
        <w:rPr>
          <w:rStyle w:val="Rimandonotaapidipagina"/>
          <w:rFonts w:ascii="Times New Roman" w:hAnsi="Times New Roman" w:cs="Times New Roman"/>
          <w:color w:val="000000" w:themeColor="text1"/>
          <w:sz w:val="28"/>
          <w:szCs w:val="28"/>
        </w:rPr>
        <w:footnoteReference w:id="136"/>
      </w:r>
      <w:r w:rsidRPr="00383122">
        <w:rPr>
          <w:rFonts w:ascii="Times New Roman" w:hAnsi="Times New Roman" w:cs="Times New Roman"/>
          <w:color w:val="000000" w:themeColor="text1"/>
          <w:sz w:val="28"/>
          <w:szCs w:val="28"/>
        </w:rPr>
        <w:t>.</w:t>
      </w:r>
      <w:r w:rsidRPr="00383122">
        <w:rPr>
          <w:color w:val="000000" w:themeColor="text1"/>
        </w:rPr>
        <w:t xml:space="preserve"> </w:t>
      </w:r>
    </w:p>
    <w:p w14:paraId="004C766E"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Per assicurare la diffusione della fede cattolica nel Congo Belga, vi fu la necessità di cambiare i confini tra il vicariato apostolico del Congo, affidato </w:t>
      </w:r>
      <w:r w:rsidRPr="00383122">
        <w:rPr>
          <w:rFonts w:ascii="Times New Roman" w:hAnsi="Times New Roman" w:cs="Times New Roman"/>
          <w:color w:val="000000" w:themeColor="text1"/>
          <w:sz w:val="28"/>
          <w:szCs w:val="28"/>
        </w:rPr>
        <w:lastRenderedPageBreak/>
        <w:t>ai padri della compagnia di Gesù, e la prefettura apostolica di Ipamu, affidata alla congregazione degli oblati di Maria Immacolata e situata nella parte centro occidentale del Congo</w:t>
      </w:r>
      <w:r w:rsidRPr="00383122">
        <w:rPr>
          <w:rStyle w:val="Rimandonotaapidipagina"/>
          <w:rFonts w:ascii="Times New Roman" w:hAnsi="Times New Roman" w:cs="Times New Roman"/>
          <w:color w:val="000000" w:themeColor="text1"/>
          <w:sz w:val="28"/>
          <w:szCs w:val="28"/>
        </w:rPr>
        <w:footnoteReference w:id="137"/>
      </w:r>
      <w:r w:rsidRPr="00383122">
        <w:rPr>
          <w:rFonts w:ascii="Times New Roman" w:hAnsi="Times New Roman" w:cs="Times New Roman"/>
          <w:color w:val="000000" w:themeColor="text1"/>
          <w:sz w:val="28"/>
          <w:szCs w:val="28"/>
        </w:rPr>
        <w:t>. Nel 1939, con decisione unanime del delegato apostolico del Congo e di due ordinari coinvolti, si decise che parte del territorio, situato sulla sponda sinistra del fiume Kamtsha e appartenente alla prefettura di Ipamu fosse incluso nel vicariato del Congo e che la parte compresa tra i fiumi Libongo e Dule del vicariato del Congo fosse inclusa all’interno della prefettura di Ipamu</w:t>
      </w:r>
      <w:r w:rsidRPr="00383122">
        <w:rPr>
          <w:rStyle w:val="Rimandonotaapidipagina"/>
          <w:rFonts w:ascii="Times New Roman" w:hAnsi="Times New Roman" w:cs="Times New Roman"/>
          <w:color w:val="000000" w:themeColor="text1"/>
          <w:sz w:val="28"/>
          <w:szCs w:val="28"/>
        </w:rPr>
        <w:footnoteReference w:id="138"/>
      </w:r>
      <w:r w:rsidRPr="00383122">
        <w:rPr>
          <w:rFonts w:ascii="Times New Roman" w:hAnsi="Times New Roman" w:cs="Times New Roman"/>
          <w:color w:val="000000" w:themeColor="text1"/>
          <w:sz w:val="28"/>
          <w:szCs w:val="28"/>
        </w:rPr>
        <w:t>.</w:t>
      </w:r>
    </w:p>
    <w:p w14:paraId="6B30B1C2"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Il vicariato apostolico di Kisantu</w:t>
      </w:r>
      <w:r w:rsidRPr="00383122">
        <w:rPr>
          <w:color w:val="000000" w:themeColor="text1"/>
        </w:rPr>
        <w:t xml:space="preserve">, </w:t>
      </w:r>
      <w:r w:rsidRPr="00383122">
        <w:rPr>
          <w:rFonts w:ascii="Times New Roman" w:hAnsi="Times New Roman" w:cs="Times New Roman"/>
          <w:color w:val="000000" w:themeColor="text1"/>
          <w:sz w:val="28"/>
          <w:szCs w:val="28"/>
        </w:rPr>
        <w:t>situato nella parte sud-occidentale del Congo Belga e affidato ai gesuiti, fu eretto nell’ aprile 1931 con territorio staccato dal vicariato apostolico del Congo. Nel 1952 tale vicariato vide la ridefinizione dei propri confini in relazione a quello di Coquilhatville, situato sulla linea dell’equatore ed il cui appellativo derivava da Coquilhat, fondatore della città del Congo belga</w:t>
      </w:r>
      <w:r w:rsidRPr="00383122">
        <w:rPr>
          <w:rStyle w:val="Rimandonotaapidipagina"/>
          <w:rFonts w:ascii="Times New Roman" w:hAnsi="Times New Roman" w:cs="Times New Roman"/>
          <w:color w:val="000000" w:themeColor="text1"/>
          <w:sz w:val="28"/>
          <w:szCs w:val="28"/>
        </w:rPr>
        <w:footnoteReference w:id="139"/>
      </w:r>
      <w:r w:rsidRPr="00383122">
        <w:rPr>
          <w:rFonts w:ascii="Times New Roman" w:hAnsi="Times New Roman" w:cs="Times New Roman"/>
          <w:color w:val="000000" w:themeColor="text1"/>
          <w:sz w:val="28"/>
          <w:szCs w:val="28"/>
        </w:rPr>
        <w:t>. La zona compresa tra le sorgenti del fiume Mfuna e le confluenze del fiume Ndjili e Didingi, fino ai nuovi confini del vicariato del Congo spettava al   vicariato di Kisantu</w:t>
      </w:r>
      <w:r w:rsidRPr="00383122">
        <w:rPr>
          <w:rStyle w:val="Rimandonotaapidipagina"/>
          <w:rFonts w:ascii="Times New Roman" w:hAnsi="Times New Roman" w:cs="Times New Roman"/>
          <w:color w:val="000000" w:themeColor="text1"/>
          <w:sz w:val="28"/>
          <w:szCs w:val="28"/>
        </w:rPr>
        <w:footnoteReference w:id="140"/>
      </w:r>
      <w:r w:rsidRPr="00383122">
        <w:rPr>
          <w:rFonts w:ascii="Times New Roman" w:hAnsi="Times New Roman" w:cs="Times New Roman"/>
          <w:color w:val="000000" w:themeColor="text1"/>
          <w:sz w:val="28"/>
          <w:szCs w:val="28"/>
        </w:rPr>
        <w:t>. Mentre l’area compresa tra la parte superiore del ruscello Lonkoi a nord e il ruscello Dwali verso est, fino al ruscello di Botifili spettava al vicariato di Coquilhatville</w:t>
      </w:r>
      <w:r w:rsidRPr="00383122">
        <w:rPr>
          <w:rStyle w:val="Rimandonotaapidipagina"/>
          <w:rFonts w:ascii="Times New Roman" w:hAnsi="Times New Roman" w:cs="Times New Roman"/>
          <w:color w:val="000000" w:themeColor="text1"/>
          <w:sz w:val="28"/>
          <w:szCs w:val="28"/>
        </w:rPr>
        <w:footnoteReference w:id="141"/>
      </w:r>
      <w:r w:rsidRPr="00383122">
        <w:rPr>
          <w:rFonts w:ascii="Times New Roman" w:hAnsi="Times New Roman" w:cs="Times New Roman"/>
          <w:color w:val="000000" w:themeColor="text1"/>
          <w:sz w:val="28"/>
          <w:szCs w:val="28"/>
        </w:rPr>
        <w:t>.</w:t>
      </w:r>
    </w:p>
    <w:p w14:paraId="52267972"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Mentre nella parte nord-orientale del Congo nel 1952 vi fu una ridefinizione dei confini tra il vicariato di Stanleyville, che era affidato alla congregazione dei sacerdoti del S. Cuore di Gesù ed il vicariato di Kivu, situato nella parte orientale del Congo tra il lago Kivu e Tanganyica ed affidata ai padri bianchi. Tale ridefinizione, dovuta al fatto che alcune tribù erano legate al vicariato di </w:t>
      </w:r>
      <w:r w:rsidRPr="00383122">
        <w:rPr>
          <w:rFonts w:ascii="Times New Roman" w:hAnsi="Times New Roman" w:cs="Times New Roman"/>
          <w:color w:val="000000" w:themeColor="text1"/>
          <w:sz w:val="28"/>
          <w:szCs w:val="28"/>
        </w:rPr>
        <w:lastRenderedPageBreak/>
        <w:t xml:space="preserve">Stanleyville implicò il passaggio di alcuni territori del Kivu nel  suddetto vicariato </w:t>
      </w:r>
      <w:r w:rsidRPr="00383122">
        <w:rPr>
          <w:rStyle w:val="Rimandonotaapidipagina"/>
          <w:rFonts w:ascii="Times New Roman" w:hAnsi="Times New Roman" w:cs="Times New Roman"/>
          <w:color w:val="000000" w:themeColor="text1"/>
          <w:sz w:val="28"/>
          <w:szCs w:val="28"/>
        </w:rPr>
        <w:footnoteReference w:id="142"/>
      </w:r>
      <w:r w:rsidRPr="00383122">
        <w:rPr>
          <w:rFonts w:ascii="Times New Roman" w:hAnsi="Times New Roman" w:cs="Times New Roman"/>
          <w:color w:val="000000" w:themeColor="text1"/>
          <w:sz w:val="28"/>
          <w:szCs w:val="28"/>
        </w:rPr>
        <w:t>. Stanleyville subì ulteriori cambiamenti nel 1958, quando il territorio situato sulla sponda nord del fiume Linda, fino ai confini del vicariato di Stanleyville passò al vicariato di Wamba, che era stato eretto nel 1949 dalla divisone del vicariato di Stanleyville</w:t>
      </w:r>
      <w:r w:rsidRPr="00383122">
        <w:rPr>
          <w:rStyle w:val="Rimandonotaapidipagina"/>
          <w:rFonts w:ascii="Times New Roman" w:hAnsi="Times New Roman" w:cs="Times New Roman"/>
          <w:color w:val="000000" w:themeColor="text1"/>
          <w:sz w:val="28"/>
          <w:szCs w:val="28"/>
        </w:rPr>
        <w:footnoteReference w:id="143"/>
      </w:r>
      <w:r w:rsidRPr="00383122">
        <w:rPr>
          <w:rFonts w:ascii="Times New Roman" w:hAnsi="Times New Roman" w:cs="Times New Roman"/>
          <w:color w:val="000000" w:themeColor="text1"/>
          <w:sz w:val="28"/>
          <w:szCs w:val="28"/>
        </w:rPr>
        <w:t>.</w:t>
      </w:r>
    </w:p>
    <w:p w14:paraId="4D517E9C"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Nella zona di Kivu, vi era un persistente atteggiamento anticlericale, che nel corso del tempo portò alla divisione del territorio in circoscrizione ecclesiastiche, per favorire l’opera di evangelizzazione</w:t>
      </w:r>
      <w:r w:rsidRPr="00383122">
        <w:rPr>
          <w:rStyle w:val="Rimandonotaapidipagina"/>
          <w:rFonts w:ascii="Times New Roman" w:hAnsi="Times New Roman" w:cs="Times New Roman"/>
          <w:color w:val="000000" w:themeColor="text1"/>
          <w:sz w:val="28"/>
          <w:szCs w:val="28"/>
        </w:rPr>
        <w:footnoteReference w:id="144"/>
      </w:r>
      <w:r w:rsidRPr="00383122">
        <w:rPr>
          <w:rFonts w:ascii="Times New Roman" w:hAnsi="Times New Roman" w:cs="Times New Roman"/>
          <w:color w:val="000000" w:themeColor="text1"/>
          <w:sz w:val="28"/>
          <w:szCs w:val="28"/>
        </w:rPr>
        <w:t xml:space="preserve">. Proprio per questo oltre ai cambiamenti di confini tra i vicariati vi erano anche scambi o cambiamenti sulle finalità da perseguire, sulla base dell’atteggiamento delle tribù e la necessità di garantire il successo dell’opera di evangelizzazione. </w:t>
      </w:r>
    </w:p>
    <w:p w14:paraId="36E7CA48"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Basti pensare a quando nel 1952 vi fu</w:t>
      </w:r>
      <w:r w:rsidRPr="00383122">
        <w:rPr>
          <w:color w:val="000000" w:themeColor="text1"/>
        </w:rPr>
        <w:t xml:space="preserve"> </w:t>
      </w:r>
      <w:r w:rsidRPr="00383122">
        <w:rPr>
          <w:rFonts w:ascii="Times New Roman" w:hAnsi="Times New Roman" w:cs="Times New Roman"/>
          <w:color w:val="000000" w:themeColor="text1"/>
          <w:sz w:val="28"/>
          <w:szCs w:val="28"/>
        </w:rPr>
        <w:t>uno scambio di finalità</w:t>
      </w:r>
      <w:r w:rsidRPr="00383122">
        <w:rPr>
          <w:color w:val="000000" w:themeColor="text1"/>
        </w:rPr>
        <w:t xml:space="preserve"> </w:t>
      </w:r>
      <w:r w:rsidRPr="00383122">
        <w:rPr>
          <w:rFonts w:ascii="Times New Roman" w:hAnsi="Times New Roman" w:cs="Times New Roman"/>
          <w:color w:val="000000" w:themeColor="text1"/>
          <w:sz w:val="28"/>
          <w:szCs w:val="28"/>
        </w:rPr>
        <w:t>tra il vicariato apostolico di Luluabourg, affidato ai padri della congregazione del cuore immacolato di Maria, e quello di  Tshumbe, affidato ai padri della congregazione della santissima croce</w:t>
      </w:r>
      <w:r w:rsidRPr="00383122">
        <w:rPr>
          <w:rStyle w:val="Rimandonotaapidipagina"/>
          <w:rFonts w:ascii="Times New Roman" w:hAnsi="Times New Roman" w:cs="Times New Roman"/>
          <w:color w:val="000000" w:themeColor="text1"/>
          <w:sz w:val="28"/>
          <w:szCs w:val="28"/>
        </w:rPr>
        <w:footnoteReference w:id="145"/>
      </w:r>
      <w:r w:rsidRPr="00383122">
        <w:rPr>
          <w:rFonts w:ascii="Times New Roman" w:hAnsi="Times New Roman" w:cs="Times New Roman"/>
          <w:color w:val="000000" w:themeColor="text1"/>
          <w:sz w:val="28"/>
          <w:szCs w:val="28"/>
        </w:rPr>
        <w:t xml:space="preserve">. Successivamente nel 1954 venne eretto il vicariato apostolico di Kabinda, </w:t>
      </w:r>
      <w:r w:rsidRPr="00383122">
        <w:rPr>
          <w:rFonts w:ascii="Times New Roman" w:hAnsi="Times New Roman" w:cs="Times New Roman"/>
          <w:color w:val="000000" w:themeColor="text1"/>
          <w:sz w:val="28"/>
          <w:szCs w:val="28"/>
          <w:shd w:val="clear" w:color="auto" w:fill="FFFFFF"/>
        </w:rPr>
        <w:t xml:space="preserve">ricavandone il territorio dal vicariato apostolico di Luluabourg, situato nella parte centro meridionale del Congo belga e nato inizialmente come missione </w:t>
      </w:r>
      <w:r w:rsidRPr="00383122">
        <w:rPr>
          <w:rFonts w:ascii="Times New Roman" w:hAnsi="Times New Roman" w:cs="Times New Roman"/>
          <w:i/>
          <w:color w:val="000000" w:themeColor="text1"/>
          <w:sz w:val="28"/>
          <w:szCs w:val="28"/>
          <w:shd w:val="clear" w:color="auto" w:fill="FFFFFF"/>
        </w:rPr>
        <w:t>sui iuris</w:t>
      </w:r>
      <w:r w:rsidRPr="00383122">
        <w:rPr>
          <w:rStyle w:val="Rimandonotaapidipagina"/>
          <w:rFonts w:ascii="Times New Roman" w:hAnsi="Times New Roman" w:cs="Times New Roman"/>
          <w:i/>
          <w:color w:val="000000" w:themeColor="text1"/>
          <w:sz w:val="28"/>
          <w:szCs w:val="28"/>
          <w:shd w:val="clear" w:color="auto" w:fill="FFFFFF"/>
        </w:rPr>
        <w:footnoteReference w:id="146"/>
      </w:r>
      <w:r w:rsidRPr="00383122">
        <w:rPr>
          <w:rFonts w:ascii="Times New Roman" w:hAnsi="Times New Roman" w:cs="Times New Roman"/>
          <w:color w:val="000000" w:themeColor="text1"/>
          <w:sz w:val="28"/>
          <w:szCs w:val="28"/>
          <w:shd w:val="clear" w:color="auto" w:fill="FFFFFF"/>
        </w:rPr>
        <w:t xml:space="preserve">. </w:t>
      </w:r>
      <w:r w:rsidRPr="00383122">
        <w:rPr>
          <w:rFonts w:ascii="Times New Roman" w:hAnsi="Times New Roman" w:cs="Times New Roman"/>
          <w:color w:val="000000" w:themeColor="text1"/>
          <w:sz w:val="28"/>
          <w:szCs w:val="28"/>
        </w:rPr>
        <w:t xml:space="preserve">Nello stesso anno venne eretto anche il vicariato di </w:t>
      </w:r>
      <w:r w:rsidRPr="00383122">
        <w:rPr>
          <w:rFonts w:ascii="Times New Roman" w:hAnsi="Times New Roman" w:cs="Times New Roman"/>
          <w:bCs/>
          <w:color w:val="000000" w:themeColor="text1"/>
          <w:sz w:val="28"/>
          <w:szCs w:val="28"/>
          <w:shd w:val="clear" w:color="auto" w:fill="FFFFFF"/>
        </w:rPr>
        <w:t>Costermansville</w:t>
      </w:r>
      <w:r w:rsidRPr="00383122">
        <w:rPr>
          <w:rFonts w:ascii="Arial" w:hAnsi="Arial" w:cs="Arial"/>
          <w:color w:val="000000" w:themeColor="text1"/>
          <w:sz w:val="21"/>
          <w:szCs w:val="21"/>
          <w:shd w:val="clear" w:color="auto" w:fill="FFFFFF"/>
        </w:rPr>
        <w:t xml:space="preserve">, </w:t>
      </w:r>
      <w:r w:rsidRPr="00383122">
        <w:rPr>
          <w:rFonts w:ascii="Times New Roman" w:hAnsi="Times New Roman" w:cs="Times New Roman"/>
          <w:color w:val="000000" w:themeColor="text1"/>
          <w:sz w:val="28"/>
          <w:szCs w:val="28"/>
          <w:shd w:val="clear" w:color="auto" w:fill="FFFFFF"/>
        </w:rPr>
        <w:t>situato sulla riva del lago Kivu e affidato ai padri bianchi mutò il proprio nome in vicariato apostolico di Bukavu</w:t>
      </w:r>
      <w:r w:rsidRPr="00383122">
        <w:rPr>
          <w:rStyle w:val="Rimandonotaapidipagina"/>
          <w:rFonts w:ascii="Times New Roman" w:hAnsi="Times New Roman" w:cs="Times New Roman"/>
          <w:color w:val="000000" w:themeColor="text1"/>
          <w:sz w:val="28"/>
          <w:szCs w:val="28"/>
          <w:shd w:val="clear" w:color="auto" w:fill="FFFFFF"/>
        </w:rPr>
        <w:footnoteReference w:id="147"/>
      </w:r>
      <w:r w:rsidRPr="00383122">
        <w:rPr>
          <w:rFonts w:ascii="Times New Roman" w:hAnsi="Times New Roman" w:cs="Times New Roman"/>
          <w:color w:val="000000" w:themeColor="text1"/>
          <w:sz w:val="28"/>
          <w:szCs w:val="28"/>
          <w:shd w:val="clear" w:color="auto" w:fill="FFFFFF"/>
        </w:rPr>
        <w:t>.</w:t>
      </w:r>
    </w:p>
    <w:p w14:paraId="0328DCAE"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lastRenderedPageBreak/>
        <w:t>Nel 1960 vi fu una ridefinizione dei confini tra i vicariati apostolici di Luluabourg e Kabinda, perché i territori di Mundembo e Kaneymba, facenti parte del vicariato di Luluabourg passarono sotto il vicariato di Kabinda</w:t>
      </w:r>
      <w:r w:rsidRPr="00383122">
        <w:rPr>
          <w:rStyle w:val="Rimandonotaapidipagina"/>
          <w:rFonts w:ascii="Times New Roman" w:hAnsi="Times New Roman" w:cs="Times New Roman"/>
          <w:color w:val="000000" w:themeColor="text1"/>
          <w:sz w:val="28"/>
          <w:szCs w:val="28"/>
          <w:shd w:val="clear" w:color="auto" w:fill="FFFFFF"/>
        </w:rPr>
        <w:footnoteReference w:id="148"/>
      </w:r>
      <w:r w:rsidRPr="00383122">
        <w:rPr>
          <w:rFonts w:ascii="Times New Roman" w:hAnsi="Times New Roman" w:cs="Times New Roman"/>
          <w:color w:val="000000" w:themeColor="text1"/>
          <w:sz w:val="28"/>
          <w:szCs w:val="28"/>
          <w:shd w:val="clear" w:color="auto" w:fill="FFFFFF"/>
        </w:rPr>
        <w:t>.</w:t>
      </w:r>
    </w:p>
    <w:p w14:paraId="04BA0940"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p>
    <w:p w14:paraId="70019C8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shd w:val="clear" w:color="auto" w:fill="FFFFFF"/>
        </w:rPr>
        <w:t>A causa dei numerosi smembramenti e dei cambiamenti di confini il nome del vicariato del Congo non corrispondeva più allo stato delle cose, proprio per questo si decise nel 1955 di cambiarne il nome in vicariato apostolico di Kikwit, che era il territorio in cui risiedeva l’ordinario del vicariato</w:t>
      </w:r>
      <w:r w:rsidRPr="00383122">
        <w:rPr>
          <w:rStyle w:val="Rimandonotaapidipagina"/>
          <w:rFonts w:ascii="Times New Roman" w:hAnsi="Times New Roman" w:cs="Times New Roman"/>
          <w:color w:val="000000" w:themeColor="text1"/>
          <w:sz w:val="28"/>
          <w:szCs w:val="28"/>
          <w:shd w:val="clear" w:color="auto" w:fill="FFFFFF"/>
        </w:rPr>
        <w:footnoteReference w:id="149"/>
      </w:r>
      <w:r w:rsidRPr="00383122">
        <w:rPr>
          <w:rFonts w:ascii="Times New Roman" w:hAnsi="Times New Roman" w:cs="Times New Roman"/>
          <w:color w:val="000000" w:themeColor="text1"/>
          <w:sz w:val="28"/>
          <w:szCs w:val="28"/>
          <w:shd w:val="clear" w:color="auto" w:fill="FFFFFF"/>
        </w:rPr>
        <w:t>.</w:t>
      </w:r>
    </w:p>
    <w:p w14:paraId="74F9734A"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Mentre nella parte del Congo francese vi era il vicariato apostolico di Brazzaville, che era la capitale dell’Africa equatoriale francese, sulla destra del Congo, nel punto dove il fiume si allargava, formando lo Stanley Pool</w:t>
      </w:r>
      <w:r w:rsidRPr="00383122">
        <w:rPr>
          <w:rStyle w:val="Rimandonotaapidipagina"/>
          <w:rFonts w:ascii="Times New Roman" w:hAnsi="Times New Roman" w:cs="Times New Roman"/>
          <w:color w:val="000000" w:themeColor="text1"/>
          <w:sz w:val="28"/>
          <w:szCs w:val="28"/>
        </w:rPr>
        <w:footnoteReference w:id="150"/>
      </w:r>
      <w:r w:rsidRPr="00383122">
        <w:rPr>
          <w:rFonts w:ascii="Times New Roman" w:hAnsi="Times New Roman" w:cs="Times New Roman"/>
          <w:color w:val="000000" w:themeColor="text1"/>
          <w:sz w:val="28"/>
          <w:szCs w:val="28"/>
        </w:rPr>
        <w:t>. Tale vicariato venne creato nel 1922, su richiesta di Alexander Le Roy, (superiore generale dell'istituto dello Spirito Santo), dall’antico vicariato del Congo superiore francese (o Ubanghi), creato a sua volta il 14 ottobre 1890, e già in parte, Congo francese (1886)</w:t>
      </w:r>
      <w:r w:rsidRPr="00383122">
        <w:rPr>
          <w:rStyle w:val="Rimandonotaapidipagina"/>
          <w:rFonts w:ascii="Times New Roman" w:hAnsi="Times New Roman" w:cs="Times New Roman"/>
          <w:color w:val="000000" w:themeColor="text1"/>
          <w:sz w:val="28"/>
          <w:szCs w:val="28"/>
        </w:rPr>
        <w:footnoteReference w:id="151"/>
      </w:r>
      <w:r w:rsidRPr="00383122">
        <w:rPr>
          <w:rFonts w:ascii="Times New Roman" w:hAnsi="Times New Roman" w:cs="Times New Roman"/>
          <w:color w:val="000000" w:themeColor="text1"/>
          <w:sz w:val="28"/>
          <w:szCs w:val="28"/>
        </w:rPr>
        <w:t xml:space="preserve">. </w:t>
      </w:r>
    </w:p>
    <w:p w14:paraId="7E619D67"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Sempre nell’area dell’Africa equatoriale francese nacque anche il vicariato apostolico di Pointe-Noire, che ebbe origine dal vicariato apostolico del Congo francese, eretto il 28 maggio 1886 con territorio distaccato da quello delle Due Guinee. Il vicariato del Congo francese il 14 ottobre 1890 venne diviso in due: vicariato apostolico del Congo francese superiore o di Qubangui, e vicariato apostolico del Congo francese inferiore, che ebbe il nome di Loango il 22 aprile 1907</w:t>
      </w:r>
      <w:r w:rsidRPr="00383122">
        <w:rPr>
          <w:rStyle w:val="Rimandonotaapidipagina"/>
          <w:rFonts w:ascii="Times New Roman" w:hAnsi="Times New Roman" w:cs="Times New Roman"/>
          <w:color w:val="000000" w:themeColor="text1"/>
          <w:sz w:val="28"/>
          <w:szCs w:val="28"/>
        </w:rPr>
        <w:footnoteReference w:id="152"/>
      </w:r>
      <w:r w:rsidRPr="00383122">
        <w:rPr>
          <w:rFonts w:ascii="Times New Roman" w:hAnsi="Times New Roman" w:cs="Times New Roman"/>
          <w:color w:val="000000" w:themeColor="text1"/>
          <w:sz w:val="28"/>
          <w:szCs w:val="28"/>
        </w:rPr>
        <w:t xml:space="preserve">. Solo nel 20 gennaio 1949 il vicariato prese il nome di Pointe-Noire, grazie al fatto che tale città raggiunse una </w:t>
      </w:r>
      <w:r w:rsidRPr="00383122">
        <w:rPr>
          <w:rFonts w:ascii="Times New Roman" w:hAnsi="Times New Roman" w:cs="Times New Roman"/>
          <w:color w:val="000000" w:themeColor="text1"/>
          <w:sz w:val="28"/>
          <w:szCs w:val="28"/>
        </w:rPr>
        <w:lastRenderedPageBreak/>
        <w:t>considerevole estensione</w:t>
      </w:r>
      <w:r w:rsidRPr="00383122">
        <w:rPr>
          <w:rStyle w:val="Rimandonotaapidipagina"/>
          <w:rFonts w:ascii="Times New Roman" w:hAnsi="Times New Roman" w:cs="Times New Roman"/>
          <w:color w:val="000000" w:themeColor="text1"/>
          <w:sz w:val="28"/>
          <w:szCs w:val="28"/>
        </w:rPr>
        <w:footnoteReference w:id="153"/>
      </w:r>
      <w:r w:rsidRPr="00383122">
        <w:rPr>
          <w:rFonts w:ascii="Times New Roman" w:hAnsi="Times New Roman" w:cs="Times New Roman"/>
          <w:color w:val="000000" w:themeColor="text1"/>
          <w:sz w:val="28"/>
          <w:szCs w:val="28"/>
        </w:rPr>
        <w:t>. Il vicariato venne affidato ai padri della congregazione dello Spirito Santo.</w:t>
      </w:r>
    </w:p>
    <w:p w14:paraId="6F1A37DB"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 nord-ovest del Congo, ossia nello stato del Camerun, che rientrava nei territori dell’Africa equatoriale francese, l’attività dei missionari venne influenzata dall’imminente scoppio della prima guerra mondiale.</w:t>
      </w:r>
    </w:p>
    <w:p w14:paraId="5BDDB59B"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Difatti l’irrompere della guerra nel Camerun causò la distruzione delle chiese e la deportazione di parecchi missionari in Inghilterra, mentre altri furono imprigionati. Le missioni della parte francese passarono ai padri francesi dello Spirito Santo, quelle inglesi ai padri dell’istituto inglese di Mill Hill. Le missioni del Camerun erano le seguenti: Douala, Yaounde, Foumban, Doumé e Garoua nel Camerun francese, Buea in quello britannico.</w:t>
      </w:r>
    </w:p>
    <w:p w14:paraId="638CEE9F"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L’area del</w:t>
      </w:r>
      <w:r w:rsidRPr="00383122">
        <w:rPr>
          <w:color w:val="000000" w:themeColor="text1"/>
        </w:rPr>
        <w:t xml:space="preserve"> </w:t>
      </w:r>
      <w:r w:rsidRPr="00383122">
        <w:rPr>
          <w:rFonts w:ascii="Times New Roman" w:hAnsi="Times New Roman" w:cs="Times New Roman"/>
          <w:color w:val="000000" w:themeColor="text1"/>
          <w:sz w:val="28"/>
          <w:szCs w:val="28"/>
        </w:rPr>
        <w:t>Foumban nel Camerun francese, corrispondeva all’antica prefettura apostolica di Adamaua, eretta nel 1914 con territori delle missioni di Khartum, Ubanghi Chari e Camerun. Nel 1923 la prefettura di Adamau mutò nome, diventando la prefettura di Foumban. Inoltre venne ampliato il suo territorio, attraverso l’inclusione della parte nord-occidentale del vicariato del Camerun, fornendo così un’area  più estesa per l'opera di evangelizzazione</w:t>
      </w:r>
      <w:r w:rsidRPr="00383122">
        <w:rPr>
          <w:rStyle w:val="Rimandonotaapidipagina"/>
          <w:rFonts w:ascii="Times New Roman" w:hAnsi="Times New Roman" w:cs="Times New Roman"/>
          <w:color w:val="000000" w:themeColor="text1"/>
          <w:sz w:val="28"/>
          <w:szCs w:val="28"/>
        </w:rPr>
        <w:footnoteReference w:id="154"/>
      </w:r>
      <w:r w:rsidRPr="00383122">
        <w:rPr>
          <w:rFonts w:ascii="Times New Roman" w:hAnsi="Times New Roman" w:cs="Times New Roman"/>
          <w:color w:val="000000" w:themeColor="text1"/>
          <w:sz w:val="28"/>
          <w:szCs w:val="28"/>
        </w:rPr>
        <w:t>.</w:t>
      </w:r>
    </w:p>
    <w:p w14:paraId="33A3988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Altri ampliamenti dell’area del vicariato di Foumban vi furono nel 1939, quando venne incluso nel suo territorio la suddivisione amministrativa e civile di Bafia, appartenente al vicariato apostolico di Yaounde</w:t>
      </w:r>
      <w:r w:rsidRPr="00383122">
        <w:rPr>
          <w:rStyle w:val="Rimandonotaapidipagina"/>
          <w:rFonts w:ascii="Times New Roman" w:hAnsi="Times New Roman" w:cs="Times New Roman"/>
          <w:color w:val="000000" w:themeColor="text1"/>
          <w:sz w:val="28"/>
          <w:szCs w:val="28"/>
        </w:rPr>
        <w:footnoteReference w:id="155"/>
      </w:r>
      <w:r w:rsidRPr="00383122">
        <w:rPr>
          <w:rFonts w:ascii="Times New Roman" w:hAnsi="Times New Roman" w:cs="Times New Roman"/>
          <w:color w:val="000000" w:themeColor="text1"/>
          <w:sz w:val="28"/>
          <w:szCs w:val="28"/>
        </w:rPr>
        <w:t xml:space="preserve">. Sempre nell’Africa equatoriale francese il 28 giugno 1940 venne eretta la prefettura apostolica di Berberati, nella parte nord occidentale dell’Ubanghi-Chari con territorio preso in parte dal vicariato di Bangui e parte da quello di Foumban. </w:t>
      </w:r>
      <w:r w:rsidRPr="00383122">
        <w:rPr>
          <w:rFonts w:ascii="Times New Roman" w:hAnsi="Times New Roman" w:cs="Times New Roman"/>
          <w:color w:val="000000" w:themeColor="text1"/>
          <w:sz w:val="28"/>
          <w:szCs w:val="28"/>
        </w:rPr>
        <w:lastRenderedPageBreak/>
        <w:t>La nuova prefettura fu affidata ai cappuccini francesi, che già lavoravano là da alcuni anni</w:t>
      </w:r>
      <w:r w:rsidRPr="00383122">
        <w:rPr>
          <w:rStyle w:val="Rimandonotaapidipagina"/>
          <w:rFonts w:ascii="Times New Roman" w:hAnsi="Times New Roman" w:cs="Times New Roman"/>
          <w:color w:val="000000" w:themeColor="text1"/>
          <w:sz w:val="28"/>
          <w:szCs w:val="28"/>
        </w:rPr>
        <w:footnoteReference w:id="156"/>
      </w:r>
      <w:r w:rsidRPr="00383122">
        <w:rPr>
          <w:rFonts w:ascii="Times New Roman" w:hAnsi="Times New Roman" w:cs="Times New Roman"/>
          <w:color w:val="000000" w:themeColor="text1"/>
          <w:sz w:val="28"/>
          <w:szCs w:val="28"/>
        </w:rPr>
        <w:t>.</w:t>
      </w:r>
    </w:p>
    <w:p w14:paraId="20EA0D60"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 Il vicariato di Yaounde divenne arcidiocesi nel 1955 e nel 1962 la diocesi di Buéa, grazie ad un decreto di Propaganda fide entrò a far parte dell’arcidiocesi di Yaounde</w:t>
      </w:r>
      <w:r w:rsidRPr="00383122">
        <w:rPr>
          <w:rStyle w:val="Rimandonotaapidipagina"/>
          <w:rFonts w:ascii="Times New Roman" w:hAnsi="Times New Roman" w:cs="Times New Roman"/>
          <w:color w:val="000000" w:themeColor="text1"/>
          <w:sz w:val="28"/>
          <w:szCs w:val="28"/>
        </w:rPr>
        <w:footnoteReference w:id="157"/>
      </w:r>
      <w:r w:rsidRPr="00383122">
        <w:rPr>
          <w:rFonts w:ascii="Times New Roman" w:hAnsi="Times New Roman" w:cs="Times New Roman"/>
          <w:color w:val="000000" w:themeColor="text1"/>
          <w:sz w:val="28"/>
          <w:szCs w:val="28"/>
        </w:rPr>
        <w:t>.</w:t>
      </w:r>
    </w:p>
    <w:p w14:paraId="54160D61"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Ad est del Congo, nell’area di Tanganyica, situata nell’Africa australe, che con il Ruanda e l’Urundi formava (dal 1891) l’Africa orientale tedesca vi un mutamento di confini tra i vicariati di Musoma e Taboraensis (entrambi i vicariati erano affidati ai padri bianchi).</w:t>
      </w:r>
    </w:p>
    <w:p w14:paraId="6D0C1495"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Difatti nel 1946 si eresse il vicariato apostolico di Mwanza (divenne diocesi nel 1953), nel quale si decise di includere l’area di Shinyanga, che faceva parte del vicariato apostolico di Taboraensis</w:t>
      </w:r>
      <w:r w:rsidRPr="00383122">
        <w:rPr>
          <w:rStyle w:val="Rimandonotaapidipagina"/>
          <w:rFonts w:ascii="Times New Roman" w:hAnsi="Times New Roman" w:cs="Times New Roman"/>
          <w:color w:val="000000" w:themeColor="text1"/>
          <w:sz w:val="28"/>
          <w:szCs w:val="28"/>
        </w:rPr>
        <w:footnoteReference w:id="158"/>
      </w:r>
      <w:r w:rsidRPr="00383122">
        <w:rPr>
          <w:rFonts w:ascii="Times New Roman" w:hAnsi="Times New Roman" w:cs="Times New Roman"/>
          <w:color w:val="000000" w:themeColor="text1"/>
          <w:sz w:val="28"/>
          <w:szCs w:val="28"/>
        </w:rPr>
        <w:t>.</w:t>
      </w:r>
    </w:p>
    <w:p w14:paraId="287BFFAA"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Un ulteriore modifica vi fu nel 1950, nella zona della Tanganyica, quando vennero inclusi i distretti civili di Chunya e Mbeya, nel vicariato di Mbeya, invece che in quello di Unyamwanga, perché a seguito di una tempesta divennero inaccessibili per il vicariato di Unyamwanga</w:t>
      </w:r>
      <w:r w:rsidRPr="00383122">
        <w:rPr>
          <w:rStyle w:val="Rimandonotaapidipagina"/>
          <w:rFonts w:ascii="Times New Roman" w:hAnsi="Times New Roman" w:cs="Times New Roman"/>
          <w:color w:val="000000" w:themeColor="text1"/>
          <w:sz w:val="28"/>
          <w:szCs w:val="28"/>
        </w:rPr>
        <w:footnoteReference w:id="159"/>
      </w:r>
      <w:r w:rsidRPr="00383122">
        <w:rPr>
          <w:rFonts w:ascii="Times New Roman" w:hAnsi="Times New Roman" w:cs="Times New Roman"/>
          <w:color w:val="000000" w:themeColor="text1"/>
          <w:sz w:val="28"/>
          <w:szCs w:val="28"/>
        </w:rPr>
        <w:t xml:space="preserve">. </w:t>
      </w:r>
    </w:p>
    <w:p w14:paraId="38BBF9E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Successivamente nel 1957 la diocesi di Mwanza situata nella parte nord-orientale del Tanganyica ed affidata ai padri bianchi,  cambiò nome in diocesi di Shinyanga, poiché lì si trovava la sede vescovile</w:t>
      </w:r>
      <w:r w:rsidRPr="00383122">
        <w:rPr>
          <w:rStyle w:val="Rimandonotaapidipagina"/>
          <w:rFonts w:ascii="Times New Roman" w:hAnsi="Times New Roman" w:cs="Times New Roman"/>
          <w:color w:val="000000" w:themeColor="text1"/>
          <w:sz w:val="28"/>
          <w:szCs w:val="28"/>
        </w:rPr>
        <w:footnoteReference w:id="160"/>
      </w:r>
      <w:r w:rsidRPr="00383122">
        <w:rPr>
          <w:rFonts w:ascii="Times New Roman" w:hAnsi="Times New Roman" w:cs="Times New Roman"/>
          <w:color w:val="000000" w:themeColor="text1"/>
          <w:sz w:val="28"/>
          <w:szCs w:val="28"/>
        </w:rPr>
        <w:t>.</w:t>
      </w:r>
    </w:p>
    <w:p w14:paraId="285CA57E"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 nord rispetto al Tanganyica e ad est del Congo venne eretto nel 1951 il vicariato apostolico di Gulu, vicariato apostolico, situato nella parte settentrionale dell’Uganda</w:t>
      </w:r>
      <w:r w:rsidRPr="00383122">
        <w:rPr>
          <w:rStyle w:val="Rimandonotaapidipagina"/>
          <w:rFonts w:ascii="Times New Roman" w:hAnsi="Times New Roman" w:cs="Times New Roman"/>
          <w:color w:val="000000" w:themeColor="text1"/>
          <w:sz w:val="28"/>
          <w:szCs w:val="28"/>
        </w:rPr>
        <w:footnoteReference w:id="161"/>
      </w:r>
      <w:r w:rsidRPr="00383122">
        <w:rPr>
          <w:rFonts w:ascii="Times New Roman" w:hAnsi="Times New Roman" w:cs="Times New Roman"/>
          <w:color w:val="000000" w:themeColor="text1"/>
          <w:sz w:val="28"/>
          <w:szCs w:val="28"/>
        </w:rPr>
        <w:t xml:space="preserve"> (Africa orientale britannica) ed affidato alla </w:t>
      </w:r>
      <w:r w:rsidRPr="00383122">
        <w:rPr>
          <w:rFonts w:ascii="Times New Roman" w:hAnsi="Times New Roman" w:cs="Times New Roman"/>
          <w:color w:val="000000" w:themeColor="text1"/>
          <w:sz w:val="28"/>
          <w:szCs w:val="28"/>
        </w:rPr>
        <w:lastRenderedPageBreak/>
        <w:t>congregazione dei figli del Sacro Cuore di Gesù (Missioni africane di Verona)</w:t>
      </w:r>
      <w:r w:rsidRPr="00383122">
        <w:rPr>
          <w:rStyle w:val="Rimandonotaapidipagina"/>
          <w:rFonts w:ascii="Times New Roman" w:hAnsi="Times New Roman" w:cs="Times New Roman"/>
          <w:color w:val="000000" w:themeColor="text1"/>
          <w:sz w:val="28"/>
          <w:szCs w:val="28"/>
        </w:rPr>
        <w:footnoteReference w:id="162"/>
      </w:r>
      <w:r w:rsidRPr="00383122">
        <w:rPr>
          <w:rFonts w:ascii="Times New Roman" w:hAnsi="Times New Roman" w:cs="Times New Roman"/>
          <w:color w:val="000000" w:themeColor="text1"/>
          <w:sz w:val="28"/>
          <w:szCs w:val="28"/>
        </w:rPr>
        <w:t>.</w:t>
      </w:r>
    </w:p>
    <w:p w14:paraId="69D364BF"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Tale vicariato derivava dal vicariato apostolico di Bahr-el-Ghazal (che successivamente divenne in parte, prefettura apostolica, per poi nel 1961</w:t>
      </w:r>
      <w:r w:rsidRPr="00383122">
        <w:rPr>
          <w:rFonts w:ascii="Times New Roman" w:hAnsi="Times New Roman" w:cs="Times New Roman"/>
          <w:color w:val="000000" w:themeColor="text1"/>
          <w:sz w:val="28"/>
          <w:szCs w:val="28"/>
          <w:shd w:val="clear" w:color="auto" w:fill="FFFFFF"/>
        </w:rPr>
        <w:t xml:space="preserve"> cambiare nome in favore di vicariato apostolico di Wau</w:t>
      </w:r>
      <w:r w:rsidRPr="00383122">
        <w:rPr>
          <w:rStyle w:val="Rimandonotaapidipagina"/>
          <w:rFonts w:ascii="Times New Roman" w:hAnsi="Times New Roman" w:cs="Times New Roman"/>
          <w:color w:val="000000" w:themeColor="text1"/>
          <w:sz w:val="28"/>
          <w:szCs w:val="28"/>
          <w:shd w:val="clear" w:color="auto" w:fill="FFFFFF"/>
        </w:rPr>
        <w:footnoteReference w:id="163"/>
      </w:r>
      <w:r w:rsidRPr="00383122">
        <w:rPr>
          <w:rFonts w:ascii="Times New Roman" w:hAnsi="Times New Roman" w:cs="Times New Roman"/>
          <w:color w:val="000000" w:themeColor="text1"/>
          <w:sz w:val="28"/>
          <w:szCs w:val="28"/>
        </w:rPr>
        <w:t xml:space="preserve"> ), donde fu distaccata ed eretta la prefettura apostolica del Nilo Equatoriale (12 giugno 1923), che subì una rettifica di confini nel 1927 e che nel 1934 fu elevata a vicariato apostolico</w:t>
      </w:r>
      <w:r w:rsidRPr="00383122">
        <w:rPr>
          <w:rStyle w:val="Rimandonotaapidipagina"/>
          <w:rFonts w:ascii="Times New Roman" w:hAnsi="Times New Roman" w:cs="Times New Roman"/>
          <w:color w:val="000000" w:themeColor="text1"/>
          <w:sz w:val="28"/>
          <w:szCs w:val="28"/>
        </w:rPr>
        <w:footnoteReference w:id="164"/>
      </w:r>
      <w:r w:rsidRPr="00383122">
        <w:rPr>
          <w:rFonts w:ascii="Times New Roman" w:hAnsi="Times New Roman" w:cs="Times New Roman"/>
          <w:color w:val="000000" w:themeColor="text1"/>
          <w:sz w:val="28"/>
          <w:szCs w:val="28"/>
        </w:rPr>
        <w:t>.  Nel 1951 esso ebbe mutato il nome in quello di Gulu. La regione che comprendeva la parte meridionale del protettorato britannico del Nyasaland era Shire, la quale fino al maggio 1952 era stata un vicariato apostolico, che comprendeva tutta la regione omonima. Ma il 15 maggio 1952 tale territorio venne diviso in due vicariati apostolici, quello di Zomba a nord e quello di Blantyre a sud. I due vicariati vennero affidati ai monfortani, i quali erano già arrivati sul luogo nel 1901 come ausiliari dei padri bianchi</w:t>
      </w:r>
      <w:r w:rsidRPr="00383122">
        <w:rPr>
          <w:rStyle w:val="Rimandonotaapidipagina"/>
          <w:rFonts w:ascii="Times New Roman" w:hAnsi="Times New Roman" w:cs="Times New Roman"/>
          <w:color w:val="000000" w:themeColor="text1"/>
          <w:sz w:val="28"/>
          <w:szCs w:val="28"/>
        </w:rPr>
        <w:footnoteReference w:id="165"/>
      </w:r>
      <w:r w:rsidRPr="00383122">
        <w:rPr>
          <w:rFonts w:ascii="Times New Roman" w:hAnsi="Times New Roman" w:cs="Times New Roman"/>
          <w:color w:val="000000" w:themeColor="text1"/>
          <w:sz w:val="28"/>
          <w:szCs w:val="28"/>
        </w:rPr>
        <w:t>.</w:t>
      </w:r>
    </w:p>
    <w:p w14:paraId="2D6A5A74"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 Nell’area dell’Africa meridionale, più specificatamente nell’Unione sudafricana l’attività missionaria ebbe inizio nel 1873 per opera dei padri della società delle missioni africane di Lione, ai quali si sostituirono poi gli oblati di s. francesco di Sales nel 1882</w:t>
      </w:r>
      <w:r w:rsidRPr="00383122">
        <w:rPr>
          <w:rStyle w:val="Rimandonotaapidipagina"/>
          <w:rFonts w:ascii="Times New Roman" w:hAnsi="Times New Roman" w:cs="Times New Roman"/>
          <w:color w:val="000000" w:themeColor="text1"/>
          <w:sz w:val="28"/>
          <w:szCs w:val="28"/>
        </w:rPr>
        <w:footnoteReference w:id="166"/>
      </w:r>
      <w:r w:rsidRPr="00383122">
        <w:rPr>
          <w:rFonts w:ascii="Times New Roman" w:hAnsi="Times New Roman" w:cs="Times New Roman"/>
          <w:color w:val="000000" w:themeColor="text1"/>
          <w:sz w:val="28"/>
          <w:szCs w:val="28"/>
        </w:rPr>
        <w:t>. Questi per tre anni lavorarono sotto la giurisdizione del vicario apostolico che risiedeva a Città del Capo. Con decreto del 20 giugno 1885 quest’area divenne la prefettura apostolica del fiume Orange e venne elevata a vicariato apostolico il 2 maggio 1898</w:t>
      </w:r>
      <w:r w:rsidRPr="00383122">
        <w:rPr>
          <w:rStyle w:val="Rimandonotaapidipagina"/>
          <w:rFonts w:ascii="Times New Roman" w:hAnsi="Times New Roman" w:cs="Times New Roman"/>
          <w:color w:val="000000" w:themeColor="text1"/>
          <w:sz w:val="28"/>
          <w:szCs w:val="28"/>
        </w:rPr>
        <w:footnoteReference w:id="167"/>
      </w:r>
      <w:r w:rsidRPr="00383122">
        <w:rPr>
          <w:rFonts w:ascii="Times New Roman" w:hAnsi="Times New Roman" w:cs="Times New Roman"/>
          <w:color w:val="000000" w:themeColor="text1"/>
          <w:sz w:val="28"/>
          <w:szCs w:val="28"/>
        </w:rPr>
        <w:t xml:space="preserve">. Il 21 luglio 1940 divenne il vicariato apostolico di Keimoes e prese questa </w:t>
      </w:r>
      <w:r w:rsidRPr="00383122">
        <w:rPr>
          <w:rFonts w:ascii="Times New Roman" w:hAnsi="Times New Roman" w:cs="Times New Roman"/>
          <w:color w:val="000000" w:themeColor="text1"/>
          <w:sz w:val="28"/>
          <w:szCs w:val="28"/>
        </w:rPr>
        <w:lastRenderedPageBreak/>
        <w:t>denominazione dal luogo dove risiedeva l’ordinario del luogo</w:t>
      </w:r>
      <w:r w:rsidRPr="00383122">
        <w:rPr>
          <w:rStyle w:val="Rimandonotaapidipagina"/>
          <w:rFonts w:ascii="Times New Roman" w:hAnsi="Times New Roman" w:cs="Times New Roman"/>
          <w:color w:val="000000" w:themeColor="text1"/>
          <w:sz w:val="28"/>
          <w:szCs w:val="28"/>
        </w:rPr>
        <w:footnoteReference w:id="168"/>
      </w:r>
      <w:r w:rsidRPr="00383122">
        <w:rPr>
          <w:rFonts w:ascii="Times New Roman" w:hAnsi="Times New Roman" w:cs="Times New Roman"/>
          <w:color w:val="000000" w:themeColor="text1"/>
          <w:sz w:val="28"/>
          <w:szCs w:val="28"/>
        </w:rPr>
        <w:t>.Solo nel 1951 con l’istituzione della gerarchia ecclesiastica nell’Unione tale vicariato riuscì a diventare una diocesi.</w:t>
      </w:r>
    </w:p>
    <w:p w14:paraId="4AC9AA0E"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color w:val="000000" w:themeColor="text1"/>
        </w:rPr>
        <w:t xml:space="preserve"> </w:t>
      </w:r>
      <w:r w:rsidRPr="00383122">
        <w:rPr>
          <w:rFonts w:ascii="Times New Roman" w:hAnsi="Times New Roman" w:cs="Times New Roman"/>
          <w:color w:val="000000" w:themeColor="text1"/>
          <w:sz w:val="28"/>
          <w:szCs w:val="28"/>
        </w:rPr>
        <w:t>Nell’Unione Sudafricana la città di Pretoria era la sede del governo civile, nonché capitale della provincia del Transvaal.</w:t>
      </w:r>
    </w:p>
    <w:p w14:paraId="358DB96C"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 1869, il padre Le Bihan portò avanti l’evangelizzazione lungo le rive del Vaal, quando il cattolicesimo era proibito per legge nella repubblica del Transvaal. In seguito a rimostranze fu concessa la libertà di culto e il presidente Martino Pretorius concesse il terreno per la realizzazione di una chiesa a Pretoria nel giugno 1887</w:t>
      </w:r>
      <w:r w:rsidRPr="00383122">
        <w:rPr>
          <w:rStyle w:val="Rimandonotaapidipagina"/>
          <w:rFonts w:ascii="Times New Roman" w:hAnsi="Times New Roman" w:cs="Times New Roman"/>
          <w:color w:val="000000" w:themeColor="text1"/>
          <w:sz w:val="28"/>
          <w:szCs w:val="28"/>
        </w:rPr>
        <w:footnoteReference w:id="169"/>
      </w:r>
      <w:r w:rsidRPr="00383122">
        <w:rPr>
          <w:rFonts w:ascii="Times New Roman" w:hAnsi="Times New Roman" w:cs="Times New Roman"/>
          <w:color w:val="000000" w:themeColor="text1"/>
          <w:sz w:val="28"/>
          <w:szCs w:val="28"/>
        </w:rPr>
        <w:t>.</w:t>
      </w:r>
    </w:p>
    <w:p w14:paraId="76FE6565"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Il 4 giugno 1886, suddiviso il vicariato apostolico di Natal, il territorio fece parte della prefettura apostolica del Transvaal, che il 16 settembre 1904 divenne vicariato. Il 9 aprile 1948 fu eretto il nuovo vicariato apostolico di Pretoria con territorio distaccato dal vicariato di Transvaal, che ebbe il nome di Johannesburg</w:t>
      </w:r>
      <w:r w:rsidRPr="00383122">
        <w:rPr>
          <w:rStyle w:val="Rimandonotaapidipagina"/>
          <w:rFonts w:ascii="Times New Roman" w:hAnsi="Times New Roman" w:cs="Times New Roman"/>
          <w:color w:val="000000" w:themeColor="text1"/>
          <w:sz w:val="28"/>
          <w:szCs w:val="28"/>
        </w:rPr>
        <w:footnoteReference w:id="170"/>
      </w:r>
      <w:r w:rsidRPr="00383122">
        <w:rPr>
          <w:rFonts w:ascii="Times New Roman" w:hAnsi="Times New Roman" w:cs="Times New Roman"/>
          <w:color w:val="000000" w:themeColor="text1"/>
          <w:sz w:val="28"/>
          <w:szCs w:val="28"/>
        </w:rPr>
        <w:t>. Esso comprendeva i distretti civili di Pretoria, ossia i distretti di Brankhorstspruit ,Groblersdal, Brits, Rustenburg e Marico: questi ultimi due distaccati dal vicariato apostolico di Kimberlev, che in seguito divenne una diocesi</w:t>
      </w:r>
      <w:r w:rsidRPr="00383122">
        <w:rPr>
          <w:rStyle w:val="Rimandonotaapidipagina"/>
          <w:rFonts w:ascii="Times New Roman" w:hAnsi="Times New Roman" w:cs="Times New Roman"/>
          <w:color w:val="000000" w:themeColor="text1"/>
          <w:sz w:val="28"/>
          <w:szCs w:val="28"/>
        </w:rPr>
        <w:footnoteReference w:id="171"/>
      </w:r>
      <w:r w:rsidRPr="00383122">
        <w:rPr>
          <w:rFonts w:ascii="Times New Roman" w:hAnsi="Times New Roman" w:cs="Times New Roman"/>
          <w:color w:val="000000" w:themeColor="text1"/>
          <w:sz w:val="28"/>
          <w:szCs w:val="28"/>
        </w:rPr>
        <w:t xml:space="preserve">. </w:t>
      </w:r>
    </w:p>
    <w:p w14:paraId="20782ECE"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L'istituzione della gerarchia ecclesiastica nell’ Unione sudafricana avvenne il 1 gennaio 1951. Questo rese possibile l’elevazione del vicariato di Pretoria ad arcidiocesi, con le diocesi suffraganee di Johannesburg, Lydenburg, Bremersdorp e l’abbazia </w:t>
      </w:r>
      <w:r w:rsidRPr="00383122">
        <w:rPr>
          <w:rFonts w:ascii="Times New Roman" w:hAnsi="Times New Roman" w:cs="Times New Roman"/>
          <w:i/>
          <w:color w:val="000000" w:themeColor="text1"/>
          <w:sz w:val="28"/>
          <w:szCs w:val="28"/>
        </w:rPr>
        <w:t>nullius</w:t>
      </w:r>
      <w:r w:rsidRPr="00383122">
        <w:rPr>
          <w:rFonts w:ascii="Times New Roman" w:hAnsi="Times New Roman" w:cs="Times New Roman"/>
          <w:color w:val="000000" w:themeColor="text1"/>
          <w:sz w:val="28"/>
          <w:szCs w:val="28"/>
        </w:rPr>
        <w:t xml:space="preserve"> di Pietersburg.</w:t>
      </w:r>
    </w:p>
    <w:p w14:paraId="3DA84CA8"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Il territorio di Keetmanshoop faceva parte dell’Africa sud-occidentale tedesca e dopo la prima guerra mondiale (17 dicembre 1920) fu dato in mandato all’ </w:t>
      </w:r>
      <w:r w:rsidRPr="00383122">
        <w:rPr>
          <w:rFonts w:ascii="Times New Roman" w:hAnsi="Times New Roman" w:cs="Times New Roman"/>
          <w:color w:val="000000" w:themeColor="text1"/>
          <w:sz w:val="28"/>
          <w:szCs w:val="28"/>
        </w:rPr>
        <w:lastRenderedPageBreak/>
        <w:t>Unione sudafricana</w:t>
      </w:r>
      <w:r w:rsidRPr="00383122">
        <w:rPr>
          <w:rStyle w:val="Rimandonotaapidipagina"/>
          <w:rFonts w:ascii="Times New Roman" w:hAnsi="Times New Roman" w:cs="Times New Roman"/>
          <w:color w:val="000000" w:themeColor="text1"/>
          <w:sz w:val="28"/>
          <w:szCs w:val="28"/>
        </w:rPr>
        <w:footnoteReference w:id="172"/>
      </w:r>
      <w:r w:rsidRPr="00383122">
        <w:rPr>
          <w:rFonts w:ascii="Times New Roman" w:hAnsi="Times New Roman" w:cs="Times New Roman"/>
          <w:color w:val="000000" w:themeColor="text1"/>
          <w:sz w:val="28"/>
          <w:szCs w:val="28"/>
        </w:rPr>
        <w:t>. In tale area l’opera dell’apostolato venne frenata dallo scoppio della prima guerra mondiale e dall’opposizione dei protestanti, difatti riprese attivamente solo nel 1922. Divenne un vicariato solo nel 1930 e nel 1948, grazie all’espansione del suo territorio prese il nome di Keetmanshoop</w:t>
      </w:r>
      <w:r w:rsidRPr="00383122">
        <w:rPr>
          <w:rStyle w:val="Rimandonotaapidipagina"/>
          <w:rFonts w:ascii="Times New Roman" w:hAnsi="Times New Roman" w:cs="Times New Roman"/>
          <w:color w:val="000000" w:themeColor="text1"/>
          <w:sz w:val="28"/>
          <w:szCs w:val="28"/>
        </w:rPr>
        <w:footnoteReference w:id="173"/>
      </w:r>
      <w:r w:rsidRPr="00383122">
        <w:rPr>
          <w:rFonts w:ascii="Times New Roman" w:hAnsi="Times New Roman" w:cs="Times New Roman"/>
          <w:color w:val="000000" w:themeColor="text1"/>
          <w:sz w:val="28"/>
          <w:szCs w:val="28"/>
        </w:rPr>
        <w:t>.</w:t>
      </w:r>
    </w:p>
    <w:p w14:paraId="1C2F5100"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Nella parte sud-orientale della Rhodesia settentrionale, affidata ai gesuiti venne eretta nel 13 giugno 1946 la prefettura apostolica di Lusaka. Questa derivava dalla prefettura apostolica dello Zambese (in seguito vicariato di Salisbury), da cui fu distaccata ed eretta la prefettura di Broken Hill il 14 luglio 1927. La prefettura di Lusaka venne elevata a vicariato solo nel 1950</w:t>
      </w:r>
      <w:r w:rsidRPr="00383122">
        <w:rPr>
          <w:rStyle w:val="Rimandonotaapidipagina"/>
          <w:rFonts w:ascii="Times New Roman" w:hAnsi="Times New Roman" w:cs="Times New Roman"/>
          <w:color w:val="000000" w:themeColor="text1"/>
          <w:sz w:val="28"/>
          <w:szCs w:val="28"/>
        </w:rPr>
        <w:footnoteReference w:id="174"/>
      </w:r>
      <w:r w:rsidRPr="00383122">
        <w:rPr>
          <w:rFonts w:ascii="Times New Roman" w:hAnsi="Times New Roman" w:cs="Times New Roman"/>
          <w:color w:val="000000" w:themeColor="text1"/>
          <w:sz w:val="28"/>
          <w:szCs w:val="28"/>
        </w:rPr>
        <w:t>.</w:t>
      </w:r>
      <w:r w:rsidRPr="00383122">
        <w:rPr>
          <w:color w:val="000000" w:themeColor="text1"/>
        </w:rPr>
        <w:t xml:space="preserve"> </w:t>
      </w:r>
      <w:r w:rsidRPr="00383122">
        <w:rPr>
          <w:rFonts w:ascii="Times New Roman" w:hAnsi="Times New Roman" w:cs="Times New Roman"/>
          <w:color w:val="000000" w:themeColor="text1"/>
          <w:sz w:val="28"/>
          <w:szCs w:val="28"/>
        </w:rPr>
        <w:t>Sempre in Rhodesia vi era Il vicariato apostolico di Windhoek, era situato nella parte settentrionale dell’Africa sud-occidentale, dal 1920 mandato dell’Unione Sudafricana.</w:t>
      </w:r>
    </w:p>
    <w:p w14:paraId="53161967"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Ulteriori cambiamenti di confini vi furono nel 1952, tra due diocesi, situate sulle coste dell'Oceano Indiano nella parte orientale della provincia del Capo dell’Unione sudafricana. Si trattava delle diocesi di Umtata e Queenstown, nelle quali si decise di includere alcuni territori (Tsomo, Nqamakwe, Butterworth, Idutywa, Kentani, Willowovale) di Umtata all’interno della diocesi di Queenstown, per favorire l’apostolato</w:t>
      </w:r>
      <w:r w:rsidRPr="00383122">
        <w:rPr>
          <w:rStyle w:val="Rimandonotaapidipagina"/>
          <w:rFonts w:ascii="Times New Roman" w:hAnsi="Times New Roman" w:cs="Times New Roman"/>
          <w:color w:val="000000" w:themeColor="text1"/>
          <w:sz w:val="28"/>
          <w:szCs w:val="28"/>
        </w:rPr>
        <w:footnoteReference w:id="175"/>
      </w:r>
      <w:r w:rsidRPr="00383122">
        <w:rPr>
          <w:rFonts w:ascii="Times New Roman" w:hAnsi="Times New Roman" w:cs="Times New Roman"/>
          <w:color w:val="000000" w:themeColor="text1"/>
          <w:sz w:val="28"/>
          <w:szCs w:val="28"/>
        </w:rPr>
        <w:t>.</w:t>
      </w:r>
    </w:p>
    <w:p w14:paraId="5A892114"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 1953 nell’area della Rhodesia meridionale vi fu una riorganizzazione dei territori tra il vicariato apostolico di Salisbury e quello di Fort Victoria. Quest’ultimo era stato eretto dai distaccamenti sud-orientali del vicariato di Salisbury nel 1950 e venne affidato alla società delle missioni estere di Betlemme.</w:t>
      </w:r>
    </w:p>
    <w:p w14:paraId="59C6E94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lastRenderedPageBreak/>
        <w:t>Nel 1953 alcuni territori (Gwelo), che fino a quel momento erano appartenuti al vicariato di Salisbury, passarono al vicariato di Fort Victoria</w:t>
      </w:r>
      <w:r w:rsidRPr="00383122">
        <w:rPr>
          <w:rStyle w:val="Rimandonotaapidipagina"/>
          <w:rFonts w:ascii="Times New Roman" w:hAnsi="Times New Roman" w:cs="Times New Roman"/>
          <w:color w:val="000000" w:themeColor="text1"/>
          <w:sz w:val="28"/>
          <w:szCs w:val="28"/>
        </w:rPr>
        <w:footnoteReference w:id="176"/>
      </w:r>
      <w:r w:rsidRPr="00383122">
        <w:rPr>
          <w:rFonts w:ascii="Times New Roman" w:hAnsi="Times New Roman" w:cs="Times New Roman"/>
          <w:color w:val="000000" w:themeColor="text1"/>
          <w:sz w:val="28"/>
          <w:szCs w:val="28"/>
        </w:rPr>
        <w:t>.</w:t>
      </w:r>
    </w:p>
    <w:p w14:paraId="2A937B16"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Mentre nell’Africa sud-occidentale vi era la prefettura di Cimbebasia, che nel 1809 fu divisa in quella di Cimbebasia superiore, per la parte compresa nell’Angola portoghese, e in quella di Cimbebasia inferiore, per la parte che si trovava nell’Africa sud- occidentale. Quest'ultima nel gennaio 1921 ebbe il nome di Cimbebasia e l’11 maggio 1926 fu elevata a vicariato apostolico con la denominazione di Windhoek. Il 10 marzo 1950 la zona della Caprivi Strip fu annessa alla prefettura apostolica di Victoria Falls, in seguito Monrovi divenne vicariato apostolico di Livingstone, affidato agli oblati di Maria Immacolata.</w:t>
      </w:r>
      <w:r w:rsidRPr="00383122">
        <w:rPr>
          <w:rStyle w:val="Rimandonotaapidipagina"/>
          <w:rFonts w:ascii="Times New Roman" w:hAnsi="Times New Roman" w:cs="Times New Roman"/>
          <w:color w:val="000000" w:themeColor="text1"/>
          <w:sz w:val="28"/>
          <w:szCs w:val="28"/>
        </w:rPr>
        <w:footnoteReference w:id="177"/>
      </w:r>
    </w:p>
    <w:p w14:paraId="65855634"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p>
    <w:p w14:paraId="4748E820"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p>
    <w:p w14:paraId="71C568D3" w14:textId="1352F73C" w:rsidR="00383122" w:rsidRDefault="00383122" w:rsidP="00484F9B">
      <w:pPr>
        <w:spacing w:after="0" w:line="360" w:lineRule="auto"/>
        <w:ind w:left="680" w:right="340"/>
        <w:jc w:val="both"/>
        <w:rPr>
          <w:rFonts w:ascii="Times New Roman" w:hAnsi="Times New Roman" w:cs="Times New Roman"/>
          <w:i/>
          <w:color w:val="000000" w:themeColor="text1"/>
          <w:sz w:val="28"/>
          <w:szCs w:val="28"/>
        </w:rPr>
      </w:pPr>
      <w:r w:rsidRPr="00383122">
        <w:rPr>
          <w:rFonts w:ascii="Times New Roman" w:hAnsi="Times New Roman" w:cs="Times New Roman"/>
          <w:color w:val="000000" w:themeColor="text1"/>
          <w:sz w:val="28"/>
          <w:szCs w:val="28"/>
        </w:rPr>
        <w:t xml:space="preserve">2.3 </w:t>
      </w:r>
      <w:r w:rsidRPr="007D5C80">
        <w:rPr>
          <w:rFonts w:ascii="Times New Roman" w:hAnsi="Times New Roman" w:cs="Times New Roman"/>
          <w:i/>
          <w:color w:val="000000" w:themeColor="text1"/>
          <w:sz w:val="28"/>
          <w:szCs w:val="28"/>
        </w:rPr>
        <w:t>Asia</w:t>
      </w:r>
    </w:p>
    <w:p w14:paraId="70E36860" w14:textId="77777777" w:rsidR="007D5C80" w:rsidRPr="007D5C80" w:rsidRDefault="007D5C80" w:rsidP="00484F9B">
      <w:pPr>
        <w:spacing w:after="0" w:line="360" w:lineRule="auto"/>
        <w:ind w:left="680" w:right="340"/>
        <w:jc w:val="both"/>
        <w:rPr>
          <w:rFonts w:ascii="Times New Roman" w:hAnsi="Times New Roman" w:cs="Times New Roman"/>
          <w:i/>
          <w:color w:val="000000" w:themeColor="text1"/>
          <w:sz w:val="28"/>
          <w:szCs w:val="28"/>
        </w:rPr>
      </w:pPr>
    </w:p>
    <w:p w14:paraId="3D534FDA"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L’opera di evangelizzazione in Asia</w:t>
      </w:r>
      <w:r w:rsidRPr="00383122">
        <w:rPr>
          <w:rStyle w:val="Rimandonotaapidipagina"/>
          <w:rFonts w:ascii="Times New Roman" w:hAnsi="Times New Roman" w:cs="Times New Roman"/>
          <w:color w:val="000000" w:themeColor="text1"/>
          <w:sz w:val="28"/>
          <w:szCs w:val="28"/>
        </w:rPr>
        <w:footnoteReference w:id="178"/>
      </w:r>
      <w:r w:rsidRPr="00383122">
        <w:rPr>
          <w:rFonts w:ascii="Times New Roman" w:hAnsi="Times New Roman" w:cs="Times New Roman"/>
          <w:color w:val="000000" w:themeColor="text1"/>
          <w:sz w:val="28"/>
          <w:szCs w:val="28"/>
        </w:rPr>
        <w:t>, più specificatamente verso l’Indocina e l’Estremo Oriente, come detto nel capitolo precedente, si intensificò tra il XVIII ed il XX secolo, nonostante le numerose difficoltà. Tali difficoltà si concretizzarono principalmente nell’aumento delle persecuzioni, soprattutto in ambienti dove dominava l’induismo ed il buddismo e nell’impenetrabilità politica di tali territori, perché nonostante l’avvicinamento in termini geografici di tali aree queste rimanevano ermeticamente chiuse nei confronti degli stranieri. Successivamente la questione dell’apostolato si sarebbe presentata in termini nuovi e più promettenti, senza rischiare dispute</w:t>
      </w:r>
      <w:r w:rsidRPr="00383122">
        <w:rPr>
          <w:rStyle w:val="Rimandonotaapidipagina"/>
          <w:rFonts w:ascii="Times New Roman" w:hAnsi="Times New Roman" w:cs="Times New Roman"/>
          <w:color w:val="000000" w:themeColor="text1"/>
          <w:sz w:val="28"/>
          <w:szCs w:val="28"/>
        </w:rPr>
        <w:footnoteReference w:id="179"/>
      </w:r>
      <w:r w:rsidRPr="00383122">
        <w:rPr>
          <w:rFonts w:ascii="Times New Roman" w:hAnsi="Times New Roman" w:cs="Times New Roman"/>
          <w:color w:val="000000" w:themeColor="text1"/>
          <w:sz w:val="28"/>
          <w:szCs w:val="28"/>
        </w:rPr>
        <w:t xml:space="preserve">. Questo grazie all’adozione di una nuova metodologia di evangelizzazione, </w:t>
      </w:r>
      <w:r w:rsidRPr="00383122">
        <w:rPr>
          <w:rFonts w:ascii="Times New Roman" w:hAnsi="Times New Roman" w:cs="Times New Roman"/>
          <w:color w:val="000000" w:themeColor="text1"/>
          <w:sz w:val="28"/>
          <w:szCs w:val="28"/>
        </w:rPr>
        <w:lastRenderedPageBreak/>
        <w:t>basata sull’ adattamento e sul rispetto delle comunità locali. Tale metodologia consentì la creazione della gerarchia indigena in Cina, Indocina, India, Giappone e Corea.</w:t>
      </w:r>
    </w:p>
    <w:p w14:paraId="472627A1"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In questo paragrafo si andranno ad analizzare i mutamenti di confini, nell’area dell’India, dell’Indocina, della Cina e del Giappone, dei vicariati apostolici, delle diocesi e delle altre strutture tipiche della gerarchia periferica di Propaganda fide, nel periodo compreso tra il 1918-1963.</w:t>
      </w:r>
    </w:p>
    <w:p w14:paraId="1DCB1E36"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p>
    <w:p w14:paraId="1452C57A"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p>
    <w:p w14:paraId="466E9437"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p>
    <w:p w14:paraId="1B38D2FB" w14:textId="77777777" w:rsidR="00383122" w:rsidRPr="007D5C80" w:rsidRDefault="00383122" w:rsidP="00484F9B">
      <w:pPr>
        <w:spacing w:after="0" w:line="360" w:lineRule="auto"/>
        <w:ind w:left="680" w:right="340"/>
        <w:jc w:val="both"/>
        <w:rPr>
          <w:rFonts w:ascii="Times New Roman" w:hAnsi="Times New Roman" w:cs="Times New Roman"/>
          <w:i/>
          <w:color w:val="000000" w:themeColor="text1"/>
          <w:sz w:val="28"/>
          <w:szCs w:val="28"/>
        </w:rPr>
      </w:pPr>
      <w:r w:rsidRPr="00383122">
        <w:rPr>
          <w:rFonts w:ascii="Times New Roman" w:hAnsi="Times New Roman" w:cs="Times New Roman"/>
          <w:color w:val="000000" w:themeColor="text1"/>
          <w:sz w:val="28"/>
          <w:szCs w:val="28"/>
        </w:rPr>
        <w:t xml:space="preserve">2.3.1 </w:t>
      </w:r>
      <w:r w:rsidRPr="007D5C80">
        <w:rPr>
          <w:rFonts w:ascii="Times New Roman" w:hAnsi="Times New Roman" w:cs="Times New Roman"/>
          <w:i/>
          <w:color w:val="000000" w:themeColor="text1"/>
          <w:sz w:val="28"/>
          <w:szCs w:val="28"/>
        </w:rPr>
        <w:t>India</w:t>
      </w:r>
    </w:p>
    <w:p w14:paraId="6E02A838"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p>
    <w:p w14:paraId="76FC5FA8" w14:textId="77777777" w:rsidR="00383122" w:rsidRPr="00383122" w:rsidRDefault="00383122" w:rsidP="00484F9B">
      <w:pPr>
        <w:spacing w:after="0" w:line="360" w:lineRule="auto"/>
        <w:ind w:left="680" w:right="340"/>
        <w:jc w:val="both"/>
        <w:rPr>
          <w:rFonts w:ascii="Times New Roman" w:hAnsi="Times New Roman" w:cs="Times New Roman"/>
          <w:b/>
          <w:color w:val="000000" w:themeColor="text1"/>
          <w:sz w:val="28"/>
          <w:szCs w:val="28"/>
        </w:rPr>
      </w:pPr>
      <w:r w:rsidRPr="00383122">
        <w:rPr>
          <w:rFonts w:ascii="Times New Roman" w:hAnsi="Times New Roman" w:cs="Times New Roman"/>
          <w:color w:val="000000" w:themeColor="text1"/>
          <w:sz w:val="28"/>
          <w:szCs w:val="28"/>
        </w:rPr>
        <w:t>La ripresa delle missioni in India</w:t>
      </w:r>
      <w:r w:rsidRPr="00383122">
        <w:rPr>
          <w:rStyle w:val="Rimandonotaapidipagina"/>
          <w:rFonts w:ascii="Times New Roman" w:hAnsi="Times New Roman" w:cs="Times New Roman"/>
          <w:color w:val="000000" w:themeColor="text1"/>
          <w:sz w:val="28"/>
          <w:szCs w:val="28"/>
        </w:rPr>
        <w:footnoteReference w:id="180"/>
      </w:r>
      <w:r w:rsidRPr="00383122">
        <w:rPr>
          <w:rFonts w:ascii="Times New Roman" w:hAnsi="Times New Roman" w:cs="Times New Roman"/>
          <w:color w:val="000000" w:themeColor="text1"/>
          <w:sz w:val="28"/>
          <w:szCs w:val="28"/>
        </w:rPr>
        <w:t xml:space="preserve"> avvenne nel XIX secolo sotto Gregorio XVI. Durante tale lasso di tempo vi fu una particolare attenzione verso i vicariati apostolici, attraverso forme di rafforzamento delle comunità cristiane esistenti e tentativi di ampliare il campo delle attività, dando per esempio un maggiore peso alle scuole. L’istituzione della gerarchia ecclesiastica nel 1886, da parte di Leone XIII favorì la crescita della chiesa cattolica, soprattutto nell’India meridionale</w:t>
      </w:r>
      <w:r w:rsidRPr="00383122">
        <w:rPr>
          <w:rStyle w:val="Rimandonotaapidipagina"/>
          <w:rFonts w:ascii="Times New Roman" w:hAnsi="Times New Roman" w:cs="Times New Roman"/>
          <w:color w:val="000000" w:themeColor="text1"/>
          <w:sz w:val="28"/>
          <w:szCs w:val="28"/>
        </w:rPr>
        <w:footnoteReference w:id="181"/>
      </w:r>
      <w:r w:rsidRPr="00383122">
        <w:rPr>
          <w:rFonts w:ascii="Times New Roman" w:hAnsi="Times New Roman" w:cs="Times New Roman"/>
          <w:color w:val="000000" w:themeColor="text1"/>
          <w:sz w:val="28"/>
          <w:szCs w:val="28"/>
        </w:rPr>
        <w:t>. La nuova situazione politica creata nel 1947 a causa della formazione di due stati indipendenti, ossia l’India e il Pakistan, pose la missione dinanzi a nuovi problemi. Difatti nel Pakistan</w:t>
      </w:r>
      <w:r w:rsidRPr="00383122">
        <w:rPr>
          <w:rStyle w:val="Rimandonotaapidipagina"/>
          <w:rFonts w:ascii="Times New Roman" w:hAnsi="Times New Roman" w:cs="Times New Roman"/>
          <w:color w:val="000000" w:themeColor="text1"/>
          <w:sz w:val="28"/>
          <w:szCs w:val="28"/>
        </w:rPr>
        <w:footnoteReference w:id="182"/>
      </w:r>
      <w:r w:rsidRPr="00383122">
        <w:rPr>
          <w:rFonts w:ascii="Times New Roman" w:hAnsi="Times New Roman" w:cs="Times New Roman"/>
          <w:color w:val="000000" w:themeColor="text1"/>
          <w:sz w:val="28"/>
          <w:szCs w:val="28"/>
        </w:rPr>
        <w:t>, a prevalenza mussulmana, la chiesa formava una minoranza trascurabile. Nel 1950 vennero erette le due province ecclesiastiche di Karachi e Daccan, e l’arcivescovo di Karachi fu nominato delegato apostolico del Pakistan</w:t>
      </w:r>
      <w:r w:rsidRPr="00383122">
        <w:rPr>
          <w:rStyle w:val="Rimandonotaapidipagina"/>
          <w:rFonts w:ascii="Times New Roman" w:hAnsi="Times New Roman" w:cs="Times New Roman"/>
          <w:color w:val="000000" w:themeColor="text1"/>
          <w:sz w:val="28"/>
          <w:szCs w:val="28"/>
        </w:rPr>
        <w:footnoteReference w:id="183"/>
      </w:r>
      <w:r w:rsidRPr="00383122">
        <w:rPr>
          <w:rFonts w:ascii="Times New Roman" w:hAnsi="Times New Roman" w:cs="Times New Roman"/>
          <w:color w:val="000000" w:themeColor="text1"/>
          <w:sz w:val="28"/>
          <w:szCs w:val="28"/>
        </w:rPr>
        <w:t xml:space="preserve">. Nell’India induista, grazie alla nuova costituzione, si garantì la libertà </w:t>
      </w:r>
      <w:r w:rsidRPr="00383122">
        <w:rPr>
          <w:rFonts w:ascii="Times New Roman" w:hAnsi="Times New Roman" w:cs="Times New Roman"/>
          <w:color w:val="000000" w:themeColor="text1"/>
          <w:sz w:val="28"/>
          <w:szCs w:val="28"/>
        </w:rPr>
        <w:lastRenderedPageBreak/>
        <w:t>religiosa, rendendo più agevole la cooperazione tra la chiesa ed il governo locale.</w:t>
      </w:r>
    </w:p>
    <w:p w14:paraId="1D237648"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Nella zona dell’India meridionale nel 1947 vennero soppresse due parrocchie (Mettur e Saveriarpalayam) dalla diocesi di Mysore e annesse a quella di Salem</w:t>
      </w:r>
      <w:r w:rsidRPr="00383122">
        <w:rPr>
          <w:rStyle w:val="Rimandonotaapidipagina"/>
          <w:rFonts w:ascii="Times New Roman" w:hAnsi="Times New Roman" w:cs="Times New Roman"/>
          <w:color w:val="000000" w:themeColor="text1"/>
          <w:sz w:val="28"/>
          <w:szCs w:val="28"/>
        </w:rPr>
        <w:footnoteReference w:id="184"/>
      </w:r>
      <w:r w:rsidRPr="00383122">
        <w:rPr>
          <w:rFonts w:ascii="Times New Roman" w:hAnsi="Times New Roman" w:cs="Times New Roman"/>
          <w:color w:val="000000" w:themeColor="text1"/>
          <w:sz w:val="28"/>
          <w:szCs w:val="28"/>
        </w:rPr>
        <w:t>. Nel distretto di Salem l’attività di evangelizzazione venne portata avanti prima dai gesuiti nella parte sud della diocesi, estendendosi fino al nord e poi, una volta soppressa la Compagnia di Gesù, da parte delle Missioni Estere di Parigi, che ebbero prima cura dei cristiani esistenti nei territori di dominio francese, poi degli altri nelle diverse missioni già affidate ai gesuiti</w:t>
      </w:r>
      <w:r w:rsidRPr="00383122">
        <w:rPr>
          <w:rStyle w:val="Rimandonotaapidipagina"/>
          <w:rFonts w:ascii="Times New Roman" w:hAnsi="Times New Roman" w:cs="Times New Roman"/>
          <w:color w:val="000000" w:themeColor="text1"/>
          <w:sz w:val="28"/>
          <w:szCs w:val="28"/>
        </w:rPr>
        <w:footnoteReference w:id="185"/>
      </w:r>
      <w:r w:rsidRPr="00383122">
        <w:rPr>
          <w:rFonts w:ascii="Times New Roman" w:hAnsi="Times New Roman" w:cs="Times New Roman"/>
          <w:color w:val="000000" w:themeColor="text1"/>
          <w:sz w:val="28"/>
          <w:szCs w:val="28"/>
        </w:rPr>
        <w:t>. Il 26 maggio 1930 le zone del distretto di Salem, incluse nella diocesi di Kumbakonam, Mysore e nell’arcidiocesi di Pondicherry, vennero staccate per erigervi la diocesi di Salem, dichiarata suffraganea della metropolitana di Pondicherry, la quale aveva Mysore come suffraganea ed entrambe vennero affidate alla società per le Missioni Estere di Parigi. II 3 marzo 1949 la diocesi di Salem venne affidata al clero secolare indiano.</w:t>
      </w:r>
    </w:p>
    <w:p w14:paraId="56C7307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Il 15 agosto 1947 l’India ottenne l’indipendenza e qualche anno dopo nel 1950 alcune diocesi con decreto di Propaganda fide mutarono denominazione</w:t>
      </w:r>
      <w:r w:rsidRPr="00383122">
        <w:rPr>
          <w:rStyle w:val="Rimandonotaapidipagina"/>
          <w:rFonts w:ascii="Times New Roman" w:hAnsi="Times New Roman" w:cs="Times New Roman"/>
          <w:color w:val="000000" w:themeColor="text1"/>
          <w:sz w:val="28"/>
          <w:szCs w:val="28"/>
        </w:rPr>
        <w:footnoteReference w:id="186"/>
      </w:r>
      <w:r w:rsidRPr="00383122">
        <w:rPr>
          <w:rFonts w:ascii="Times New Roman" w:hAnsi="Times New Roman" w:cs="Times New Roman"/>
          <w:color w:val="000000" w:themeColor="text1"/>
          <w:sz w:val="28"/>
          <w:szCs w:val="28"/>
        </w:rPr>
        <w:t xml:space="preserve">. </w:t>
      </w:r>
    </w:p>
    <w:p w14:paraId="0E9A6D43"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color w:val="000000" w:themeColor="text1"/>
          <w:sz w:val="28"/>
          <w:szCs w:val="28"/>
        </w:rPr>
        <w:t xml:space="preserve">La diocesi di Bezwada, nell’India sud orientale, suffraganea di Madras (che nacque come missione </w:t>
      </w:r>
      <w:r w:rsidRPr="00383122">
        <w:rPr>
          <w:rFonts w:ascii="Times New Roman" w:hAnsi="Times New Roman" w:cs="Times New Roman"/>
          <w:i/>
          <w:color w:val="000000" w:themeColor="text1"/>
          <w:sz w:val="28"/>
          <w:szCs w:val="28"/>
        </w:rPr>
        <w:t>sui iuris</w:t>
      </w:r>
      <w:r w:rsidRPr="00383122">
        <w:rPr>
          <w:rFonts w:ascii="Times New Roman" w:hAnsi="Times New Roman" w:cs="Times New Roman"/>
          <w:color w:val="000000" w:themeColor="text1"/>
          <w:sz w:val="28"/>
          <w:szCs w:val="28"/>
        </w:rPr>
        <w:t xml:space="preserve"> nel 1933 e venne elevata al rango di diocesi nel 1937) nel 1950 divenne la diocesi di </w:t>
      </w:r>
      <w:r w:rsidRPr="00383122">
        <w:rPr>
          <w:rFonts w:ascii="Times New Roman" w:hAnsi="Times New Roman" w:cs="Times New Roman"/>
          <w:bCs/>
          <w:color w:val="000000" w:themeColor="text1"/>
          <w:sz w:val="28"/>
          <w:szCs w:val="28"/>
          <w:shd w:val="clear" w:color="auto" w:fill="FFFFFF"/>
        </w:rPr>
        <w:t>Vijayawada</w:t>
      </w:r>
      <w:r w:rsidRPr="00383122">
        <w:rPr>
          <w:rStyle w:val="Rimandonotaapidipagina"/>
          <w:rFonts w:ascii="Times New Roman" w:hAnsi="Times New Roman" w:cs="Times New Roman"/>
          <w:bCs/>
          <w:color w:val="000000" w:themeColor="text1"/>
          <w:sz w:val="28"/>
          <w:szCs w:val="28"/>
          <w:shd w:val="clear" w:color="auto" w:fill="FFFFFF"/>
        </w:rPr>
        <w:footnoteReference w:id="187"/>
      </w:r>
      <w:r w:rsidRPr="00383122">
        <w:rPr>
          <w:rFonts w:ascii="Times New Roman" w:hAnsi="Times New Roman" w:cs="Times New Roman"/>
          <w:bCs/>
          <w:color w:val="000000" w:themeColor="text1"/>
          <w:sz w:val="28"/>
          <w:szCs w:val="28"/>
          <w:shd w:val="clear" w:color="auto" w:fill="FFFFFF"/>
        </w:rPr>
        <w:t xml:space="preserve">. </w:t>
      </w:r>
    </w:p>
    <w:p w14:paraId="1D6C562A"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Quella di Trichinopoly</w:t>
      </w:r>
      <w:r w:rsidRPr="00383122">
        <w:rPr>
          <w:rFonts w:ascii="Times New Roman" w:hAnsi="Times New Roman" w:cs="Times New Roman"/>
          <w:bCs/>
          <w:color w:val="000000" w:themeColor="text1"/>
          <w:sz w:val="28"/>
          <w:szCs w:val="28"/>
          <w:shd w:val="clear" w:color="auto" w:fill="FFFFFF"/>
        </w:rPr>
        <w:t xml:space="preserve">, situata nell'India sud orientale e confinante con le diocesi di Madurai, Coimbatour, Salem, Kumbakonam, Tanjore, facente parte della missione di Madura, avviata nel XVII secolo prima dai gesuiti e poi dalle Missioni estere di Parigi, nel 1886 venne elevata al grado di diocesi (perché vi fu l’istituzione della gerarchia ecclesiastica in tutto il territorio indiano) e </w:t>
      </w:r>
      <w:r w:rsidRPr="00383122">
        <w:rPr>
          <w:rFonts w:ascii="Times New Roman" w:hAnsi="Times New Roman" w:cs="Times New Roman"/>
          <w:bCs/>
          <w:color w:val="000000" w:themeColor="text1"/>
          <w:sz w:val="28"/>
          <w:szCs w:val="28"/>
          <w:shd w:val="clear" w:color="auto" w:fill="FFFFFF"/>
        </w:rPr>
        <w:lastRenderedPageBreak/>
        <w:t xml:space="preserve">dalla diocesi di </w:t>
      </w:r>
      <w:r w:rsidRPr="00383122">
        <w:rPr>
          <w:rFonts w:ascii="Times New Roman" w:hAnsi="Times New Roman" w:cs="Times New Roman"/>
          <w:color w:val="000000" w:themeColor="text1"/>
          <w:sz w:val="28"/>
          <w:szCs w:val="28"/>
          <w:shd w:val="clear" w:color="auto" w:fill="FFFFFF"/>
        </w:rPr>
        <w:t>Trichinopoly nel 1938 venne eretta la diocesi di Madura (che assunse il nome Madurai nel 1950)</w:t>
      </w:r>
      <w:r w:rsidRPr="00383122">
        <w:rPr>
          <w:rStyle w:val="Rimandonotaapidipagina"/>
          <w:rFonts w:ascii="Times New Roman" w:hAnsi="Times New Roman" w:cs="Times New Roman"/>
          <w:color w:val="000000" w:themeColor="text1"/>
          <w:sz w:val="28"/>
          <w:szCs w:val="28"/>
          <w:shd w:val="clear" w:color="auto" w:fill="FFFFFF"/>
        </w:rPr>
        <w:footnoteReference w:id="188"/>
      </w:r>
      <w:r w:rsidRPr="00383122">
        <w:rPr>
          <w:rFonts w:ascii="Times New Roman" w:hAnsi="Times New Roman" w:cs="Times New Roman"/>
          <w:color w:val="000000" w:themeColor="text1"/>
          <w:sz w:val="28"/>
          <w:szCs w:val="28"/>
          <w:shd w:val="clear" w:color="auto" w:fill="FFFFFF"/>
        </w:rPr>
        <w:t xml:space="preserve">. La diocesi di Trichinopoly, nel 1950 assunse il nome di diocesi di </w:t>
      </w:r>
      <w:r w:rsidRPr="00383122">
        <w:rPr>
          <w:rFonts w:ascii="Times New Roman" w:hAnsi="Times New Roman" w:cs="Times New Roman"/>
          <w:bCs/>
          <w:color w:val="000000" w:themeColor="text1"/>
          <w:sz w:val="28"/>
          <w:szCs w:val="28"/>
          <w:shd w:val="clear" w:color="auto" w:fill="FFFFFF"/>
        </w:rPr>
        <w:t>Tiruchirapalli.</w:t>
      </w:r>
    </w:p>
    <w:p w14:paraId="02B56572"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bCs/>
          <w:color w:val="000000" w:themeColor="text1"/>
          <w:sz w:val="28"/>
          <w:szCs w:val="28"/>
          <w:shd w:val="clear" w:color="auto" w:fill="FFFFFF"/>
        </w:rPr>
        <w:t>Mentre nell’India centro meridionale nel 1845 era stato eretto il</w:t>
      </w:r>
      <w:r w:rsidRPr="00383122">
        <w:rPr>
          <w:rFonts w:ascii="Arial" w:hAnsi="Arial" w:cs="Arial"/>
          <w:color w:val="000000" w:themeColor="text1"/>
          <w:sz w:val="21"/>
          <w:szCs w:val="21"/>
          <w:shd w:val="clear" w:color="auto" w:fill="FFFFFF"/>
        </w:rPr>
        <w:t> </w:t>
      </w:r>
      <w:r w:rsidRPr="00383122">
        <w:rPr>
          <w:rFonts w:ascii="Times New Roman" w:hAnsi="Times New Roman" w:cs="Times New Roman"/>
          <w:color w:val="000000" w:themeColor="text1"/>
          <w:sz w:val="28"/>
          <w:szCs w:val="28"/>
          <w:shd w:val="clear" w:color="auto" w:fill="FFFFFF"/>
        </w:rPr>
        <w:t>pro-vicariato apostolico di</w:t>
      </w:r>
      <w:r w:rsidRPr="00383122">
        <w:rPr>
          <w:rFonts w:ascii="Times New Roman" w:hAnsi="Times New Roman" w:cs="Times New Roman"/>
          <w:color w:val="000000" w:themeColor="text1"/>
          <w:sz w:val="24"/>
          <w:szCs w:val="24"/>
          <w:shd w:val="clear" w:color="auto" w:fill="FFFFFF"/>
        </w:rPr>
        <w:t xml:space="preserve"> </w:t>
      </w:r>
      <w:r w:rsidRPr="00383122">
        <w:rPr>
          <w:rFonts w:ascii="Times New Roman" w:hAnsi="Times New Roman" w:cs="Times New Roman"/>
          <w:color w:val="000000" w:themeColor="text1"/>
          <w:sz w:val="28"/>
          <w:szCs w:val="28"/>
          <w:shd w:val="clear" w:color="auto" w:fill="FFFFFF"/>
        </w:rPr>
        <w:t>Vizagapatam, ricavandone il territorio dal vicariato apostolico di Madras.</w:t>
      </w:r>
      <w:r w:rsidRPr="00383122">
        <w:rPr>
          <w:rFonts w:ascii="Arial" w:hAnsi="Arial" w:cs="Arial"/>
          <w:color w:val="000000" w:themeColor="text1"/>
          <w:sz w:val="21"/>
          <w:szCs w:val="21"/>
        </w:rPr>
        <w:t xml:space="preserve"> </w:t>
      </w:r>
      <w:r w:rsidRPr="00383122">
        <w:rPr>
          <w:rFonts w:ascii="Times New Roman" w:hAnsi="Times New Roman" w:cs="Times New Roman"/>
          <w:color w:val="000000" w:themeColor="text1"/>
          <w:sz w:val="28"/>
          <w:szCs w:val="28"/>
        </w:rPr>
        <w:t>Questo venne elevato a diocesi nel 1886 e l’anno seguente con l’istituzione dell’arcidiocesi di Marai, Vizagapatam divenne una delle </w:t>
      </w:r>
      <w:hyperlink r:id="rId12" w:tooltip="Diocesi suffraganea" w:history="1">
        <w:r w:rsidRPr="00383122">
          <w:rPr>
            <w:rStyle w:val="Collegamentoipertestuale"/>
            <w:rFonts w:ascii="Times New Roman" w:hAnsi="Times New Roman" w:cs="Times New Roman"/>
            <w:color w:val="000000" w:themeColor="text1"/>
            <w:sz w:val="28"/>
            <w:szCs w:val="28"/>
            <w:u w:val="none"/>
          </w:rPr>
          <w:t>suffraganee</w:t>
        </w:r>
      </w:hyperlink>
      <w:r w:rsidRPr="00383122">
        <w:rPr>
          <w:rFonts w:ascii="Times New Roman" w:hAnsi="Times New Roman" w:cs="Times New Roman"/>
          <w:color w:val="000000" w:themeColor="text1"/>
          <w:sz w:val="28"/>
          <w:szCs w:val="28"/>
        </w:rPr>
        <w:t>.</w:t>
      </w:r>
      <w:r w:rsidRPr="00383122">
        <w:rPr>
          <w:rFonts w:ascii="Arial" w:hAnsi="Arial" w:cs="Arial"/>
          <w:color w:val="000000" w:themeColor="text1"/>
          <w:sz w:val="21"/>
          <w:szCs w:val="21"/>
        </w:rPr>
        <w:t xml:space="preserve"> </w:t>
      </w:r>
      <w:r w:rsidRPr="00383122">
        <w:rPr>
          <w:rFonts w:ascii="Times New Roman" w:hAnsi="Times New Roman" w:cs="Times New Roman"/>
          <w:color w:val="000000" w:themeColor="text1"/>
          <w:sz w:val="28"/>
          <w:szCs w:val="28"/>
        </w:rPr>
        <w:t>Il 18 luglio </w:t>
      </w:r>
      <w:hyperlink r:id="rId13" w:tooltip="1928" w:history="1">
        <w:r w:rsidRPr="00383122">
          <w:rPr>
            <w:rStyle w:val="Collegamentoipertestuale"/>
            <w:rFonts w:ascii="Times New Roman" w:hAnsi="Times New Roman" w:cs="Times New Roman"/>
            <w:color w:val="000000" w:themeColor="text1"/>
            <w:sz w:val="28"/>
            <w:szCs w:val="28"/>
            <w:u w:val="none"/>
          </w:rPr>
          <w:t>1928</w:t>
        </w:r>
      </w:hyperlink>
      <w:r w:rsidRPr="00383122">
        <w:rPr>
          <w:rFonts w:ascii="Times New Roman" w:hAnsi="Times New Roman" w:cs="Times New Roman"/>
          <w:color w:val="000000" w:themeColor="text1"/>
          <w:sz w:val="28"/>
          <w:szCs w:val="28"/>
        </w:rPr>
        <w:t> cedette porzioni del suo territorio a vantaggio dell'erezione, rispettivamente della diocesi di </w:t>
      </w:r>
      <w:hyperlink r:id="rId14" w:tooltip="Arcidiocesi di Nagpur" w:history="1">
        <w:r w:rsidRPr="00383122">
          <w:rPr>
            <w:rStyle w:val="Collegamentoipertestuale"/>
            <w:rFonts w:ascii="Times New Roman" w:hAnsi="Times New Roman" w:cs="Times New Roman"/>
            <w:color w:val="000000" w:themeColor="text1"/>
            <w:sz w:val="28"/>
            <w:szCs w:val="28"/>
            <w:u w:val="none"/>
          </w:rPr>
          <w:t>Nagpur</w:t>
        </w:r>
      </w:hyperlink>
      <w:r w:rsidRPr="00383122">
        <w:rPr>
          <w:rFonts w:ascii="Times New Roman" w:hAnsi="Times New Roman" w:cs="Times New Roman"/>
          <w:color w:val="000000" w:themeColor="text1"/>
          <w:sz w:val="28"/>
          <w:szCs w:val="28"/>
        </w:rPr>
        <w:t> e della </w:t>
      </w:r>
      <w:hyperlink r:id="rId15" w:tooltip="Missione sui iuris" w:history="1">
        <w:r w:rsidRPr="00383122">
          <w:rPr>
            <w:rStyle w:val="Collegamentoipertestuale"/>
            <w:rFonts w:ascii="Times New Roman" w:hAnsi="Times New Roman" w:cs="Times New Roman"/>
            <w:color w:val="000000" w:themeColor="text1"/>
            <w:sz w:val="28"/>
            <w:szCs w:val="28"/>
            <w:u w:val="none"/>
          </w:rPr>
          <w:t xml:space="preserve">missione </w:t>
        </w:r>
        <w:r w:rsidRPr="00383122">
          <w:rPr>
            <w:rStyle w:val="Collegamentoipertestuale"/>
            <w:rFonts w:ascii="Times New Roman" w:hAnsi="Times New Roman" w:cs="Times New Roman"/>
            <w:i/>
            <w:color w:val="000000" w:themeColor="text1"/>
            <w:sz w:val="28"/>
            <w:szCs w:val="28"/>
            <w:u w:val="none"/>
          </w:rPr>
          <w:t>sui iuris</w:t>
        </w:r>
      </w:hyperlink>
      <w:r w:rsidRPr="00383122">
        <w:rPr>
          <w:rFonts w:ascii="Times New Roman" w:hAnsi="Times New Roman" w:cs="Times New Roman"/>
          <w:color w:val="000000" w:themeColor="text1"/>
          <w:sz w:val="28"/>
          <w:szCs w:val="28"/>
        </w:rPr>
        <w:t> di Cuttack, che venne elevata a diocesi nel 1937 e affidata ai Lazzaristi.</w:t>
      </w:r>
    </w:p>
    <w:p w14:paraId="040182A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 </w:t>
      </w:r>
      <w:r w:rsidRPr="00383122">
        <w:rPr>
          <w:rFonts w:ascii="Times New Roman" w:hAnsi="Times New Roman" w:cs="Times New Roman"/>
          <w:color w:val="000000" w:themeColor="text1"/>
          <w:sz w:val="28"/>
          <w:szCs w:val="28"/>
          <w:shd w:val="clear" w:color="auto" w:fill="FFFFFF"/>
        </w:rPr>
        <w:t>La diocesi di</w:t>
      </w:r>
      <w:r w:rsidRPr="00383122">
        <w:rPr>
          <w:rFonts w:ascii="Times New Roman" w:hAnsi="Times New Roman" w:cs="Times New Roman"/>
          <w:color w:val="000000" w:themeColor="text1"/>
          <w:sz w:val="24"/>
          <w:szCs w:val="24"/>
          <w:shd w:val="clear" w:color="auto" w:fill="FFFFFF"/>
        </w:rPr>
        <w:t xml:space="preserve"> </w:t>
      </w:r>
      <w:r w:rsidRPr="00383122">
        <w:rPr>
          <w:rFonts w:ascii="Times New Roman" w:hAnsi="Times New Roman" w:cs="Times New Roman"/>
          <w:color w:val="000000" w:themeColor="text1"/>
          <w:sz w:val="28"/>
          <w:szCs w:val="28"/>
          <w:shd w:val="clear" w:color="auto" w:fill="FFFFFF"/>
        </w:rPr>
        <w:t xml:space="preserve">Vizagapatam </w:t>
      </w:r>
      <w:r w:rsidRPr="00383122">
        <w:rPr>
          <w:rFonts w:ascii="Times New Roman" w:hAnsi="Times New Roman" w:cs="Times New Roman"/>
          <w:color w:val="000000" w:themeColor="text1"/>
          <w:sz w:val="28"/>
          <w:szCs w:val="28"/>
        </w:rPr>
        <w:t>il 21 ottobre </w:t>
      </w:r>
      <w:hyperlink r:id="rId16" w:tooltip="1950" w:history="1">
        <w:r w:rsidRPr="00383122">
          <w:rPr>
            <w:rStyle w:val="Collegamentoipertestuale"/>
            <w:rFonts w:ascii="Times New Roman" w:hAnsi="Times New Roman" w:cs="Times New Roman"/>
            <w:color w:val="000000" w:themeColor="text1"/>
            <w:sz w:val="28"/>
            <w:szCs w:val="28"/>
            <w:u w:val="none"/>
          </w:rPr>
          <w:t>1950</w:t>
        </w:r>
      </w:hyperlink>
      <w:r w:rsidRPr="00383122">
        <w:rPr>
          <w:rFonts w:ascii="Times New Roman" w:hAnsi="Times New Roman" w:cs="Times New Roman"/>
          <w:color w:val="000000" w:themeColor="text1"/>
          <w:sz w:val="28"/>
          <w:szCs w:val="28"/>
        </w:rPr>
        <w:t>  assunse il nome di diocesi di Visakhapatnam</w:t>
      </w:r>
      <w:r w:rsidRPr="00383122">
        <w:rPr>
          <w:rStyle w:val="Rimandonotaapidipagina"/>
          <w:rFonts w:ascii="Times New Roman" w:hAnsi="Times New Roman" w:cs="Times New Roman"/>
          <w:color w:val="000000" w:themeColor="text1"/>
          <w:sz w:val="28"/>
          <w:szCs w:val="28"/>
        </w:rPr>
        <w:footnoteReference w:id="189"/>
      </w:r>
      <w:r w:rsidRPr="00383122">
        <w:rPr>
          <w:rFonts w:ascii="Times New Roman" w:hAnsi="Times New Roman" w:cs="Times New Roman"/>
          <w:color w:val="000000" w:themeColor="text1"/>
          <w:sz w:val="28"/>
          <w:szCs w:val="28"/>
        </w:rPr>
        <w:t>.</w:t>
      </w:r>
    </w:p>
    <w:p w14:paraId="5D451117"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 1958 vennero rivisti i confini tra la diocesi di Cuttack, di Visakhapatnam e di Sambalpur, che venne elevata a diocesi nel 1951 e che era costituita dai distretti civili di Ganpur, Bonai e Bamra, Patna e parte del distretto di Sonepur (ceduti dalla diocesi di Nagpur) e confinante con le diocesi di Ranchi, Nagpur, Cuttack, e l’arcidiocesi di Calcutta</w:t>
      </w:r>
      <w:r w:rsidRPr="00383122">
        <w:rPr>
          <w:rStyle w:val="Rimandonotaapidipagina"/>
          <w:rFonts w:ascii="Times New Roman" w:hAnsi="Times New Roman" w:cs="Times New Roman"/>
          <w:color w:val="000000" w:themeColor="text1"/>
          <w:sz w:val="28"/>
          <w:szCs w:val="28"/>
        </w:rPr>
        <w:footnoteReference w:id="190"/>
      </w:r>
      <w:r w:rsidRPr="00383122">
        <w:rPr>
          <w:rFonts w:ascii="Times New Roman" w:hAnsi="Times New Roman" w:cs="Times New Roman"/>
          <w:color w:val="000000" w:themeColor="text1"/>
          <w:sz w:val="28"/>
          <w:szCs w:val="28"/>
        </w:rPr>
        <w:t xml:space="preserve">. </w:t>
      </w:r>
    </w:p>
    <w:p w14:paraId="443D1742"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Propaganda fide con decreto del 1958 decise di includere il distretto di Orissa (che si affacciava sul Golfo del Bengala) e tutta l’area dell’Andra Pradesh nella diocesi di Visakhapatnam, mentre il fiume Tel rivolto ad est fino alla confluenza con il fiume Kodogo divenne il nuovo confine che separava le diocesi di Cuttack e Sambalpur</w:t>
      </w:r>
      <w:r w:rsidRPr="00383122">
        <w:rPr>
          <w:rStyle w:val="Rimandonotaapidipagina"/>
          <w:rFonts w:ascii="Times New Roman" w:hAnsi="Times New Roman" w:cs="Times New Roman"/>
          <w:color w:val="000000" w:themeColor="text1"/>
          <w:sz w:val="28"/>
          <w:szCs w:val="28"/>
        </w:rPr>
        <w:footnoteReference w:id="191"/>
      </w:r>
      <w:r w:rsidRPr="00383122">
        <w:rPr>
          <w:rFonts w:ascii="Times New Roman" w:hAnsi="Times New Roman" w:cs="Times New Roman"/>
          <w:color w:val="000000" w:themeColor="text1"/>
          <w:sz w:val="28"/>
          <w:szCs w:val="28"/>
        </w:rPr>
        <w:t>.</w:t>
      </w:r>
    </w:p>
    <w:p w14:paraId="27C28EDE"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Nell’area situata di fronte al Golfo del Bengala vi fu un altro mutamento di confini, nel 1959, tra la diocesi di Nellore e l’arcidiocesi di Hyderabad. </w:t>
      </w:r>
    </w:p>
    <w:p w14:paraId="6DEFB456"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lastRenderedPageBreak/>
        <w:t>La diocesi di Nellore, situata nell’India sud orientale e affidata alla società di Mill Hill fu eretta nel 1928,</w:t>
      </w:r>
      <w:r w:rsidRPr="00383122">
        <w:rPr>
          <w:rFonts w:ascii="Arial" w:hAnsi="Arial" w:cs="Arial"/>
          <w:color w:val="000000" w:themeColor="text1"/>
          <w:sz w:val="21"/>
          <w:szCs w:val="21"/>
          <w:shd w:val="clear" w:color="auto" w:fill="FFFFFF"/>
        </w:rPr>
        <w:t xml:space="preserve"> </w:t>
      </w:r>
      <w:r w:rsidRPr="00383122">
        <w:rPr>
          <w:rFonts w:ascii="Times New Roman" w:hAnsi="Times New Roman" w:cs="Times New Roman"/>
          <w:color w:val="000000" w:themeColor="text1"/>
          <w:sz w:val="28"/>
          <w:szCs w:val="28"/>
          <w:shd w:val="clear" w:color="auto" w:fill="FFFFFF"/>
        </w:rPr>
        <w:t>ricavandone il territorio dall'arcidiocesi di Madras, mentre la diocesi di Hyderabad venne eretta nel 1886, da territori presi dall’arcidiocesi di Madras e successivamente cedette a più riprese porzioni del proprio territorio a vantaggio dell'erezione di nuove circoscrizioni ecclesiastiche</w:t>
      </w:r>
      <w:r w:rsidRPr="00383122">
        <w:rPr>
          <w:rStyle w:val="Rimandonotaapidipagina"/>
          <w:rFonts w:ascii="Times New Roman" w:hAnsi="Times New Roman" w:cs="Times New Roman"/>
          <w:color w:val="000000" w:themeColor="text1"/>
          <w:sz w:val="28"/>
          <w:szCs w:val="28"/>
          <w:shd w:val="clear" w:color="auto" w:fill="FFFFFF"/>
        </w:rPr>
        <w:footnoteReference w:id="192"/>
      </w:r>
      <w:r w:rsidRPr="00383122">
        <w:rPr>
          <w:rFonts w:ascii="Arial" w:hAnsi="Arial" w:cs="Arial"/>
          <w:color w:val="000000" w:themeColor="text1"/>
          <w:sz w:val="21"/>
          <w:szCs w:val="21"/>
          <w:shd w:val="clear" w:color="auto" w:fill="FFFFFF"/>
        </w:rPr>
        <w:t>.</w:t>
      </w:r>
      <w:r w:rsidRPr="00383122">
        <w:rPr>
          <w:rFonts w:ascii="Times New Roman" w:hAnsi="Times New Roman" w:cs="Times New Roman"/>
          <w:color w:val="000000" w:themeColor="text1"/>
          <w:sz w:val="28"/>
          <w:szCs w:val="28"/>
        </w:rPr>
        <w:t xml:space="preserve"> La S.C di Propaganda fide, con decreto decise di includere i </w:t>
      </w:r>
      <w:r w:rsidRPr="00383122">
        <w:rPr>
          <w:rFonts w:ascii="Times New Roman" w:hAnsi="Times New Roman" w:cs="Times New Roman"/>
          <w:i/>
          <w:color w:val="000000" w:themeColor="text1"/>
          <w:sz w:val="28"/>
          <w:szCs w:val="28"/>
        </w:rPr>
        <w:t>taluk</w:t>
      </w:r>
      <w:r w:rsidRPr="00383122">
        <w:rPr>
          <w:rFonts w:ascii="Times New Roman" w:hAnsi="Times New Roman" w:cs="Times New Roman"/>
          <w:color w:val="000000" w:themeColor="text1"/>
          <w:sz w:val="28"/>
          <w:szCs w:val="28"/>
        </w:rPr>
        <w:t>s (distretti amministrativi) di Alur e Adoni nella diocesi di Nellore e quelli di Alumpur, Gadwal, Tandur e Godangal nella diocesi di Hyderabad</w:t>
      </w:r>
      <w:r w:rsidRPr="00383122">
        <w:rPr>
          <w:rStyle w:val="Rimandonotaapidipagina"/>
          <w:rFonts w:ascii="Times New Roman" w:hAnsi="Times New Roman" w:cs="Times New Roman"/>
          <w:color w:val="000000" w:themeColor="text1"/>
          <w:sz w:val="28"/>
          <w:szCs w:val="28"/>
        </w:rPr>
        <w:footnoteReference w:id="193"/>
      </w:r>
      <w:r w:rsidRPr="00383122">
        <w:rPr>
          <w:rFonts w:ascii="Times New Roman" w:hAnsi="Times New Roman" w:cs="Times New Roman"/>
          <w:color w:val="000000" w:themeColor="text1"/>
          <w:sz w:val="28"/>
          <w:szCs w:val="28"/>
        </w:rPr>
        <w:t>.</w:t>
      </w:r>
    </w:p>
    <w:p w14:paraId="594BC9A3"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Sempre nel sud dell’India nel 1962, si decise di includere la diocesi di Ootacamund, che venne eretta nel 1955, ricavandone il territorio dalla diocesi di Mysore, precedentemente facente parte della provincia ecclesiastica del Bangalore (suffraganea di Pondicherry, affidata al clero secolare indigeno, ed eretta nel 1940 con territorio distaccato dalla diocesi di Mysore), nella provincia ecclesiastica di Madras</w:t>
      </w:r>
      <w:r w:rsidRPr="00383122">
        <w:rPr>
          <w:rStyle w:val="Rimandonotaapidipagina"/>
          <w:rFonts w:ascii="Times New Roman" w:hAnsi="Times New Roman" w:cs="Times New Roman"/>
          <w:color w:val="000000" w:themeColor="text1"/>
          <w:sz w:val="28"/>
          <w:szCs w:val="28"/>
        </w:rPr>
        <w:footnoteReference w:id="194"/>
      </w:r>
      <w:r w:rsidRPr="00383122">
        <w:rPr>
          <w:rFonts w:ascii="Times New Roman" w:hAnsi="Times New Roman" w:cs="Times New Roman"/>
          <w:color w:val="000000" w:themeColor="text1"/>
          <w:sz w:val="28"/>
          <w:szCs w:val="28"/>
        </w:rPr>
        <w:t>.</w:t>
      </w:r>
    </w:p>
    <w:p w14:paraId="05FB52EB"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Nell’India centrale vi era la prefettura apostolica di Jubbulpore</w:t>
      </w:r>
      <w:r w:rsidRPr="00383122">
        <w:rPr>
          <w:rStyle w:val="Rimandonotaapidipagina"/>
          <w:rFonts w:ascii="Times New Roman" w:hAnsi="Times New Roman" w:cs="Times New Roman"/>
          <w:bCs/>
          <w:color w:val="000000" w:themeColor="text1"/>
          <w:sz w:val="28"/>
          <w:szCs w:val="28"/>
          <w:shd w:val="clear" w:color="auto" w:fill="FFFFFF"/>
        </w:rPr>
        <w:footnoteReference w:id="195"/>
      </w:r>
      <w:r w:rsidRPr="00383122">
        <w:rPr>
          <w:rFonts w:ascii="Times New Roman" w:hAnsi="Times New Roman" w:cs="Times New Roman"/>
          <w:bCs/>
          <w:color w:val="000000" w:themeColor="text1"/>
          <w:sz w:val="28"/>
          <w:szCs w:val="28"/>
          <w:shd w:val="clear" w:color="auto" w:fill="FFFFFF"/>
        </w:rPr>
        <w:t xml:space="preserve">, affidata all’ordine dei Premostratensi, eretta il 18 luglio 1932 dai territori delle diocesi di Nagpur e Allahabad e suffraganea dell’arcidiocesi di Madras. </w:t>
      </w:r>
    </w:p>
    <w:p w14:paraId="04AD34D1"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Questa confinava a nord con la diocesi di Allahabad, ad est con quella di Ranchi, a sud con la diocesi di Nagpur e ad ovest con quella d’Indore</w:t>
      </w:r>
      <w:r w:rsidRPr="00383122">
        <w:rPr>
          <w:rStyle w:val="Rimandonotaapidipagina"/>
          <w:rFonts w:ascii="Times New Roman" w:hAnsi="Times New Roman" w:cs="Times New Roman"/>
          <w:bCs/>
          <w:color w:val="000000" w:themeColor="text1"/>
          <w:sz w:val="28"/>
          <w:szCs w:val="28"/>
          <w:shd w:val="clear" w:color="auto" w:fill="FFFFFF"/>
        </w:rPr>
        <w:footnoteReference w:id="196"/>
      </w:r>
      <w:r w:rsidRPr="00383122">
        <w:rPr>
          <w:rFonts w:ascii="Times New Roman" w:hAnsi="Times New Roman" w:cs="Times New Roman"/>
          <w:bCs/>
          <w:color w:val="000000" w:themeColor="text1"/>
          <w:sz w:val="28"/>
          <w:szCs w:val="28"/>
          <w:shd w:val="clear" w:color="auto" w:fill="FFFFFF"/>
        </w:rPr>
        <w:t>. Con decreto del 27 ottobre 1950 le fu cambiato il nome in Jabalpur e nel 1954 venne elevata a diocesi.</w:t>
      </w:r>
    </w:p>
    <w:p w14:paraId="5BBB14C2"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 xml:space="preserve">A nord-est dello Jabalpur nel 1951 si decise di includere l’ex possedimento francese di Chandernagore, che apparteneva dal punto di vista ecclesiastico </w:t>
      </w:r>
      <w:r w:rsidRPr="00383122">
        <w:rPr>
          <w:rFonts w:ascii="Times New Roman" w:hAnsi="Times New Roman" w:cs="Times New Roman"/>
          <w:bCs/>
          <w:color w:val="000000" w:themeColor="text1"/>
          <w:sz w:val="28"/>
          <w:szCs w:val="28"/>
          <w:shd w:val="clear" w:color="auto" w:fill="FFFFFF"/>
        </w:rPr>
        <w:lastRenderedPageBreak/>
        <w:t>agli arcivescovi di Pondicherry, nell’arcidiocesi di Calcutta, sotto il controllo dell’Unione indiana</w:t>
      </w:r>
      <w:r w:rsidRPr="00383122">
        <w:rPr>
          <w:rStyle w:val="Rimandonotaapidipagina"/>
          <w:rFonts w:ascii="Times New Roman" w:hAnsi="Times New Roman" w:cs="Times New Roman"/>
          <w:bCs/>
          <w:color w:val="000000" w:themeColor="text1"/>
          <w:sz w:val="28"/>
          <w:szCs w:val="28"/>
          <w:shd w:val="clear" w:color="auto" w:fill="FFFFFF"/>
        </w:rPr>
        <w:footnoteReference w:id="197"/>
      </w:r>
      <w:r w:rsidRPr="00383122">
        <w:rPr>
          <w:rFonts w:ascii="Times New Roman" w:hAnsi="Times New Roman" w:cs="Times New Roman"/>
          <w:bCs/>
          <w:color w:val="000000" w:themeColor="text1"/>
          <w:sz w:val="28"/>
          <w:szCs w:val="28"/>
          <w:shd w:val="clear" w:color="auto" w:fill="FFFFFF"/>
        </w:rPr>
        <w:t>.</w:t>
      </w:r>
    </w:p>
    <w:p w14:paraId="456C3DC8"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L’area di Pondicherry, situata nel sud dell’India, fu affidata prima ai gesuiti, poi alle Missioni Estere di Parigi, diventando vicariato nel XIX secolo, successivamente, nel 1886, venne elevata al rango di arcidiocesi</w:t>
      </w:r>
      <w:r w:rsidRPr="00383122">
        <w:rPr>
          <w:rStyle w:val="Rimandonotaapidipagina"/>
          <w:rFonts w:ascii="Times New Roman" w:hAnsi="Times New Roman" w:cs="Times New Roman"/>
          <w:bCs/>
          <w:color w:val="000000" w:themeColor="text1"/>
          <w:sz w:val="28"/>
          <w:szCs w:val="28"/>
          <w:shd w:val="clear" w:color="auto" w:fill="FFFFFF"/>
        </w:rPr>
        <w:footnoteReference w:id="198"/>
      </w:r>
      <w:r w:rsidRPr="00383122">
        <w:rPr>
          <w:rFonts w:ascii="Times New Roman" w:hAnsi="Times New Roman" w:cs="Times New Roman"/>
          <w:bCs/>
          <w:color w:val="000000" w:themeColor="text1"/>
          <w:sz w:val="28"/>
          <w:szCs w:val="28"/>
          <w:shd w:val="clear" w:color="auto" w:fill="FFFFFF"/>
        </w:rPr>
        <w:t>. Mentre Calcutta, (promossa anch’essa ad arcidiocesi nel 1886),</w:t>
      </w:r>
      <w:r w:rsidRPr="00383122">
        <w:rPr>
          <w:color w:val="000000" w:themeColor="text1"/>
        </w:rPr>
        <w:t xml:space="preserve"> </w:t>
      </w:r>
      <w:r w:rsidRPr="00383122">
        <w:rPr>
          <w:rFonts w:ascii="Times New Roman" w:hAnsi="Times New Roman" w:cs="Times New Roman"/>
          <w:bCs/>
          <w:color w:val="000000" w:themeColor="text1"/>
          <w:sz w:val="28"/>
          <w:szCs w:val="28"/>
          <w:shd w:val="clear" w:color="auto" w:fill="FFFFFF"/>
        </w:rPr>
        <w:t>era costituita dalla parte occidentale del vicariato apostolico del Bengala (1834), che venne suddiviso in due (orientale ed occidentale) nel 1850. L’attività di evangelizzazione in tale area era affidata ai gesuiti ed a congregazioni femminili, come le suore di carità</w:t>
      </w:r>
      <w:r w:rsidRPr="00383122">
        <w:rPr>
          <w:rStyle w:val="Rimandonotaapidipagina"/>
          <w:rFonts w:ascii="Times New Roman" w:hAnsi="Times New Roman" w:cs="Times New Roman"/>
          <w:bCs/>
          <w:color w:val="000000" w:themeColor="text1"/>
          <w:sz w:val="28"/>
          <w:szCs w:val="28"/>
          <w:shd w:val="clear" w:color="auto" w:fill="FFFFFF"/>
        </w:rPr>
        <w:footnoteReference w:id="199"/>
      </w:r>
      <w:r w:rsidRPr="00383122">
        <w:rPr>
          <w:rFonts w:ascii="Times New Roman" w:hAnsi="Times New Roman" w:cs="Times New Roman"/>
          <w:bCs/>
          <w:color w:val="000000" w:themeColor="text1"/>
          <w:sz w:val="28"/>
          <w:szCs w:val="28"/>
          <w:shd w:val="clear" w:color="auto" w:fill="FFFFFF"/>
        </w:rPr>
        <w:t>.</w:t>
      </w:r>
    </w:p>
    <w:p w14:paraId="3C241801"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Nella zona sud-occidentale del Deccan, vi fu la concessione inizialmente temporanea, poi definitiva nel 1955, della parte meridionale della diocesi del Coccino (Cochin) a quella di Trivandrum, a causa della distanza dalla sede episcopale</w:t>
      </w:r>
      <w:r w:rsidRPr="00383122">
        <w:rPr>
          <w:rStyle w:val="Rimandonotaapidipagina"/>
          <w:rFonts w:ascii="Times New Roman" w:hAnsi="Times New Roman" w:cs="Times New Roman"/>
          <w:bCs/>
          <w:color w:val="000000" w:themeColor="text1"/>
          <w:sz w:val="28"/>
          <w:szCs w:val="28"/>
          <w:shd w:val="clear" w:color="auto" w:fill="FFFFFF"/>
        </w:rPr>
        <w:footnoteReference w:id="200"/>
      </w:r>
      <w:r w:rsidRPr="00383122">
        <w:rPr>
          <w:rFonts w:ascii="Times New Roman" w:hAnsi="Times New Roman" w:cs="Times New Roman"/>
          <w:bCs/>
          <w:color w:val="000000" w:themeColor="text1"/>
          <w:sz w:val="28"/>
          <w:szCs w:val="28"/>
          <w:shd w:val="clear" w:color="auto" w:fill="FFFFFF"/>
        </w:rPr>
        <w:t xml:space="preserve">. </w:t>
      </w:r>
    </w:p>
    <w:p w14:paraId="1F2ABF1D"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La diocesi di Coccino, suffraganea di Goa, era situata sulla costa del Malabar. Questa diocesi venne soppressa nel 1838 e ristabilita nel 1886 e fu subordinata ai privilegi del patronato portoghese fino al 1950</w:t>
      </w:r>
      <w:r w:rsidRPr="00383122">
        <w:rPr>
          <w:rStyle w:val="Rimandonotaapidipagina"/>
          <w:rFonts w:ascii="Times New Roman" w:hAnsi="Times New Roman" w:cs="Times New Roman"/>
          <w:bCs/>
          <w:color w:val="000000" w:themeColor="text1"/>
          <w:sz w:val="28"/>
          <w:szCs w:val="28"/>
          <w:shd w:val="clear" w:color="auto" w:fill="FFFFFF"/>
        </w:rPr>
        <w:footnoteReference w:id="201"/>
      </w:r>
      <w:r w:rsidRPr="00383122">
        <w:rPr>
          <w:rFonts w:ascii="Times New Roman" w:hAnsi="Times New Roman" w:cs="Times New Roman"/>
          <w:bCs/>
          <w:color w:val="000000" w:themeColor="text1"/>
          <w:sz w:val="28"/>
          <w:szCs w:val="28"/>
          <w:shd w:val="clear" w:color="auto" w:fill="FFFFFF"/>
        </w:rPr>
        <w:t>. Mentre la diocesi di Trivandrum, situata nell’India sud-occidentale, confinante con il mare Arabico e le diocesi di Quilon, Madura e Kottar, fu eretta il 1 luglio 1937 per smembramento della diocesi di Quilon e diventò suffraganea della metropolitana di Verapoly. Tale diocesi civilmente faceva parte (escludendo la piccola estensione britannica di Anjengo) del Regno di Travancore; dopo l’indipendenza dell’India venne inclusa nella provincia Cocin-Travancore</w:t>
      </w:r>
      <w:r w:rsidRPr="00383122">
        <w:rPr>
          <w:rStyle w:val="Rimandonotaapidipagina"/>
          <w:rFonts w:ascii="Times New Roman" w:hAnsi="Times New Roman" w:cs="Times New Roman"/>
          <w:bCs/>
          <w:color w:val="000000" w:themeColor="text1"/>
          <w:sz w:val="28"/>
          <w:szCs w:val="28"/>
          <w:shd w:val="clear" w:color="auto" w:fill="FFFFFF"/>
        </w:rPr>
        <w:footnoteReference w:id="202"/>
      </w:r>
      <w:r w:rsidRPr="00383122">
        <w:rPr>
          <w:rFonts w:ascii="Times New Roman" w:hAnsi="Times New Roman" w:cs="Times New Roman"/>
          <w:bCs/>
          <w:color w:val="000000" w:themeColor="text1"/>
          <w:sz w:val="28"/>
          <w:szCs w:val="28"/>
          <w:shd w:val="clear" w:color="auto" w:fill="FFFFFF"/>
        </w:rPr>
        <w:t>.</w:t>
      </w:r>
    </w:p>
    <w:p w14:paraId="6BDBD4C0"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lastRenderedPageBreak/>
        <w:t>A nord-ovest dell’India, nel territorio del Pakistan</w:t>
      </w:r>
      <w:r w:rsidRPr="00383122">
        <w:rPr>
          <w:color w:val="000000" w:themeColor="text1"/>
        </w:rPr>
        <w:t xml:space="preserve"> </w:t>
      </w:r>
      <w:r w:rsidRPr="00383122">
        <w:rPr>
          <w:rFonts w:ascii="Times New Roman" w:hAnsi="Times New Roman" w:cs="Times New Roman"/>
          <w:color w:val="000000" w:themeColor="text1"/>
          <w:sz w:val="28"/>
          <w:szCs w:val="28"/>
        </w:rPr>
        <w:t xml:space="preserve">occidentale, </w:t>
      </w:r>
      <w:r w:rsidRPr="00383122">
        <w:rPr>
          <w:rFonts w:ascii="Times New Roman" w:hAnsi="Times New Roman" w:cs="Times New Roman"/>
          <w:bCs/>
          <w:color w:val="000000" w:themeColor="text1"/>
          <w:sz w:val="28"/>
          <w:szCs w:val="28"/>
          <w:shd w:val="clear" w:color="auto" w:fill="FFFFFF"/>
        </w:rPr>
        <w:t xml:space="preserve">vi era la diocesi di Multan, fondata dai cappuccini nel 1859. Questa fece parte della diocesi di Lahore fino al 1936, quando fu separata da Lahore, eretta in prefettura apostolica ed affidata ai domenicani. Il 20 luglio 1939 venne elevata a diocesi suffraganea dell’arcidiocesi di Simla e Delhi. </w:t>
      </w:r>
    </w:p>
    <w:p w14:paraId="6B7DB0ED"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Quest’ultima era un’arcidiocesi, che era stata eretta nel 1910, con territorio distaccato dall’arcidiocesi di Agra ed in parte dalla diocesi di Lahore, e che fu affidata ai Cappuccini. Nel 1937, in seguito alle richieste dei cattolici indiani, desiderosi di vedere la capitale dell’India sede d’un prelato cattolico, le fu incorporata, prendendo territori nuovamente da Agra, anche la città di Delhi con i suoi dintorni, ed alla circoscrizione così ingrandita fu dato il nome di arcidiocesi di Delhi</w:t>
      </w:r>
      <w:r w:rsidRPr="00383122">
        <w:rPr>
          <w:rStyle w:val="Rimandonotaapidipagina"/>
          <w:rFonts w:ascii="Times New Roman" w:hAnsi="Times New Roman" w:cs="Times New Roman"/>
          <w:bCs/>
          <w:color w:val="000000" w:themeColor="text1"/>
          <w:sz w:val="28"/>
          <w:szCs w:val="28"/>
          <w:shd w:val="clear" w:color="auto" w:fill="FFFFFF"/>
        </w:rPr>
        <w:footnoteReference w:id="203"/>
      </w:r>
      <w:r w:rsidRPr="00383122">
        <w:rPr>
          <w:rFonts w:ascii="Times New Roman" w:hAnsi="Times New Roman" w:cs="Times New Roman"/>
          <w:bCs/>
          <w:color w:val="000000" w:themeColor="text1"/>
          <w:sz w:val="28"/>
          <w:szCs w:val="28"/>
          <w:shd w:val="clear" w:color="auto" w:fill="FFFFFF"/>
        </w:rPr>
        <w:t xml:space="preserve">. Nel 1959 con decreto di Propaganda fide </w:t>
      </w:r>
      <w:r w:rsidRPr="00383122">
        <w:rPr>
          <w:rFonts w:ascii="Times New Roman" w:hAnsi="Times New Roman" w:cs="Times New Roman"/>
          <w:color w:val="000000" w:themeColor="text1"/>
          <w:sz w:val="28"/>
          <w:szCs w:val="28"/>
          <w:shd w:val="clear" w:color="auto" w:fill="FFFFFF"/>
        </w:rPr>
        <w:t>l'arcidiocesi venne divisa, dando origine alle diocesi di Simla e Delhi</w:t>
      </w:r>
      <w:r w:rsidRPr="00383122">
        <w:rPr>
          <w:rStyle w:val="Rimandonotaapidipagina"/>
          <w:rFonts w:ascii="Times New Roman" w:hAnsi="Times New Roman" w:cs="Times New Roman"/>
          <w:color w:val="000000" w:themeColor="text1"/>
          <w:sz w:val="28"/>
          <w:szCs w:val="28"/>
          <w:shd w:val="clear" w:color="auto" w:fill="FFFFFF"/>
        </w:rPr>
        <w:footnoteReference w:id="204"/>
      </w:r>
      <w:r w:rsidRPr="00383122">
        <w:rPr>
          <w:rFonts w:ascii="Times New Roman" w:hAnsi="Times New Roman" w:cs="Times New Roman"/>
          <w:color w:val="000000" w:themeColor="text1"/>
          <w:sz w:val="28"/>
          <w:szCs w:val="28"/>
          <w:shd w:val="clear" w:color="auto" w:fill="FFFFFF"/>
        </w:rPr>
        <w:t>.</w:t>
      </w:r>
    </w:p>
    <w:p w14:paraId="0A6805F3"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 xml:space="preserve"> Successivamente nel 1950, l’erezione della nuova provincia ecclesiastica di Karachi per le circoscrizioni esistenti nel Pakistan occidentale, rese la diocesi di Multan suffraganea della detta sede metropolitana</w:t>
      </w:r>
      <w:r w:rsidRPr="00383122">
        <w:rPr>
          <w:rStyle w:val="Rimandonotaapidipagina"/>
          <w:rFonts w:ascii="Times New Roman" w:hAnsi="Times New Roman" w:cs="Times New Roman"/>
          <w:bCs/>
          <w:color w:val="000000" w:themeColor="text1"/>
          <w:sz w:val="28"/>
          <w:szCs w:val="28"/>
          <w:shd w:val="clear" w:color="auto" w:fill="FFFFFF"/>
        </w:rPr>
        <w:footnoteReference w:id="205"/>
      </w:r>
      <w:r w:rsidRPr="00383122">
        <w:rPr>
          <w:rFonts w:ascii="Times New Roman" w:hAnsi="Times New Roman" w:cs="Times New Roman"/>
          <w:bCs/>
          <w:color w:val="000000" w:themeColor="text1"/>
          <w:sz w:val="28"/>
          <w:szCs w:val="28"/>
          <w:shd w:val="clear" w:color="auto" w:fill="FFFFFF"/>
        </w:rPr>
        <w:t>.Nel 1955 alcuni territori appartenenti alla diocesi di Multan (Dera Ismail Khan e Bhakkar Tehsil)</w:t>
      </w:r>
      <w:r w:rsidRPr="00383122">
        <w:rPr>
          <w:rFonts w:ascii="Times New Roman" w:hAnsi="Times New Roman" w:cs="Times New Roman"/>
          <w:color w:val="000000" w:themeColor="text1"/>
          <w:sz w:val="28"/>
          <w:szCs w:val="28"/>
          <w:shd w:val="clear" w:color="auto" w:fill="FFFFFF"/>
        </w:rPr>
        <w:t> </w:t>
      </w:r>
      <w:r w:rsidRPr="00383122">
        <w:rPr>
          <w:rFonts w:ascii="Times New Roman" w:hAnsi="Times New Roman" w:cs="Times New Roman"/>
          <w:bCs/>
          <w:color w:val="000000" w:themeColor="text1"/>
          <w:sz w:val="28"/>
          <w:szCs w:val="28"/>
          <w:shd w:val="clear" w:color="auto" w:fill="FFFFFF"/>
        </w:rPr>
        <w:t>  passarono a quella di Rawalpindi</w:t>
      </w:r>
      <w:r w:rsidRPr="00383122">
        <w:rPr>
          <w:rStyle w:val="Rimandonotaapidipagina"/>
          <w:rFonts w:ascii="Times New Roman" w:hAnsi="Times New Roman" w:cs="Times New Roman"/>
          <w:bCs/>
          <w:color w:val="000000" w:themeColor="text1"/>
          <w:sz w:val="28"/>
          <w:szCs w:val="28"/>
          <w:shd w:val="clear" w:color="auto" w:fill="FFFFFF"/>
        </w:rPr>
        <w:footnoteReference w:id="206"/>
      </w:r>
      <w:r w:rsidRPr="00383122">
        <w:rPr>
          <w:rFonts w:ascii="Times New Roman" w:hAnsi="Times New Roman" w:cs="Times New Roman"/>
          <w:bCs/>
          <w:color w:val="000000" w:themeColor="text1"/>
          <w:sz w:val="28"/>
          <w:szCs w:val="28"/>
          <w:shd w:val="clear" w:color="auto" w:fill="FFFFFF"/>
        </w:rPr>
        <w:t>. Tale diocesi derivava dalla prefettura apostolica di Kafiristan e Kashmir, eretta il 6 luglio 1887 con territorio distaccato dalla diocesi di Lahore e affidata ai missionari della società di S. Giuseppe di Mill Hill.</w:t>
      </w:r>
    </w:p>
    <w:p w14:paraId="7F266121"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Affidata alla medesima organizzazione missionaria, venne elevata a diocesi col nome di Rawalpindi nel 1947 e dichiarata suffraganea dell’arcidiocesi di Delhi e Simla. Il 14 luglio 1950 i confini della diocesi di Multan vennero ridotti a quella parte di territorio corrispondente al Pakistan occidentale</w:t>
      </w:r>
      <w:r w:rsidRPr="00383122">
        <w:rPr>
          <w:rStyle w:val="Rimandonotaapidipagina"/>
          <w:rFonts w:ascii="Times New Roman" w:hAnsi="Times New Roman" w:cs="Times New Roman"/>
          <w:bCs/>
          <w:color w:val="000000" w:themeColor="text1"/>
          <w:sz w:val="28"/>
          <w:szCs w:val="28"/>
          <w:shd w:val="clear" w:color="auto" w:fill="FFFFFF"/>
        </w:rPr>
        <w:footnoteReference w:id="207"/>
      </w:r>
      <w:r w:rsidRPr="00383122">
        <w:rPr>
          <w:rFonts w:ascii="Times New Roman" w:hAnsi="Times New Roman" w:cs="Times New Roman"/>
          <w:bCs/>
          <w:color w:val="000000" w:themeColor="text1"/>
          <w:sz w:val="28"/>
          <w:szCs w:val="28"/>
          <w:shd w:val="clear" w:color="auto" w:fill="FFFFFF"/>
        </w:rPr>
        <w:t>.</w:t>
      </w:r>
    </w:p>
    <w:p w14:paraId="2210D5E6" w14:textId="77777777" w:rsid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bCs/>
          <w:color w:val="000000" w:themeColor="text1"/>
          <w:sz w:val="28"/>
          <w:szCs w:val="28"/>
          <w:shd w:val="clear" w:color="auto" w:fill="FFFFFF"/>
        </w:rPr>
        <w:lastRenderedPageBreak/>
        <w:t xml:space="preserve">Invece, nell’area del Pakistan orientale, nel 1952 venne eretta la diocesi di Jessore. Questa </w:t>
      </w:r>
      <w:r w:rsidRPr="00383122">
        <w:rPr>
          <w:color w:val="000000" w:themeColor="text1"/>
          <w:sz w:val="28"/>
          <w:szCs w:val="28"/>
        </w:rPr>
        <w:t>comprendeva i territori dall'</w:t>
      </w:r>
      <w:hyperlink r:id="rId17" w:tooltip="Arcidiocesi di Calcutta" w:history="1">
        <w:r w:rsidRPr="00383122">
          <w:rPr>
            <w:rStyle w:val="Collegamentoipertestuale"/>
            <w:color w:val="000000" w:themeColor="text1"/>
            <w:sz w:val="28"/>
            <w:szCs w:val="28"/>
            <w:u w:val="none"/>
          </w:rPr>
          <w:t>arcidiocesi di Calcutta</w:t>
        </w:r>
      </w:hyperlink>
      <w:r w:rsidRPr="00383122">
        <w:rPr>
          <w:color w:val="000000" w:themeColor="text1"/>
          <w:sz w:val="28"/>
          <w:szCs w:val="28"/>
        </w:rPr>
        <w:t> e dalla </w:t>
      </w:r>
      <w:hyperlink r:id="rId18" w:tooltip="Diocesi di Krishnagar" w:history="1">
        <w:r w:rsidRPr="00383122">
          <w:rPr>
            <w:rStyle w:val="Collegamentoipertestuale"/>
            <w:color w:val="000000" w:themeColor="text1"/>
            <w:sz w:val="28"/>
            <w:szCs w:val="28"/>
            <w:u w:val="none"/>
          </w:rPr>
          <w:t>diocesi di Krishnagar</w:t>
        </w:r>
      </w:hyperlink>
      <w:r w:rsidRPr="00383122">
        <w:rPr>
          <w:color w:val="000000" w:themeColor="text1"/>
          <w:sz w:val="28"/>
          <w:szCs w:val="28"/>
        </w:rPr>
        <w:t> che, dopo la divisione dell'</w:t>
      </w:r>
      <w:hyperlink r:id="rId19" w:tooltip="India" w:history="1">
        <w:r w:rsidRPr="00383122">
          <w:rPr>
            <w:rStyle w:val="Collegamentoipertestuale"/>
            <w:color w:val="000000" w:themeColor="text1"/>
            <w:sz w:val="28"/>
            <w:szCs w:val="28"/>
            <w:u w:val="none"/>
          </w:rPr>
          <w:t>India</w:t>
        </w:r>
      </w:hyperlink>
      <w:r w:rsidRPr="00383122">
        <w:rPr>
          <w:color w:val="000000" w:themeColor="text1"/>
          <w:sz w:val="28"/>
          <w:szCs w:val="28"/>
        </w:rPr>
        <w:t> nel </w:t>
      </w:r>
      <w:hyperlink r:id="rId20" w:tooltip="1947" w:history="1">
        <w:r w:rsidRPr="00383122">
          <w:rPr>
            <w:rStyle w:val="Collegamentoipertestuale"/>
            <w:color w:val="000000" w:themeColor="text1"/>
            <w:sz w:val="28"/>
            <w:szCs w:val="28"/>
            <w:u w:val="none"/>
          </w:rPr>
          <w:t>1947</w:t>
        </w:r>
      </w:hyperlink>
      <w:r w:rsidRPr="00383122">
        <w:rPr>
          <w:color w:val="000000" w:themeColor="text1"/>
          <w:sz w:val="28"/>
          <w:szCs w:val="28"/>
        </w:rPr>
        <w:t>, si trovavano nel Pakistan orientale. Il 14 giugno </w:t>
      </w:r>
      <w:hyperlink r:id="rId21" w:tooltip="1956" w:history="1">
        <w:r w:rsidRPr="00383122">
          <w:rPr>
            <w:rStyle w:val="Collegamentoipertestuale"/>
            <w:color w:val="000000" w:themeColor="text1"/>
            <w:sz w:val="28"/>
            <w:szCs w:val="28"/>
            <w:u w:val="none"/>
          </w:rPr>
          <w:t>1956</w:t>
        </w:r>
      </w:hyperlink>
      <w:r w:rsidRPr="00383122">
        <w:rPr>
          <w:color w:val="000000" w:themeColor="text1"/>
          <w:sz w:val="28"/>
          <w:szCs w:val="28"/>
        </w:rPr>
        <w:t> la sede episcopale venne trasferita da Jessore a Khulna, e la diocesi assunse il nome di Khulna, dal luogo in cui si trovava la sede vescovile</w:t>
      </w:r>
      <w:r w:rsidRPr="00383122">
        <w:rPr>
          <w:rStyle w:val="Rimandonotaapidipagina"/>
          <w:color w:val="000000" w:themeColor="text1"/>
          <w:sz w:val="28"/>
          <w:szCs w:val="28"/>
        </w:rPr>
        <w:footnoteReference w:id="208"/>
      </w:r>
      <w:r w:rsidRPr="00383122">
        <w:rPr>
          <w:color w:val="000000" w:themeColor="text1"/>
          <w:sz w:val="28"/>
          <w:szCs w:val="28"/>
        </w:rPr>
        <w:t>.</w:t>
      </w:r>
    </w:p>
    <w:p w14:paraId="14585194" w14:textId="77777777" w:rsid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1B3E62A0" w14:textId="77777777" w:rsidR="00383122" w:rsidRDefault="00457034" w:rsidP="00484F9B">
      <w:pPr>
        <w:pStyle w:val="NormaleWeb"/>
        <w:shd w:val="clear" w:color="auto" w:fill="FFFFFF"/>
        <w:spacing w:before="0" w:beforeAutospacing="0" w:after="0" w:afterAutospacing="0" w:line="360" w:lineRule="auto"/>
        <w:ind w:left="680" w:right="340"/>
        <w:jc w:val="both"/>
        <w:rPr>
          <w:bCs/>
          <w:color w:val="000000" w:themeColor="text1"/>
          <w:sz w:val="28"/>
          <w:szCs w:val="28"/>
          <w:shd w:val="clear" w:color="auto" w:fill="FFFFFF"/>
        </w:rPr>
      </w:pPr>
      <w:r>
        <w:rPr>
          <w:bCs/>
          <w:color w:val="000000" w:themeColor="text1"/>
          <w:sz w:val="28"/>
          <w:szCs w:val="28"/>
          <w:shd w:val="clear" w:color="auto" w:fill="FFFFFF"/>
        </w:rPr>
        <w:t>2.3.2</w:t>
      </w:r>
      <w:r w:rsidR="00140247">
        <w:rPr>
          <w:bCs/>
          <w:color w:val="000000" w:themeColor="text1"/>
          <w:sz w:val="28"/>
          <w:szCs w:val="28"/>
          <w:shd w:val="clear" w:color="auto" w:fill="FFFFFF"/>
        </w:rPr>
        <w:t xml:space="preserve"> </w:t>
      </w:r>
      <w:r w:rsidR="00383122" w:rsidRPr="007D5C80">
        <w:rPr>
          <w:bCs/>
          <w:i/>
          <w:color w:val="000000" w:themeColor="text1"/>
          <w:sz w:val="28"/>
          <w:szCs w:val="28"/>
          <w:shd w:val="clear" w:color="auto" w:fill="FFFFFF"/>
        </w:rPr>
        <w:t>Indocina</w:t>
      </w:r>
    </w:p>
    <w:p w14:paraId="435A4F05"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7A9643D0"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Per quanto riguarda, invece, l’apostolato in Indocina è necessario ricordare che i primi missionari arrivarono in Indocina nel XVI secolo, tentando fondazioni missionarie in Cambogia e nella Cocincina, però le continue guerre, specialmente tra il Siam e la Cambogia, impedirono di dare stabilità alle missioni. Nel XVIII secolo, nonostante le sanguinose persecuzioni, l’attività di evangelizzazione perdurò, facendo progressi, tanto che, nel 1922, venne inviato un visitatore apostolico e nel 1925 venne eretta la delegazione apostolica; nel 1934 si tenne il primo Concilio plenario dell’Indocina</w:t>
      </w:r>
      <w:r w:rsidRPr="00383122">
        <w:rPr>
          <w:rStyle w:val="Rimandonotaapidipagina"/>
          <w:rFonts w:ascii="Times New Roman" w:hAnsi="Times New Roman" w:cs="Times New Roman"/>
          <w:bCs/>
          <w:color w:val="000000" w:themeColor="text1"/>
          <w:sz w:val="28"/>
          <w:szCs w:val="28"/>
          <w:shd w:val="clear" w:color="auto" w:fill="FFFFFF"/>
        </w:rPr>
        <w:footnoteReference w:id="209"/>
      </w:r>
      <w:r w:rsidRPr="00383122">
        <w:rPr>
          <w:rFonts w:ascii="Times New Roman" w:hAnsi="Times New Roman" w:cs="Times New Roman"/>
          <w:bCs/>
          <w:color w:val="000000" w:themeColor="text1"/>
          <w:sz w:val="28"/>
          <w:szCs w:val="28"/>
          <w:shd w:val="clear" w:color="auto" w:fill="FFFFFF"/>
        </w:rPr>
        <w:t>.</w:t>
      </w:r>
    </w:p>
    <w:p w14:paraId="3151F5AF"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Nell’area dell’Indocina</w:t>
      </w:r>
      <w:r w:rsidRPr="00383122">
        <w:rPr>
          <w:rStyle w:val="Rimandonotaapidipagina"/>
          <w:rFonts w:ascii="Times New Roman" w:hAnsi="Times New Roman" w:cs="Times New Roman"/>
          <w:bCs/>
          <w:color w:val="000000" w:themeColor="text1"/>
          <w:sz w:val="28"/>
          <w:szCs w:val="28"/>
          <w:shd w:val="clear" w:color="auto" w:fill="FFFFFF"/>
        </w:rPr>
        <w:footnoteReference w:id="210"/>
      </w:r>
      <w:r w:rsidRPr="00383122">
        <w:rPr>
          <w:rFonts w:ascii="Times New Roman" w:hAnsi="Times New Roman" w:cs="Times New Roman"/>
          <w:bCs/>
          <w:color w:val="000000" w:themeColor="text1"/>
          <w:sz w:val="28"/>
          <w:szCs w:val="28"/>
          <w:shd w:val="clear" w:color="auto" w:fill="FFFFFF"/>
        </w:rPr>
        <w:t>, più specificatamente in Birmania nel 1937 vi fu un cambiamento di confini tra il vicariato apostolico della Birmania settentrionale e la prefettura apostolica di Kengtung, che si concretizzò nel passaggio dei territori di Tawng Peng, North Hsenwi, South Hsenwi e la parte dello Stato di Munglun situata a ovest del fiume Salween alla prefettura apostolica di Kengtung</w:t>
      </w:r>
      <w:r w:rsidRPr="00383122">
        <w:rPr>
          <w:rStyle w:val="Rimandonotaapidipagina"/>
          <w:rFonts w:ascii="Times New Roman" w:hAnsi="Times New Roman" w:cs="Times New Roman"/>
          <w:bCs/>
          <w:color w:val="000000" w:themeColor="text1"/>
          <w:sz w:val="28"/>
          <w:szCs w:val="28"/>
          <w:shd w:val="clear" w:color="auto" w:fill="FFFFFF"/>
        </w:rPr>
        <w:footnoteReference w:id="211"/>
      </w:r>
      <w:r w:rsidRPr="00383122">
        <w:rPr>
          <w:rFonts w:ascii="Times New Roman" w:hAnsi="Times New Roman" w:cs="Times New Roman"/>
          <w:bCs/>
          <w:color w:val="000000" w:themeColor="text1"/>
          <w:sz w:val="28"/>
          <w:szCs w:val="28"/>
          <w:shd w:val="clear" w:color="auto" w:fill="FFFFFF"/>
        </w:rPr>
        <w:t xml:space="preserve">.Il vicariato apostolico della Birmania settentrionale (nel 1939 prese il nome di Mandalay), attraversato da nord a sud dal fiume </w:t>
      </w:r>
      <w:r w:rsidRPr="00383122">
        <w:rPr>
          <w:rFonts w:ascii="Times New Roman" w:hAnsi="Times New Roman" w:cs="Times New Roman"/>
          <w:bCs/>
          <w:color w:val="000000" w:themeColor="text1"/>
          <w:sz w:val="28"/>
          <w:szCs w:val="28"/>
          <w:shd w:val="clear" w:color="auto" w:fill="FFFFFF"/>
        </w:rPr>
        <w:lastRenderedPageBreak/>
        <w:t>Irrawaddy, fu eretto nel 1870 dallo smembramento del vicariato apostolico di Ava e Pegù e venne affidato alla società per le Missioni Estere di Parigi</w:t>
      </w:r>
      <w:r w:rsidRPr="00383122">
        <w:rPr>
          <w:rStyle w:val="Rimandonotaapidipagina"/>
          <w:rFonts w:ascii="Times New Roman" w:hAnsi="Times New Roman" w:cs="Times New Roman"/>
          <w:bCs/>
          <w:color w:val="000000" w:themeColor="text1"/>
          <w:sz w:val="28"/>
          <w:szCs w:val="28"/>
          <w:shd w:val="clear" w:color="auto" w:fill="FFFFFF"/>
        </w:rPr>
        <w:footnoteReference w:id="212"/>
      </w:r>
      <w:r w:rsidRPr="00383122">
        <w:rPr>
          <w:rFonts w:ascii="Times New Roman" w:hAnsi="Times New Roman" w:cs="Times New Roman"/>
          <w:bCs/>
          <w:color w:val="000000" w:themeColor="text1"/>
          <w:sz w:val="28"/>
          <w:szCs w:val="28"/>
          <w:shd w:val="clear" w:color="auto" w:fill="FFFFFF"/>
        </w:rPr>
        <w:t>. Mentre la prefettura di Kengtung facente parte della Birmania meridionale e affidata al pontificio istituto per le Missioni Estere di Milano, fu eretta nel 1927 ed elevata a vicariato il 26 maggio 1950. Il mutamento disposto con tale decreto da Propaganda fide era finalizzato a facilitare l’evangelizzazione nei stati degli Shan del nord. La denominazione "stati degli Shan" era utilizzata, per indicare un gruppo di stati semi-indipendenti compresi entro la frontiera orientale della Birmania, che nel 1922 furono raggruppati in una confederazione (</w:t>
      </w:r>
      <w:r w:rsidRPr="00383122">
        <w:rPr>
          <w:rFonts w:ascii="Times New Roman" w:hAnsi="Times New Roman" w:cs="Times New Roman"/>
          <w:bCs/>
          <w:i/>
          <w:color w:val="000000" w:themeColor="text1"/>
          <w:sz w:val="28"/>
          <w:szCs w:val="28"/>
          <w:shd w:val="clear" w:color="auto" w:fill="FFFFFF"/>
        </w:rPr>
        <w:t>Federated Shan States</w:t>
      </w:r>
      <w:r w:rsidRPr="00383122">
        <w:rPr>
          <w:rFonts w:ascii="Times New Roman" w:hAnsi="Times New Roman" w:cs="Times New Roman"/>
          <w:bCs/>
          <w:color w:val="000000" w:themeColor="text1"/>
          <w:sz w:val="28"/>
          <w:szCs w:val="28"/>
          <w:shd w:val="clear" w:color="auto" w:fill="FFFFFF"/>
        </w:rPr>
        <w:t>)</w:t>
      </w:r>
      <w:r w:rsidRPr="00383122">
        <w:rPr>
          <w:rStyle w:val="Rimandonotaapidipagina"/>
          <w:rFonts w:ascii="Times New Roman" w:hAnsi="Times New Roman" w:cs="Times New Roman"/>
          <w:bCs/>
          <w:color w:val="000000" w:themeColor="text1"/>
          <w:sz w:val="28"/>
          <w:szCs w:val="28"/>
          <w:shd w:val="clear" w:color="auto" w:fill="FFFFFF"/>
        </w:rPr>
        <w:footnoteReference w:id="213"/>
      </w:r>
      <w:r w:rsidRPr="00383122">
        <w:rPr>
          <w:rFonts w:ascii="Times New Roman" w:hAnsi="Times New Roman" w:cs="Times New Roman"/>
          <w:bCs/>
          <w:color w:val="000000" w:themeColor="text1"/>
          <w:sz w:val="28"/>
          <w:szCs w:val="28"/>
          <w:shd w:val="clear" w:color="auto" w:fill="FFFFFF"/>
        </w:rPr>
        <w:t xml:space="preserve">. </w:t>
      </w:r>
    </w:p>
    <w:p w14:paraId="735371A1"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Gli Stati degli Shan occupavano un'area triangolare con base segnata da una linea di alture che sovrastavano le pianure della Birmania e con l'apice sul fiume Mekong. Tutta la zona consisteva in un grande altipiano diviso in due metà dalla vasta gola del fiume Saluen.</w:t>
      </w:r>
    </w:p>
    <w:p w14:paraId="633B10D7"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 xml:space="preserve">Nel 1962 la parte meridionale degli stati degli Shan passò dalla diocesi di Toungoo, affidata alle Missioni Estere di Parigi, nata come vicariato nel 1886 e diventata diocesi nel 1955, a quella di </w:t>
      </w:r>
      <w:r w:rsidRPr="00383122">
        <w:rPr>
          <w:rFonts w:ascii="Times New Roman" w:hAnsi="Times New Roman" w:cs="Times New Roman"/>
          <w:color w:val="000000" w:themeColor="text1"/>
          <w:sz w:val="28"/>
          <w:szCs w:val="28"/>
          <w:shd w:val="clear" w:color="auto" w:fill="FFFFFF"/>
        </w:rPr>
        <w:t>Taunggyi, che venne eretta nel 1961 ed inizialmente era suffraganea di Rangoon</w:t>
      </w:r>
      <w:r w:rsidRPr="00383122">
        <w:rPr>
          <w:rStyle w:val="Rimandonotaapidipagina"/>
          <w:rFonts w:ascii="Times New Roman" w:hAnsi="Times New Roman" w:cs="Times New Roman"/>
          <w:color w:val="000000" w:themeColor="text1"/>
          <w:sz w:val="28"/>
          <w:szCs w:val="28"/>
          <w:shd w:val="clear" w:color="auto" w:fill="FFFFFF"/>
        </w:rPr>
        <w:footnoteReference w:id="214"/>
      </w:r>
      <w:r w:rsidRPr="00383122">
        <w:rPr>
          <w:rFonts w:ascii="Times New Roman" w:hAnsi="Times New Roman" w:cs="Times New Roman"/>
          <w:color w:val="000000" w:themeColor="text1"/>
          <w:sz w:val="28"/>
          <w:szCs w:val="28"/>
          <w:shd w:val="clear" w:color="auto" w:fill="FFFFFF"/>
        </w:rPr>
        <w:t>.</w:t>
      </w:r>
    </w:p>
    <w:p w14:paraId="243699AF"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Vi era anche il vicariato apostolico della Birmania meridionale, eretto nel 1866 con il nome di Birmania meridio-occidentale, solo nel 1870 acquisì il nome di Birmania meridionale e venne affidato alle Missioni Estere di Parigi.  Nel corso del tempo subì numerose modifiche dei suoi confini</w:t>
      </w:r>
      <w:r w:rsidRPr="00383122">
        <w:rPr>
          <w:rStyle w:val="Rimandonotaapidipagina"/>
          <w:rFonts w:ascii="Times New Roman" w:hAnsi="Times New Roman" w:cs="Times New Roman"/>
          <w:bCs/>
          <w:color w:val="000000" w:themeColor="text1"/>
          <w:sz w:val="28"/>
          <w:szCs w:val="28"/>
          <w:shd w:val="clear" w:color="auto" w:fill="FFFFFF"/>
        </w:rPr>
        <w:footnoteReference w:id="215"/>
      </w:r>
      <w:r w:rsidRPr="00383122">
        <w:rPr>
          <w:rFonts w:ascii="Times New Roman" w:hAnsi="Times New Roman" w:cs="Times New Roman"/>
          <w:bCs/>
          <w:color w:val="000000" w:themeColor="text1"/>
          <w:sz w:val="28"/>
          <w:szCs w:val="28"/>
          <w:shd w:val="clear" w:color="auto" w:fill="FFFFFF"/>
        </w:rPr>
        <w:t xml:space="preserve">. La residenza centrale di questo vicariato era Rangoon, capitale politica della Birmania, nonché sede della repubblica birmana. Nel 1953 tale vicariato prese il nome Rangoon, perché vi era la consuetudine, secondo la quale i distretti ecclesiastici acquisivano il nome, dal luogo dove l’ordinario aveva la propria </w:t>
      </w:r>
      <w:r w:rsidRPr="00383122">
        <w:rPr>
          <w:rFonts w:ascii="Times New Roman" w:hAnsi="Times New Roman" w:cs="Times New Roman"/>
          <w:bCs/>
          <w:color w:val="000000" w:themeColor="text1"/>
          <w:sz w:val="28"/>
          <w:szCs w:val="28"/>
          <w:shd w:val="clear" w:color="auto" w:fill="FFFFFF"/>
        </w:rPr>
        <w:lastRenderedPageBreak/>
        <w:t>residenza</w:t>
      </w:r>
      <w:r w:rsidRPr="00383122">
        <w:rPr>
          <w:rStyle w:val="Rimandonotaapidipagina"/>
          <w:rFonts w:ascii="Times New Roman" w:hAnsi="Times New Roman" w:cs="Times New Roman"/>
          <w:bCs/>
          <w:color w:val="000000" w:themeColor="text1"/>
          <w:sz w:val="28"/>
          <w:szCs w:val="28"/>
          <w:shd w:val="clear" w:color="auto" w:fill="FFFFFF"/>
        </w:rPr>
        <w:footnoteReference w:id="216"/>
      </w:r>
      <w:r w:rsidRPr="00383122">
        <w:rPr>
          <w:rFonts w:ascii="Times New Roman" w:hAnsi="Times New Roman" w:cs="Times New Roman"/>
          <w:bCs/>
          <w:color w:val="000000" w:themeColor="text1"/>
          <w:sz w:val="28"/>
          <w:szCs w:val="28"/>
          <w:shd w:val="clear" w:color="auto" w:fill="FFFFFF"/>
        </w:rPr>
        <w:t>. L’attività missionaria era divisa tra la capitale ed il delta dell’Iravadi. Nei centri urbani la maggiore attività missionaria si esplicava a favore dei cattolici eurasiani, degli immigrati indiani (quasi tutti tamel) che costituivano parrocchie a sé, e degli immigrati cinesi.</w:t>
      </w:r>
    </w:p>
    <w:p w14:paraId="38052169"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Nella zona della Birmania centrale venne eretta nel 1940 la prefettura apostolica di Akyab con territorio distaccato dalla diocesi di Chittagong (Birmania). Tale prefettura venne affidata ai missionari della Salette (provincia americana) e comprendeva quattro distretti civili, che formavano le province dell’Arakan</w:t>
      </w:r>
      <w:r w:rsidRPr="00383122">
        <w:rPr>
          <w:rStyle w:val="Rimandonotaapidipagina"/>
          <w:rFonts w:ascii="Times New Roman" w:hAnsi="Times New Roman" w:cs="Times New Roman"/>
          <w:bCs/>
          <w:color w:val="000000" w:themeColor="text1"/>
          <w:sz w:val="28"/>
          <w:szCs w:val="28"/>
          <w:shd w:val="clear" w:color="auto" w:fill="FFFFFF"/>
        </w:rPr>
        <w:footnoteReference w:id="217"/>
      </w:r>
      <w:r w:rsidRPr="00383122">
        <w:rPr>
          <w:rFonts w:ascii="Times New Roman" w:hAnsi="Times New Roman" w:cs="Times New Roman"/>
          <w:bCs/>
          <w:color w:val="000000" w:themeColor="text1"/>
          <w:sz w:val="28"/>
          <w:szCs w:val="28"/>
          <w:shd w:val="clear" w:color="auto" w:fill="FFFFFF"/>
        </w:rPr>
        <w:t>. Nel 1956 assunse il nome di prefettura apostolica di Prome, perché questa città era considerata più importante, in quanto più accessibile, di quella di Akyab</w:t>
      </w:r>
      <w:r w:rsidRPr="00383122">
        <w:rPr>
          <w:rStyle w:val="Rimandonotaapidipagina"/>
          <w:rFonts w:ascii="Times New Roman" w:hAnsi="Times New Roman" w:cs="Times New Roman"/>
          <w:bCs/>
          <w:color w:val="000000" w:themeColor="text1"/>
          <w:sz w:val="28"/>
          <w:szCs w:val="28"/>
          <w:shd w:val="clear" w:color="auto" w:fill="FFFFFF"/>
        </w:rPr>
        <w:footnoteReference w:id="218"/>
      </w:r>
      <w:r w:rsidRPr="00383122">
        <w:rPr>
          <w:rFonts w:ascii="Times New Roman" w:hAnsi="Times New Roman" w:cs="Times New Roman"/>
          <w:bCs/>
          <w:color w:val="000000" w:themeColor="text1"/>
          <w:sz w:val="28"/>
          <w:szCs w:val="28"/>
          <w:shd w:val="clear" w:color="auto" w:fill="FFFFFF"/>
        </w:rPr>
        <w:t>.</w:t>
      </w:r>
    </w:p>
    <w:p w14:paraId="198F203D"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Mentre nella regione sud-orientale dell’Annam (Vietnam), affacciato sul golfo del Tonchino, venne eretto il 27 marzo 1846 il vicariato di Vinh (prenderà questa denominazione nel 1924), inizialmente col nome di Tonchino meridionale, per distacco dal Tonchino occidentale, e venne affidato alla società delle Missioni Estere di Parigi</w:t>
      </w:r>
      <w:r w:rsidRPr="00383122">
        <w:rPr>
          <w:rStyle w:val="Rimandonotaapidipagina"/>
          <w:rFonts w:ascii="Times New Roman" w:hAnsi="Times New Roman" w:cs="Times New Roman"/>
          <w:bCs/>
          <w:color w:val="000000" w:themeColor="text1"/>
          <w:sz w:val="28"/>
          <w:szCs w:val="28"/>
          <w:shd w:val="clear" w:color="auto" w:fill="FFFFFF"/>
        </w:rPr>
        <w:footnoteReference w:id="219"/>
      </w:r>
      <w:r w:rsidRPr="00383122">
        <w:rPr>
          <w:rFonts w:ascii="Times New Roman" w:hAnsi="Times New Roman" w:cs="Times New Roman"/>
          <w:bCs/>
          <w:color w:val="000000" w:themeColor="text1"/>
          <w:sz w:val="28"/>
          <w:szCs w:val="28"/>
          <w:shd w:val="clear" w:color="auto" w:fill="FFFFFF"/>
        </w:rPr>
        <w:t xml:space="preserve">. Il vicariato apostolico di Vinh era formato dalle province di Nghe-An e Ha-Tinh e dalla parte nord della provincia di Quang-Binh e si contraddistinse per la fedeltà indefettibile dei cristiani verso la chiesa, anche a costo di gravi sacrifici. La storia dell’evangelizzazione di questo vicariato si fonde </w:t>
      </w:r>
    </w:p>
    <w:p w14:paraId="4DFE22DE"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con quella di tutte le missioni del Tonchino, le cui origini sono strettamente legate al nome del padre Alessandro Rhodes</w:t>
      </w:r>
      <w:r w:rsidRPr="00383122">
        <w:rPr>
          <w:rStyle w:val="Rimandonotaapidipagina"/>
          <w:rFonts w:ascii="Times New Roman" w:hAnsi="Times New Roman" w:cs="Times New Roman"/>
          <w:bCs/>
          <w:color w:val="000000" w:themeColor="text1"/>
          <w:sz w:val="28"/>
          <w:szCs w:val="28"/>
          <w:shd w:val="clear" w:color="auto" w:fill="FFFFFF"/>
        </w:rPr>
        <w:footnoteReference w:id="220"/>
      </w:r>
      <w:r w:rsidRPr="00383122">
        <w:rPr>
          <w:rFonts w:ascii="Times New Roman" w:hAnsi="Times New Roman" w:cs="Times New Roman"/>
          <w:bCs/>
          <w:color w:val="000000" w:themeColor="text1"/>
          <w:sz w:val="28"/>
          <w:szCs w:val="28"/>
          <w:shd w:val="clear" w:color="auto" w:fill="FFFFFF"/>
        </w:rPr>
        <w:t xml:space="preserve">. Il 24 giugno 1951 il vicariato </w:t>
      </w:r>
      <w:r w:rsidRPr="00383122">
        <w:rPr>
          <w:rFonts w:ascii="Times New Roman" w:hAnsi="Times New Roman" w:cs="Times New Roman"/>
          <w:bCs/>
          <w:color w:val="000000" w:themeColor="text1"/>
          <w:sz w:val="28"/>
          <w:szCs w:val="28"/>
          <w:shd w:val="clear" w:color="auto" w:fill="FFFFFF"/>
        </w:rPr>
        <w:lastRenderedPageBreak/>
        <w:t>apostolico di Vinh (divenne una diocesi nel 1960) venne trasferito dalla società delle Missioni Estere di Parigi al clero secolare vietnamita</w:t>
      </w:r>
      <w:r w:rsidRPr="00383122">
        <w:rPr>
          <w:rStyle w:val="Rimandonotaapidipagina"/>
          <w:rFonts w:ascii="Times New Roman" w:hAnsi="Times New Roman" w:cs="Times New Roman"/>
          <w:bCs/>
          <w:color w:val="000000" w:themeColor="text1"/>
          <w:sz w:val="28"/>
          <w:szCs w:val="28"/>
          <w:shd w:val="clear" w:color="auto" w:fill="FFFFFF"/>
        </w:rPr>
        <w:footnoteReference w:id="221"/>
      </w:r>
      <w:r w:rsidRPr="00383122">
        <w:rPr>
          <w:rFonts w:ascii="Times New Roman" w:hAnsi="Times New Roman" w:cs="Times New Roman"/>
          <w:bCs/>
          <w:color w:val="000000" w:themeColor="text1"/>
          <w:sz w:val="28"/>
          <w:szCs w:val="28"/>
          <w:shd w:val="clear" w:color="auto" w:fill="FFFFFF"/>
        </w:rPr>
        <w:t>.</w:t>
      </w:r>
    </w:p>
    <w:p w14:paraId="35A24F74"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Nel 1962 si stabilì che la diocesi di Saigon, affidata alle Missioni Estere di Parigi, nata nel 1924 dal vicariato della Cocincina occidentale ed elevata a diocesi nel 1960, cedesse a quella di Vinh i territori di Kien-Hoa, Nhatrang, mentre quella di Vinh doveva cedere a quella di Saigon la provincia di Kien-Phong</w:t>
      </w:r>
      <w:r w:rsidRPr="00383122">
        <w:rPr>
          <w:rStyle w:val="Rimandonotaapidipagina"/>
          <w:rFonts w:ascii="Times New Roman" w:hAnsi="Times New Roman" w:cs="Times New Roman"/>
          <w:bCs/>
          <w:color w:val="000000" w:themeColor="text1"/>
          <w:sz w:val="28"/>
          <w:szCs w:val="28"/>
          <w:shd w:val="clear" w:color="auto" w:fill="FFFFFF"/>
        </w:rPr>
        <w:footnoteReference w:id="222"/>
      </w:r>
      <w:r w:rsidRPr="00383122">
        <w:rPr>
          <w:rFonts w:ascii="Times New Roman" w:hAnsi="Times New Roman" w:cs="Times New Roman"/>
          <w:bCs/>
          <w:color w:val="000000" w:themeColor="text1"/>
          <w:sz w:val="28"/>
          <w:szCs w:val="28"/>
          <w:shd w:val="clear" w:color="auto" w:fill="FFFFFF"/>
        </w:rPr>
        <w:t>.</w:t>
      </w:r>
    </w:p>
    <w:p w14:paraId="53E3C2A8" w14:textId="77777777" w:rsidR="00F813F9"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Il vicariato apostolico di Vientiane e Luang-Prabang, situato nel centro del protettorato francese del Laos (Indocina) e affidato agli Oblati di Maria Immacolata, venne eretto il 17 giugno 1938 per dismembramento del vicariato apostolico di Laos</w:t>
      </w:r>
      <w:r w:rsidRPr="00383122">
        <w:rPr>
          <w:rStyle w:val="Rimandonotaapidipagina"/>
          <w:rFonts w:ascii="Times New Roman" w:hAnsi="Times New Roman" w:cs="Times New Roman"/>
          <w:bCs/>
          <w:color w:val="000000" w:themeColor="text1"/>
          <w:sz w:val="28"/>
          <w:szCs w:val="28"/>
          <w:shd w:val="clear" w:color="auto" w:fill="FFFFFF"/>
        </w:rPr>
        <w:footnoteReference w:id="223"/>
      </w:r>
      <w:r w:rsidRPr="00383122">
        <w:rPr>
          <w:rFonts w:ascii="Times New Roman" w:hAnsi="Times New Roman" w:cs="Times New Roman"/>
          <w:bCs/>
          <w:color w:val="000000" w:themeColor="text1"/>
          <w:sz w:val="28"/>
          <w:szCs w:val="28"/>
          <w:shd w:val="clear" w:color="auto" w:fill="FFFFFF"/>
        </w:rPr>
        <w:t>. La zona del Laos, soprattutto a causa del suo clima, fu molto difficile da raggiungere ed evangelizzare.</w:t>
      </w:r>
      <w:r w:rsidRPr="00383122">
        <w:rPr>
          <w:color w:val="000000" w:themeColor="text1"/>
        </w:rPr>
        <w:t xml:space="preserve"> </w:t>
      </w:r>
      <w:r w:rsidRPr="00383122">
        <w:rPr>
          <w:rFonts w:ascii="Times New Roman" w:hAnsi="Times New Roman" w:cs="Times New Roman"/>
          <w:bCs/>
          <w:color w:val="000000" w:themeColor="text1"/>
          <w:sz w:val="28"/>
          <w:szCs w:val="28"/>
          <w:shd w:val="clear" w:color="auto" w:fill="FFFFFF"/>
        </w:rPr>
        <w:t>Il 13 marzo 1952 tale prefettura fu elevata a vicariato apostolico di Vientiane, che era la capitale ufficiale del regno di Laos, il quale, pur essendo sotto mandato francese,</w:t>
      </w:r>
      <w:r w:rsidRPr="00383122">
        <w:rPr>
          <w:color w:val="000000" w:themeColor="text1"/>
        </w:rPr>
        <w:t xml:space="preserve"> </w:t>
      </w:r>
      <w:r w:rsidRPr="00383122">
        <w:rPr>
          <w:rFonts w:ascii="Times New Roman" w:hAnsi="Times New Roman" w:cs="Times New Roman"/>
          <w:bCs/>
          <w:color w:val="000000" w:themeColor="text1"/>
          <w:sz w:val="28"/>
          <w:szCs w:val="28"/>
          <w:shd w:val="clear" w:color="auto" w:fill="FFFFFF"/>
        </w:rPr>
        <w:t>godeva di una certa indipendenza. La sede del governo era Luang-Prabang</w:t>
      </w:r>
      <w:r w:rsidRPr="00383122">
        <w:rPr>
          <w:rStyle w:val="Rimandonotaapidipagina"/>
          <w:rFonts w:ascii="Times New Roman" w:hAnsi="Times New Roman" w:cs="Times New Roman"/>
          <w:bCs/>
          <w:color w:val="000000" w:themeColor="text1"/>
          <w:sz w:val="28"/>
          <w:szCs w:val="28"/>
          <w:shd w:val="clear" w:color="auto" w:fill="FFFFFF"/>
        </w:rPr>
        <w:footnoteReference w:id="224"/>
      </w:r>
      <w:r w:rsidRPr="00383122">
        <w:rPr>
          <w:rFonts w:ascii="Times New Roman" w:hAnsi="Times New Roman" w:cs="Times New Roman"/>
          <w:bCs/>
          <w:color w:val="000000" w:themeColor="text1"/>
          <w:sz w:val="28"/>
          <w:szCs w:val="28"/>
          <w:shd w:val="clear" w:color="auto" w:fill="FFFFFF"/>
        </w:rPr>
        <w:t xml:space="preserve">. Nel 1958, per favorire l’opera di evangelizzazione si decise di includere la provincia di Sam-Neua, che faceva parte del vicariato apostolico di </w:t>
      </w:r>
      <w:r w:rsidRPr="00383122">
        <w:rPr>
          <w:rFonts w:ascii="Times New Roman" w:hAnsi="Times New Roman" w:cs="Times New Roman"/>
          <w:color w:val="000000" w:themeColor="text1"/>
          <w:sz w:val="28"/>
          <w:szCs w:val="28"/>
          <w:shd w:val="clear" w:color="auto" w:fill="FFFFFF"/>
        </w:rPr>
        <w:t xml:space="preserve">Thanh Hóa, eretto nel 1932 dal vicariato apostolico di </w:t>
      </w:r>
      <w:hyperlink r:id="rId22" w:tooltip="Diocesi di Phát Diêm" w:history="1">
        <w:r w:rsidRPr="00383122">
          <w:rPr>
            <w:rStyle w:val="Collegamentoipertestuale"/>
            <w:rFonts w:ascii="Times New Roman" w:hAnsi="Times New Roman" w:cs="Times New Roman"/>
            <w:color w:val="000000" w:themeColor="text1"/>
            <w:sz w:val="28"/>
            <w:szCs w:val="28"/>
            <w:u w:val="none"/>
            <w:shd w:val="clear" w:color="auto" w:fill="FFFFFF"/>
          </w:rPr>
          <w:t>Phát Diêm</w:t>
        </w:r>
      </w:hyperlink>
      <w:r w:rsidRPr="00383122">
        <w:rPr>
          <w:rFonts w:ascii="Times New Roman" w:hAnsi="Times New Roman" w:cs="Times New Roman"/>
          <w:color w:val="000000" w:themeColor="text1"/>
          <w:sz w:val="28"/>
          <w:szCs w:val="28"/>
        </w:rPr>
        <w:t>, all’interno del vicariato apostolico di Vientiane</w:t>
      </w:r>
      <w:r w:rsidRPr="00383122">
        <w:rPr>
          <w:rStyle w:val="Rimandonotaapidipagina"/>
          <w:rFonts w:ascii="Times New Roman" w:hAnsi="Times New Roman" w:cs="Times New Roman"/>
          <w:color w:val="000000" w:themeColor="text1"/>
          <w:sz w:val="28"/>
          <w:szCs w:val="28"/>
        </w:rPr>
        <w:footnoteReference w:id="225"/>
      </w:r>
      <w:r w:rsidRPr="00383122">
        <w:rPr>
          <w:rFonts w:ascii="Times New Roman" w:hAnsi="Times New Roman" w:cs="Times New Roman"/>
          <w:color w:val="000000" w:themeColor="text1"/>
          <w:sz w:val="28"/>
          <w:szCs w:val="28"/>
        </w:rPr>
        <w:t>.</w:t>
      </w:r>
    </w:p>
    <w:p w14:paraId="22D3F8CA" w14:textId="77777777" w:rsidR="00F813F9" w:rsidRDefault="00F813F9"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p>
    <w:p w14:paraId="38FC1175" w14:textId="384B2933" w:rsidR="00F813F9" w:rsidRDefault="00F813F9"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p>
    <w:p w14:paraId="3678611F" w14:textId="7170426A" w:rsidR="003B11C2" w:rsidRDefault="003B11C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p>
    <w:p w14:paraId="7AB0E28D" w14:textId="07D22C4E" w:rsidR="003B11C2" w:rsidRDefault="003B11C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p>
    <w:p w14:paraId="24FA588C" w14:textId="77777777" w:rsidR="003B11C2" w:rsidRDefault="003B11C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p>
    <w:p w14:paraId="3936988F" w14:textId="77777777" w:rsidR="00383122" w:rsidRPr="007D5C80" w:rsidRDefault="00F813F9" w:rsidP="00484F9B">
      <w:pPr>
        <w:spacing w:after="0" w:line="360" w:lineRule="auto"/>
        <w:ind w:left="680" w:right="340"/>
        <w:jc w:val="both"/>
        <w:rPr>
          <w:rFonts w:ascii="Times New Roman" w:hAnsi="Times New Roman" w:cs="Times New Roman"/>
          <w:i/>
          <w:color w:val="000000" w:themeColor="text1"/>
          <w:sz w:val="28"/>
          <w:szCs w:val="28"/>
        </w:rPr>
      </w:pPr>
      <w:r>
        <w:rPr>
          <w:rFonts w:ascii="Times New Roman" w:hAnsi="Times New Roman" w:cs="Times New Roman"/>
          <w:bCs/>
          <w:color w:val="000000" w:themeColor="text1"/>
          <w:sz w:val="28"/>
          <w:szCs w:val="28"/>
          <w:shd w:val="clear" w:color="auto" w:fill="FFFFFF"/>
        </w:rPr>
        <w:lastRenderedPageBreak/>
        <w:t>2.3.</w:t>
      </w:r>
      <w:r w:rsidR="00140247">
        <w:rPr>
          <w:rFonts w:ascii="Times New Roman" w:hAnsi="Times New Roman" w:cs="Times New Roman"/>
          <w:bCs/>
          <w:color w:val="000000" w:themeColor="text1"/>
          <w:sz w:val="28"/>
          <w:szCs w:val="28"/>
          <w:shd w:val="clear" w:color="auto" w:fill="FFFFFF"/>
        </w:rPr>
        <w:t>3</w:t>
      </w:r>
      <w:r>
        <w:rPr>
          <w:rFonts w:ascii="Times New Roman" w:hAnsi="Times New Roman" w:cs="Times New Roman"/>
          <w:bCs/>
          <w:color w:val="000000" w:themeColor="text1"/>
          <w:sz w:val="28"/>
          <w:szCs w:val="28"/>
          <w:shd w:val="clear" w:color="auto" w:fill="FFFFFF"/>
        </w:rPr>
        <w:t xml:space="preserve"> </w:t>
      </w:r>
      <w:r w:rsidR="00383122" w:rsidRPr="007D5C80">
        <w:rPr>
          <w:rFonts w:ascii="Times New Roman" w:hAnsi="Times New Roman" w:cs="Times New Roman"/>
          <w:i/>
          <w:color w:val="000000" w:themeColor="text1"/>
          <w:sz w:val="28"/>
          <w:szCs w:val="28"/>
        </w:rPr>
        <w:t>Cina</w:t>
      </w:r>
    </w:p>
    <w:p w14:paraId="7E8784BB" w14:textId="77777777" w:rsidR="00F813F9" w:rsidRPr="00F813F9" w:rsidRDefault="00F813F9"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p>
    <w:p w14:paraId="2FFBF185"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Per quanto riguarda la Cina</w:t>
      </w:r>
      <w:r w:rsidRPr="00383122">
        <w:rPr>
          <w:rStyle w:val="Rimandonotaapidipagina"/>
          <w:rFonts w:ascii="Times New Roman" w:hAnsi="Times New Roman" w:cs="Times New Roman"/>
          <w:color w:val="000000" w:themeColor="text1"/>
          <w:sz w:val="28"/>
          <w:szCs w:val="28"/>
        </w:rPr>
        <w:footnoteReference w:id="226"/>
      </w:r>
      <w:r w:rsidRPr="00383122">
        <w:rPr>
          <w:rFonts w:ascii="Times New Roman" w:hAnsi="Times New Roman" w:cs="Times New Roman"/>
          <w:color w:val="000000" w:themeColor="text1"/>
          <w:sz w:val="28"/>
          <w:szCs w:val="28"/>
        </w:rPr>
        <w:t>, invece l’attività di evangelizzazione fiorì nel XX, favorita dal crollo della monarchia e l’instaurazione della repubblica, oltre che dal tramonto delle antiche tradizioni confuciane</w:t>
      </w:r>
      <w:r w:rsidRPr="00383122">
        <w:rPr>
          <w:rStyle w:val="Rimandonotaapidipagina"/>
          <w:rFonts w:ascii="Times New Roman" w:hAnsi="Times New Roman" w:cs="Times New Roman"/>
          <w:color w:val="000000" w:themeColor="text1"/>
          <w:sz w:val="28"/>
          <w:szCs w:val="28"/>
        </w:rPr>
        <w:footnoteReference w:id="227"/>
      </w:r>
      <w:r w:rsidRPr="00383122">
        <w:rPr>
          <w:rFonts w:ascii="Times New Roman" w:hAnsi="Times New Roman" w:cs="Times New Roman"/>
          <w:color w:val="000000" w:themeColor="text1"/>
          <w:sz w:val="28"/>
          <w:szCs w:val="28"/>
        </w:rPr>
        <w:t>. Questi fattori consentirono l’introduzione della gerarchia ecclesiastica e la suddivisione del territorio cinese in diocesi e arcidiocesi.</w:t>
      </w:r>
    </w:p>
    <w:p w14:paraId="75156F1D"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 La parte centro occidentale della provincia civile del Kiangsi, posta nel sud est della Cina, al centro della valle del fiume Gan, fu staccata dalla provincia civile del Chekiang, con cui formava una sola missione fin dal 1838, ed eretta in vicariato apostolico del Kiangsi il 27 marzo 1846. In seguito il 19 agosto 1879 fu divisa nel vicariato apostolico del Kiangsi settentrionale e nel vicariato apostolico del Kiangsi meridionale</w:t>
      </w:r>
      <w:r w:rsidRPr="00383122">
        <w:rPr>
          <w:rStyle w:val="Rimandonotaapidipagina"/>
          <w:rFonts w:ascii="Times New Roman" w:hAnsi="Times New Roman" w:cs="Times New Roman"/>
          <w:color w:val="000000" w:themeColor="text1"/>
          <w:sz w:val="28"/>
          <w:szCs w:val="28"/>
        </w:rPr>
        <w:footnoteReference w:id="228"/>
      </w:r>
      <w:r w:rsidRPr="00383122">
        <w:rPr>
          <w:rFonts w:ascii="Times New Roman" w:hAnsi="Times New Roman" w:cs="Times New Roman"/>
          <w:color w:val="000000" w:themeColor="text1"/>
          <w:sz w:val="28"/>
          <w:szCs w:val="28"/>
        </w:rPr>
        <w:t>. Quest’ultimo, che aveva il suo capoluogo a Kiangsi, il 25 agosto 1920 cedette la parte sud del suo territorio per l’erezione del vicariato apostolico di Kanchow, ricevendo in cambio, a nord, dal vicariato apostolico del Kiangsi settentrionale, alcune prefetture civili, ed ebbe il nome di Kingan, dalla città residenza dell’ordinario, mentre il Kiangsi meridionale ebbe il nome di Fu-kow, dal luogo di residenza dell’ordinario</w:t>
      </w:r>
      <w:r w:rsidRPr="00383122">
        <w:rPr>
          <w:rStyle w:val="Rimandonotaapidipagina"/>
          <w:rFonts w:ascii="Times New Roman" w:hAnsi="Times New Roman" w:cs="Times New Roman"/>
          <w:color w:val="000000" w:themeColor="text1"/>
          <w:sz w:val="28"/>
          <w:szCs w:val="28"/>
        </w:rPr>
        <w:footnoteReference w:id="229"/>
      </w:r>
      <w:r w:rsidRPr="00383122">
        <w:rPr>
          <w:rFonts w:ascii="Times New Roman" w:hAnsi="Times New Roman" w:cs="Times New Roman"/>
          <w:color w:val="000000" w:themeColor="text1"/>
          <w:sz w:val="28"/>
          <w:szCs w:val="28"/>
        </w:rPr>
        <w:t>.</w:t>
      </w:r>
    </w:p>
    <w:p w14:paraId="2B25F40D"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 1946, con la istituzione della gerarchia episcopale in Cina, Kingan fu elevata a diocesi suffraganea di Nanchang.</w:t>
      </w:r>
    </w:p>
    <w:p w14:paraId="6A1053A3" w14:textId="77777777" w:rsidR="00383122" w:rsidRPr="00383122" w:rsidRDefault="00383122" w:rsidP="00484F9B">
      <w:pPr>
        <w:spacing w:after="0" w:line="360" w:lineRule="auto"/>
        <w:ind w:left="680" w:right="340"/>
        <w:jc w:val="both"/>
        <w:rPr>
          <w:rFonts w:ascii="Times New Roman" w:hAnsi="Times New Roman" w:cs="Times New Roman"/>
          <w:iCs/>
          <w:color w:val="000000" w:themeColor="text1"/>
          <w:sz w:val="28"/>
          <w:szCs w:val="28"/>
          <w:shd w:val="clear" w:color="auto" w:fill="FFFFFF"/>
        </w:rPr>
      </w:pPr>
      <w:r w:rsidRPr="00383122">
        <w:rPr>
          <w:rFonts w:ascii="Times New Roman" w:hAnsi="Times New Roman" w:cs="Times New Roman"/>
          <w:color w:val="000000" w:themeColor="text1"/>
          <w:sz w:val="28"/>
          <w:szCs w:val="28"/>
        </w:rPr>
        <w:t>La decisione di spostare la sede dell’ordinario era dettata dall’esigenza di favorire l’attività di evangelizzazione, poiché si poteva raggiungere un maggior numero di fedeli, rendendo i territori facilmente accessibili e raggiungibili. Questo fu quello che successe,</w:t>
      </w:r>
      <w:r w:rsidRPr="00383122">
        <w:rPr>
          <w:rFonts w:ascii="Arial" w:hAnsi="Arial" w:cs="Arial"/>
          <w:color w:val="000000" w:themeColor="text1"/>
          <w:sz w:val="21"/>
          <w:szCs w:val="21"/>
          <w:shd w:val="clear" w:color="auto" w:fill="FFFFFF"/>
        </w:rPr>
        <w:t xml:space="preserve"> </w:t>
      </w:r>
      <w:r w:rsidRPr="00383122">
        <w:rPr>
          <w:rFonts w:ascii="Times New Roman" w:hAnsi="Times New Roman" w:cs="Times New Roman"/>
          <w:color w:val="000000" w:themeColor="text1"/>
          <w:sz w:val="28"/>
          <w:szCs w:val="28"/>
          <w:shd w:val="clear" w:color="auto" w:fill="FFFFFF"/>
        </w:rPr>
        <w:t xml:space="preserve">nella parte nord-occidentale </w:t>
      </w:r>
      <w:r w:rsidRPr="00383122">
        <w:rPr>
          <w:rFonts w:ascii="Times New Roman" w:hAnsi="Times New Roman" w:cs="Times New Roman"/>
          <w:color w:val="000000" w:themeColor="text1"/>
          <w:sz w:val="28"/>
          <w:szCs w:val="28"/>
          <w:shd w:val="clear" w:color="auto" w:fill="FFFFFF"/>
        </w:rPr>
        <w:lastRenderedPageBreak/>
        <w:t>dello </w:t>
      </w:r>
      <w:hyperlink r:id="rId23" w:tooltip="Shandong" w:history="1">
        <w:r w:rsidRPr="00383122">
          <w:rPr>
            <w:rStyle w:val="Collegamentoipertestuale"/>
            <w:rFonts w:ascii="Times New Roman" w:hAnsi="Times New Roman" w:cs="Times New Roman"/>
            <w:color w:val="000000" w:themeColor="text1"/>
            <w:sz w:val="28"/>
            <w:szCs w:val="28"/>
            <w:u w:val="none"/>
            <w:shd w:val="clear" w:color="auto" w:fill="FFFFFF"/>
          </w:rPr>
          <w:t>Shandong</w:t>
        </w:r>
      </w:hyperlink>
      <w:r w:rsidRPr="00383122">
        <w:rPr>
          <w:rFonts w:ascii="Times New Roman" w:hAnsi="Times New Roman" w:cs="Times New Roman"/>
          <w:color w:val="000000" w:themeColor="text1"/>
          <w:sz w:val="28"/>
          <w:szCs w:val="28"/>
          <w:shd w:val="clear" w:color="auto" w:fill="FFFFFF"/>
        </w:rPr>
        <w:t xml:space="preserve">, a sud rispetto a </w:t>
      </w:r>
      <w:hyperlink r:id="rId24" w:tooltip="Pechino" w:history="1">
        <w:r w:rsidRPr="00383122">
          <w:rPr>
            <w:rStyle w:val="Collegamentoipertestuale"/>
            <w:rFonts w:ascii="Times New Roman" w:hAnsi="Times New Roman" w:cs="Times New Roman"/>
            <w:color w:val="000000" w:themeColor="text1"/>
            <w:sz w:val="28"/>
            <w:szCs w:val="28"/>
            <w:u w:val="none"/>
            <w:shd w:val="clear" w:color="auto" w:fill="FFFFFF"/>
          </w:rPr>
          <w:t>Pechino</w:t>
        </w:r>
      </w:hyperlink>
      <w:r w:rsidRPr="00383122">
        <w:rPr>
          <w:rFonts w:ascii="Arial" w:hAnsi="Arial" w:cs="Arial"/>
          <w:color w:val="000000" w:themeColor="text1"/>
          <w:sz w:val="21"/>
          <w:szCs w:val="21"/>
          <w:shd w:val="clear" w:color="auto" w:fill="FFFFFF"/>
        </w:rPr>
        <w:t>,</w:t>
      </w:r>
      <w:r w:rsidRPr="00383122">
        <w:rPr>
          <w:rFonts w:ascii="Times New Roman" w:hAnsi="Times New Roman" w:cs="Times New Roman"/>
          <w:color w:val="000000" w:themeColor="text1"/>
          <w:sz w:val="28"/>
          <w:szCs w:val="28"/>
        </w:rPr>
        <w:t xml:space="preserve"> quando nel 1923  la sede del vicariato apostolico di</w:t>
      </w:r>
      <w:r w:rsidRPr="00383122">
        <w:rPr>
          <w:rFonts w:ascii="Arial" w:hAnsi="Arial" w:cs="Arial"/>
          <w:i/>
          <w:iCs/>
          <w:color w:val="000000" w:themeColor="text1"/>
          <w:sz w:val="21"/>
          <w:szCs w:val="21"/>
          <w:shd w:val="clear" w:color="auto" w:fill="FFFFFF"/>
        </w:rPr>
        <w:t xml:space="preserve"> </w:t>
      </w:r>
      <w:r w:rsidRPr="00383122">
        <w:rPr>
          <w:rFonts w:ascii="Times New Roman" w:hAnsi="Times New Roman" w:cs="Times New Roman"/>
          <w:iCs/>
          <w:color w:val="000000" w:themeColor="text1"/>
          <w:sz w:val="28"/>
          <w:szCs w:val="28"/>
          <w:shd w:val="clear" w:color="auto" w:fill="FFFFFF"/>
        </w:rPr>
        <w:t>Chan-toung (diventò diocesi con il nome di Jinan nel 1946), eretta nel 1839 dalla diocesi di Pechino, si spostò da Fort Bayard a Pakhoi, dove vi era una maggiore concentrazione di fedeli</w:t>
      </w:r>
      <w:r w:rsidRPr="00383122">
        <w:rPr>
          <w:rStyle w:val="Rimandonotaapidipagina"/>
          <w:rFonts w:ascii="Times New Roman" w:hAnsi="Times New Roman" w:cs="Times New Roman"/>
          <w:iCs/>
          <w:color w:val="000000" w:themeColor="text1"/>
          <w:sz w:val="28"/>
          <w:szCs w:val="28"/>
          <w:shd w:val="clear" w:color="auto" w:fill="FFFFFF"/>
        </w:rPr>
        <w:footnoteReference w:id="230"/>
      </w:r>
      <w:r w:rsidRPr="00383122">
        <w:rPr>
          <w:rFonts w:ascii="Times New Roman" w:hAnsi="Times New Roman" w:cs="Times New Roman"/>
          <w:iCs/>
          <w:color w:val="000000" w:themeColor="text1"/>
          <w:sz w:val="28"/>
          <w:szCs w:val="28"/>
          <w:shd w:val="clear" w:color="auto" w:fill="FFFFFF"/>
        </w:rPr>
        <w:t>.</w:t>
      </w:r>
    </w:p>
    <w:p w14:paraId="451B9424"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Nella parte occidentale della provincia dell’Hunan (Cina centrale) venne eretta, nel 1925 la prefettura apostolica di Shenchow, affidata ai Passionisti</w:t>
      </w:r>
      <w:r w:rsidRPr="00383122">
        <w:rPr>
          <w:rStyle w:val="Rimandonotaapidipagina"/>
          <w:rFonts w:ascii="Times New Roman" w:hAnsi="Times New Roman" w:cs="Times New Roman"/>
          <w:color w:val="000000" w:themeColor="text1"/>
          <w:sz w:val="28"/>
          <w:szCs w:val="28"/>
        </w:rPr>
        <w:footnoteReference w:id="231"/>
      </w:r>
      <w:r w:rsidRPr="00383122">
        <w:rPr>
          <w:rFonts w:ascii="Times New Roman" w:hAnsi="Times New Roman" w:cs="Times New Roman"/>
          <w:color w:val="000000" w:themeColor="text1"/>
          <w:sz w:val="28"/>
          <w:szCs w:val="28"/>
        </w:rPr>
        <w:t>. Il 28 marzo 1934 venne elevata a vicariato con il nome di Yüanling, successivamente nel 1946 divenne diocesi suffraganea di Changsha</w:t>
      </w:r>
      <w:r w:rsidRPr="00383122">
        <w:rPr>
          <w:rStyle w:val="Rimandonotaapidipagina"/>
          <w:rFonts w:ascii="Times New Roman" w:hAnsi="Times New Roman" w:cs="Times New Roman"/>
          <w:color w:val="000000" w:themeColor="text1"/>
          <w:sz w:val="28"/>
          <w:szCs w:val="28"/>
        </w:rPr>
        <w:footnoteReference w:id="232"/>
      </w:r>
      <w:r w:rsidRPr="00383122">
        <w:rPr>
          <w:rFonts w:ascii="Times New Roman" w:hAnsi="Times New Roman" w:cs="Times New Roman"/>
          <w:color w:val="000000" w:themeColor="text1"/>
          <w:sz w:val="28"/>
          <w:szCs w:val="28"/>
        </w:rPr>
        <w:t>.</w:t>
      </w:r>
    </w:p>
    <w:p w14:paraId="08ED086F"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Nella area nord-est della Cina vi erano le prefetture civili di Yenki e Ilan, che fino al 19 marzo 1922 facevano parte del vicariato apostolico della Manciuria</w:t>
      </w:r>
      <w:r w:rsidRPr="00383122">
        <w:rPr>
          <w:rStyle w:val="Rimandonotaapidipagina"/>
          <w:rFonts w:ascii="Times New Roman" w:hAnsi="Times New Roman" w:cs="Times New Roman"/>
          <w:color w:val="000000" w:themeColor="text1"/>
          <w:sz w:val="28"/>
          <w:szCs w:val="28"/>
        </w:rPr>
        <w:footnoteReference w:id="233"/>
      </w:r>
      <w:r w:rsidRPr="00383122">
        <w:rPr>
          <w:rFonts w:ascii="Times New Roman" w:hAnsi="Times New Roman" w:cs="Times New Roman"/>
          <w:color w:val="000000" w:themeColor="text1"/>
          <w:sz w:val="28"/>
          <w:szCs w:val="28"/>
        </w:rPr>
        <w:t xml:space="preserve"> settentrionale, furono in quella data smembrate dalla detta missione e annesse al vicariato apostolico di Wonsan in Corea</w:t>
      </w:r>
      <w:r w:rsidRPr="00383122">
        <w:rPr>
          <w:rStyle w:val="Rimandonotaapidipagina"/>
          <w:rFonts w:ascii="Times New Roman" w:hAnsi="Times New Roman" w:cs="Times New Roman"/>
          <w:color w:val="000000" w:themeColor="text1"/>
          <w:sz w:val="28"/>
          <w:szCs w:val="28"/>
        </w:rPr>
        <w:footnoteReference w:id="234"/>
      </w:r>
      <w:r w:rsidRPr="00383122">
        <w:rPr>
          <w:rFonts w:ascii="Times New Roman" w:hAnsi="Times New Roman" w:cs="Times New Roman"/>
          <w:color w:val="000000" w:themeColor="text1"/>
          <w:sz w:val="28"/>
          <w:szCs w:val="28"/>
        </w:rPr>
        <w:t xml:space="preserve">. Il 9 luglio 1928, la prefettura civile di Ilan venne staccata anche da Wonsan e, eretta in missione </w:t>
      </w:r>
      <w:r w:rsidRPr="00383122">
        <w:rPr>
          <w:rFonts w:ascii="Times New Roman" w:hAnsi="Times New Roman" w:cs="Times New Roman"/>
          <w:i/>
          <w:color w:val="000000" w:themeColor="text1"/>
          <w:sz w:val="28"/>
          <w:szCs w:val="28"/>
        </w:rPr>
        <w:t>sui iuris</w:t>
      </w:r>
      <w:r w:rsidRPr="00383122">
        <w:rPr>
          <w:rFonts w:ascii="Times New Roman" w:hAnsi="Times New Roman" w:cs="Times New Roman"/>
          <w:color w:val="000000" w:themeColor="text1"/>
          <w:sz w:val="28"/>
          <w:szCs w:val="28"/>
        </w:rPr>
        <w:t xml:space="preserve"> il 13 apr. 1937, prendendo il nome di Kiamusze e affidata congregazione benedettina di S. Ottilia per le missioni estere</w:t>
      </w:r>
      <w:r w:rsidRPr="00383122">
        <w:rPr>
          <w:rStyle w:val="Rimandonotaapidipagina"/>
          <w:rFonts w:ascii="Times New Roman" w:hAnsi="Times New Roman" w:cs="Times New Roman"/>
          <w:color w:val="000000" w:themeColor="text1"/>
          <w:sz w:val="28"/>
          <w:szCs w:val="28"/>
        </w:rPr>
        <w:footnoteReference w:id="235"/>
      </w:r>
      <w:r w:rsidRPr="00383122">
        <w:rPr>
          <w:rFonts w:ascii="Times New Roman" w:hAnsi="Times New Roman" w:cs="Times New Roman"/>
          <w:color w:val="000000" w:themeColor="text1"/>
          <w:sz w:val="28"/>
          <w:szCs w:val="28"/>
        </w:rPr>
        <w:t>. Nel 9 aprile del 1940 venne elevata a prefettura apostolica.</w:t>
      </w:r>
    </w:p>
    <w:p w14:paraId="7BC07B7A"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Nella provincia civile del Chekiang, nella Cina centro-orientale, nel 1931 fu eretta la prefettura apostolica di Chuchow, affidata al seminario per le missioni cinesi di Scarboro e con 10 sottoprefetture civili distaccate dalla missione di Ningpo</w:t>
      </w:r>
      <w:r w:rsidRPr="00383122">
        <w:rPr>
          <w:rStyle w:val="Rimandonotaapidipagina"/>
          <w:rFonts w:ascii="Times New Roman" w:hAnsi="Times New Roman" w:cs="Times New Roman"/>
          <w:color w:val="000000" w:themeColor="text1"/>
          <w:sz w:val="28"/>
          <w:szCs w:val="28"/>
        </w:rPr>
        <w:footnoteReference w:id="236"/>
      </w:r>
      <w:r w:rsidRPr="00383122">
        <w:rPr>
          <w:rFonts w:ascii="Times New Roman" w:hAnsi="Times New Roman" w:cs="Times New Roman"/>
          <w:color w:val="000000" w:themeColor="text1"/>
          <w:sz w:val="28"/>
          <w:szCs w:val="28"/>
        </w:rPr>
        <w:t>.</w:t>
      </w:r>
    </w:p>
    <w:p w14:paraId="2337ABC6"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lastRenderedPageBreak/>
        <w:t>Il 28 maggio 1937 cambiò il nome di Chuchow in quello di Lishui, in questo modo la nuova denominazione si consolidò anche nei documenti e negli atti ecclesiastici</w:t>
      </w:r>
      <w:r w:rsidRPr="00383122">
        <w:rPr>
          <w:rStyle w:val="Rimandonotaapidipagina"/>
          <w:rFonts w:ascii="Times New Roman" w:hAnsi="Times New Roman" w:cs="Times New Roman"/>
          <w:color w:val="000000" w:themeColor="text1"/>
          <w:sz w:val="28"/>
          <w:szCs w:val="28"/>
        </w:rPr>
        <w:footnoteReference w:id="237"/>
      </w:r>
      <w:r w:rsidRPr="00383122">
        <w:rPr>
          <w:rFonts w:ascii="Times New Roman" w:hAnsi="Times New Roman" w:cs="Times New Roman"/>
          <w:color w:val="000000" w:themeColor="text1"/>
          <w:sz w:val="28"/>
          <w:szCs w:val="28"/>
        </w:rPr>
        <w:t>.</w:t>
      </w:r>
    </w:p>
    <w:p w14:paraId="1CF31AE4"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Successivamente il 25 giugno 1940 si accrebbe del distretto di Kinhwa (8 sottoprefetture civili che appartenevano fino allora alla missione di Plangchow); il 13 maggio 1948 fu elevata a diocesi suffraganea di Hangchow.</w:t>
      </w:r>
    </w:p>
    <w:p w14:paraId="355B4FC8"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Il 10 maggio </w:t>
      </w:r>
      <w:hyperlink r:id="rId25" w:tooltip="1898" w:history="1">
        <w:r w:rsidRPr="00383122">
          <w:rPr>
            <w:rStyle w:val="Collegamentoipertestuale"/>
            <w:color w:val="000000" w:themeColor="text1"/>
            <w:sz w:val="28"/>
            <w:szCs w:val="28"/>
            <w:u w:val="none"/>
          </w:rPr>
          <w:t>1898</w:t>
        </w:r>
      </w:hyperlink>
      <w:r w:rsidRPr="00383122">
        <w:rPr>
          <w:color w:val="000000" w:themeColor="text1"/>
          <w:sz w:val="28"/>
          <w:szCs w:val="28"/>
        </w:rPr>
        <w:t> la Manciuria fu divisa in due vicariati apostolici, su richiesta di </w:t>
      </w:r>
      <w:hyperlink r:id="rId26" w:tooltip="Monsignor" w:history="1">
        <w:r w:rsidRPr="00383122">
          <w:rPr>
            <w:rStyle w:val="Collegamentoipertestuale"/>
            <w:color w:val="000000" w:themeColor="text1"/>
            <w:sz w:val="28"/>
            <w:szCs w:val="28"/>
            <w:u w:val="none"/>
          </w:rPr>
          <w:t>monsignor</w:t>
        </w:r>
      </w:hyperlink>
      <w:r w:rsidRPr="00383122">
        <w:rPr>
          <w:color w:val="000000" w:themeColor="text1"/>
          <w:sz w:val="28"/>
          <w:szCs w:val="28"/>
        </w:rPr>
        <w:t> Laurent Guillon; il vicariato apostolico della Manciuria settentrionale (in seguito </w:t>
      </w:r>
      <w:hyperlink r:id="rId27" w:tooltip="Diocesi di Jilin" w:history="1">
        <w:r w:rsidRPr="00383122">
          <w:rPr>
            <w:rStyle w:val="Collegamentoipertestuale"/>
            <w:color w:val="000000" w:themeColor="text1"/>
            <w:sz w:val="28"/>
            <w:szCs w:val="28"/>
            <w:u w:val="none"/>
          </w:rPr>
          <w:t>vicariato di Jilin</w:t>
        </w:r>
      </w:hyperlink>
      <w:r w:rsidRPr="00383122">
        <w:rPr>
          <w:color w:val="000000" w:themeColor="text1"/>
          <w:sz w:val="28"/>
          <w:szCs w:val="28"/>
        </w:rPr>
        <w:t>) e la presente circoscrizione, che assunse il nome di vicariato apostolico della Manciuria meridionale.</w:t>
      </w:r>
    </w:p>
    <w:p w14:paraId="0B1072EB"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Il 3 dicembre </w:t>
      </w:r>
      <w:hyperlink r:id="rId28" w:tooltip="1924" w:history="1">
        <w:r w:rsidRPr="00383122">
          <w:rPr>
            <w:rStyle w:val="Collegamentoipertestuale"/>
            <w:color w:val="000000" w:themeColor="text1"/>
            <w:sz w:val="28"/>
            <w:szCs w:val="28"/>
            <w:u w:val="none"/>
          </w:rPr>
          <w:t>1924</w:t>
        </w:r>
      </w:hyperlink>
      <w:r w:rsidRPr="00383122">
        <w:rPr>
          <w:color w:val="000000" w:themeColor="text1"/>
          <w:sz w:val="28"/>
          <w:szCs w:val="28"/>
        </w:rPr>
        <w:t>, in seguito a una decisione del sinodo dei vicari apostolici della </w:t>
      </w:r>
      <w:hyperlink r:id="rId29" w:tooltip="Cina" w:history="1">
        <w:r w:rsidRPr="00383122">
          <w:rPr>
            <w:rStyle w:val="Collegamentoipertestuale"/>
            <w:color w:val="000000" w:themeColor="text1"/>
            <w:sz w:val="28"/>
            <w:szCs w:val="28"/>
            <w:u w:val="none"/>
          </w:rPr>
          <w:t>Cina</w:t>
        </w:r>
      </w:hyperlink>
      <w:r w:rsidRPr="00383122">
        <w:rPr>
          <w:color w:val="000000" w:themeColor="text1"/>
          <w:sz w:val="28"/>
          <w:szCs w:val="28"/>
        </w:rPr>
        <w:t>, il vicariato apostolico della Manciuria meridionale mutò il proprio nome in vicariato apostolico di Moukden, (nome mancese di Shenyang). Nel 1938 alcuni territori del vicariato di Moukden passarono al vicariato di Jilin</w:t>
      </w:r>
      <w:r w:rsidRPr="00383122">
        <w:rPr>
          <w:rStyle w:val="Rimandonotaapidipagina"/>
          <w:color w:val="000000" w:themeColor="text1"/>
          <w:sz w:val="28"/>
          <w:szCs w:val="28"/>
        </w:rPr>
        <w:footnoteReference w:id="238"/>
      </w:r>
      <w:r w:rsidRPr="00383122">
        <w:rPr>
          <w:color w:val="000000" w:themeColor="text1"/>
          <w:sz w:val="28"/>
          <w:szCs w:val="28"/>
        </w:rPr>
        <w:t>.</w:t>
      </w:r>
    </w:p>
    <w:p w14:paraId="78E68BB3"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Situata nella parte settentrionale della Manciuria, vi era la prefettura apostolica di Tsitsikar, affidata alla società delle Missioni Estere di Bethlehem (Svizzera). Tale prefettura nacque nel 1928 come missione sui iuris, dal vicariato apostolico di Kirin e fu elevata al grado di prefettura nel 1931. La religione cattolica in tale prefettura fu importata da alcuni immigrati dalla provincia di Kirin, e grazie allo zelo di alcuni missionari, furono organizzate varie comunità cristiane, che poi subirono danni in opere e personale durante la sommossa dei Boxers (1900)</w:t>
      </w:r>
      <w:r w:rsidRPr="00383122">
        <w:rPr>
          <w:rStyle w:val="Rimandonotaapidipagina"/>
          <w:color w:val="000000" w:themeColor="text1"/>
          <w:sz w:val="28"/>
          <w:szCs w:val="28"/>
        </w:rPr>
        <w:footnoteReference w:id="239"/>
      </w:r>
      <w:r w:rsidRPr="00383122">
        <w:rPr>
          <w:color w:val="000000" w:themeColor="text1"/>
          <w:sz w:val="28"/>
          <w:szCs w:val="28"/>
        </w:rPr>
        <w:t xml:space="preserve">. Ritornata la calma, la </w:t>
      </w:r>
      <w:r w:rsidRPr="00383122">
        <w:rPr>
          <w:color w:val="000000" w:themeColor="text1"/>
          <w:sz w:val="28"/>
          <w:szCs w:val="28"/>
        </w:rPr>
        <w:lastRenderedPageBreak/>
        <w:t>missione riprese il suo sviluppo, articolandosi in nuove fiorenti stazioni missionarie.</w:t>
      </w:r>
    </w:p>
    <w:p w14:paraId="3A16C0DF"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 xml:space="preserve"> Nel 1939 vi fu un mutamento di confini tra la prefettura di Tsitsikar e il vicariato di Kirin, poichè Kirin divenne parte della prefettura di Tsitsikar, alla quale si aggiunsero anche i distretti civili di Tung-pei, Cheung-lung e Lung-chien</w:t>
      </w:r>
      <w:r w:rsidRPr="00383122">
        <w:rPr>
          <w:rStyle w:val="Rimandonotaapidipagina"/>
          <w:color w:val="000000" w:themeColor="text1"/>
          <w:sz w:val="28"/>
          <w:szCs w:val="28"/>
        </w:rPr>
        <w:footnoteReference w:id="240"/>
      </w:r>
      <w:r w:rsidRPr="00383122">
        <w:rPr>
          <w:color w:val="000000" w:themeColor="text1"/>
          <w:sz w:val="28"/>
          <w:szCs w:val="28"/>
        </w:rPr>
        <w:t xml:space="preserve">. </w:t>
      </w:r>
    </w:p>
    <w:p w14:paraId="7FC81B57" w14:textId="77777777" w:rsidR="00140247"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r w:rsidRPr="00383122">
        <w:rPr>
          <w:color w:val="000000" w:themeColor="text1"/>
          <w:sz w:val="28"/>
          <w:szCs w:val="28"/>
        </w:rPr>
        <w:t xml:space="preserve">Nel 1941 vi fu un mutamento ulteriore di confini tra la prefettura di Tsitsikar e il vicariato apostolico di </w:t>
      </w:r>
      <w:r w:rsidRPr="00383122">
        <w:rPr>
          <w:color w:val="000000" w:themeColor="text1"/>
          <w:sz w:val="28"/>
          <w:szCs w:val="28"/>
          <w:shd w:val="clear" w:color="auto" w:fill="FFFFFF"/>
        </w:rPr>
        <w:t>Siwantze, che nacque nel 1924 dalla Mongolia centrale, poiché la prefettura civile di</w:t>
      </w:r>
      <w:r w:rsidRPr="00383122">
        <w:rPr>
          <w:color w:val="000000" w:themeColor="text1"/>
        </w:rPr>
        <w:t xml:space="preserve"> </w:t>
      </w:r>
      <w:r w:rsidRPr="00383122">
        <w:rPr>
          <w:color w:val="000000" w:themeColor="text1"/>
          <w:sz w:val="28"/>
          <w:szCs w:val="28"/>
          <w:shd w:val="clear" w:color="auto" w:fill="FFFFFF"/>
        </w:rPr>
        <w:t>Te-hoa passò dalla prefettura di Tsitsikar al vicariato di Siwante</w:t>
      </w:r>
      <w:r w:rsidRPr="00383122">
        <w:rPr>
          <w:rStyle w:val="Rimandonotaapidipagina"/>
          <w:color w:val="000000" w:themeColor="text1"/>
          <w:sz w:val="28"/>
          <w:szCs w:val="28"/>
          <w:shd w:val="clear" w:color="auto" w:fill="FFFFFF"/>
        </w:rPr>
        <w:footnoteReference w:id="241"/>
      </w:r>
      <w:r w:rsidRPr="00383122">
        <w:rPr>
          <w:color w:val="000000" w:themeColor="text1"/>
          <w:sz w:val="28"/>
          <w:szCs w:val="28"/>
          <w:shd w:val="clear" w:color="auto" w:fill="FFFFFF"/>
        </w:rPr>
        <w:t>. Successivamente nel 1948 la sede vescovile di Siwante venne trasferita nella città di Kalgan, per favorire l’opera di evangelizzazione, in quanto si trattava di un luogo più facile da raggiungere</w:t>
      </w:r>
      <w:r w:rsidRPr="00383122">
        <w:rPr>
          <w:rStyle w:val="Rimandonotaapidipagina"/>
          <w:color w:val="000000" w:themeColor="text1"/>
          <w:sz w:val="28"/>
          <w:szCs w:val="28"/>
          <w:shd w:val="clear" w:color="auto" w:fill="FFFFFF"/>
        </w:rPr>
        <w:footnoteReference w:id="242"/>
      </w:r>
      <w:r w:rsidR="00140247">
        <w:rPr>
          <w:color w:val="000000" w:themeColor="text1"/>
          <w:sz w:val="28"/>
          <w:szCs w:val="28"/>
          <w:shd w:val="clear" w:color="auto" w:fill="FFFFFF"/>
        </w:rPr>
        <w:t>.</w:t>
      </w:r>
    </w:p>
    <w:p w14:paraId="4A39D5C9"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p>
    <w:p w14:paraId="27CB5F68"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p>
    <w:p w14:paraId="4017D506" w14:textId="77777777" w:rsid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r>
        <w:rPr>
          <w:color w:val="000000" w:themeColor="text1"/>
          <w:sz w:val="28"/>
          <w:szCs w:val="28"/>
          <w:shd w:val="clear" w:color="auto" w:fill="FFFFFF"/>
        </w:rPr>
        <w:t xml:space="preserve">2.3.4 </w:t>
      </w:r>
      <w:r w:rsidR="00383122" w:rsidRPr="007D5C80">
        <w:rPr>
          <w:i/>
          <w:color w:val="000000" w:themeColor="text1"/>
          <w:sz w:val="28"/>
          <w:szCs w:val="28"/>
          <w:shd w:val="clear" w:color="auto" w:fill="FFFFFF"/>
        </w:rPr>
        <w:t>Giappone</w:t>
      </w:r>
    </w:p>
    <w:p w14:paraId="6D542284" w14:textId="77777777" w:rsidR="00140247" w:rsidRP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p>
    <w:p w14:paraId="4FBD0BE7"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r w:rsidRPr="00383122">
        <w:rPr>
          <w:color w:val="000000" w:themeColor="text1"/>
          <w:sz w:val="28"/>
          <w:szCs w:val="28"/>
          <w:shd w:val="clear" w:color="auto" w:fill="FFFFFF"/>
        </w:rPr>
        <w:t>In Giappone</w:t>
      </w:r>
      <w:r w:rsidRPr="00383122">
        <w:rPr>
          <w:rStyle w:val="Rimandonotaapidipagina"/>
          <w:color w:val="000000" w:themeColor="text1"/>
          <w:sz w:val="28"/>
          <w:szCs w:val="28"/>
          <w:shd w:val="clear" w:color="auto" w:fill="FFFFFF"/>
        </w:rPr>
        <w:footnoteReference w:id="243"/>
      </w:r>
      <w:r w:rsidRPr="00383122">
        <w:rPr>
          <w:color w:val="000000" w:themeColor="text1"/>
          <w:sz w:val="28"/>
          <w:szCs w:val="28"/>
          <w:shd w:val="clear" w:color="auto" w:fill="FFFFFF"/>
        </w:rPr>
        <w:t xml:space="preserve"> l’attività di evangelizzazione inizialmente fu frenata dalla repulsione verso il cristianesimo. Difatti fino al 1856 ancora vigeva la pena di morte per i cristiani. La chiesa in Giappone si consolidò, nell’età moderna, ossia a partire dal 1874. Anno, durante il quale ritornarono i cristiani esiliati, e, pentiti, anche gli apostati, formando nuclei considerevoli per nuove fondazioni. Inoltre la Costituzione del 1889, che ribadiva il diritto alla libertà religiosa favorì la diffusione della fede cristiana. Tuttavia la piena apertura </w:t>
      </w:r>
      <w:r w:rsidRPr="00383122">
        <w:rPr>
          <w:color w:val="000000" w:themeColor="text1"/>
          <w:sz w:val="28"/>
          <w:szCs w:val="28"/>
          <w:shd w:val="clear" w:color="auto" w:fill="FFFFFF"/>
        </w:rPr>
        <w:lastRenderedPageBreak/>
        <w:t>nei confronti dell’attività missionaria, con conseguente instaurazione della gerarchia ecclesiastica, in Giappone si ebbe solo a seguito della seconda guerra mondiale.</w:t>
      </w:r>
    </w:p>
    <w:p w14:paraId="67B8CC7E"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r w:rsidRPr="00383122">
        <w:rPr>
          <w:color w:val="000000" w:themeColor="text1"/>
          <w:sz w:val="28"/>
          <w:szCs w:val="28"/>
          <w:shd w:val="clear" w:color="auto" w:fill="FFFFFF"/>
        </w:rPr>
        <w:t>La zona delle isole Marianne, nel 1921 passarono dalla delegazione apostolica dell’ Australia a quella del Giappone</w:t>
      </w:r>
      <w:r w:rsidRPr="00383122">
        <w:rPr>
          <w:rStyle w:val="Rimandonotaapidipagina"/>
          <w:color w:val="000000" w:themeColor="text1"/>
          <w:sz w:val="28"/>
          <w:szCs w:val="28"/>
          <w:shd w:val="clear" w:color="auto" w:fill="FFFFFF"/>
        </w:rPr>
        <w:footnoteReference w:id="244"/>
      </w:r>
      <w:r w:rsidRPr="00383122">
        <w:rPr>
          <w:color w:val="000000" w:themeColor="text1"/>
          <w:sz w:val="28"/>
          <w:szCs w:val="28"/>
          <w:shd w:val="clear" w:color="auto" w:fill="FFFFFF"/>
        </w:rPr>
        <w:t>. Tale arcipelago di isole dal 1667 al 1889 appartenne alla Spagna, nel 1889 fu venduto dalla Spagna alla Germania e, dopo la prima guerra mondiale, con il trattato di Versailles, venne ceduto al Giappone.</w:t>
      </w:r>
    </w:p>
    <w:p w14:paraId="417A0D2B"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r w:rsidRPr="00383122">
        <w:rPr>
          <w:color w:val="000000" w:themeColor="text1"/>
          <w:sz w:val="28"/>
          <w:szCs w:val="28"/>
          <w:shd w:val="clear" w:color="auto" w:fill="FFFFFF"/>
        </w:rPr>
        <w:t>A nord-ovest rispetto all’Oceano Pacifico nella zona compresa tra le isole Marianne e Kyūshū vi fu un cambiamento nel 1947 di confini tra il vicariato di Guam e la prefettura apostolica di Kagoshima (eretta nel 1927 dalla diocesi di Nagasaki e elevata a diocesi nel 1955), poiché le isole di Ryukyu, che facevano parte della prefettura apostolica di Kagoshima passarono sotto la giurisdizione del vicariato di Guam</w:t>
      </w:r>
      <w:r w:rsidRPr="00383122">
        <w:rPr>
          <w:rStyle w:val="Rimandonotaapidipagina"/>
          <w:color w:val="000000" w:themeColor="text1"/>
          <w:sz w:val="28"/>
          <w:szCs w:val="28"/>
          <w:shd w:val="clear" w:color="auto" w:fill="FFFFFF"/>
        </w:rPr>
        <w:footnoteReference w:id="245"/>
      </w:r>
      <w:r w:rsidRPr="00383122">
        <w:rPr>
          <w:color w:val="000000" w:themeColor="text1"/>
          <w:sz w:val="28"/>
          <w:szCs w:val="28"/>
          <w:shd w:val="clear" w:color="auto" w:fill="FFFFFF"/>
        </w:rPr>
        <w:t>. Il vicariato di Guam comprendeva tutte le isole Marianne e in tale territorio l’opera di evangelizzazione dei missionari gesuiti si protrasse non senza difficoltà fino al 1767, epoca in cui subentrarono i Recolletti di S, Agostino. Questi vi rimasero fino al 1 ottobre 1906, data di erezione della prefettura apostolica delle isole Marianne, affidata ai Cappuccini della provincia renowestfalica</w:t>
      </w:r>
      <w:r w:rsidRPr="00383122">
        <w:rPr>
          <w:rStyle w:val="Rimandonotaapidipagina"/>
          <w:color w:val="000000" w:themeColor="text1"/>
          <w:sz w:val="28"/>
          <w:szCs w:val="28"/>
          <w:shd w:val="clear" w:color="auto" w:fill="FFFFFF"/>
        </w:rPr>
        <w:footnoteReference w:id="246"/>
      </w:r>
      <w:r w:rsidRPr="00383122">
        <w:rPr>
          <w:color w:val="000000" w:themeColor="text1"/>
          <w:sz w:val="28"/>
          <w:szCs w:val="28"/>
          <w:shd w:val="clear" w:color="auto" w:fill="FFFFFF"/>
        </w:rPr>
        <w:t>. Il 1 marzo 1911, con l’unione delle isole Marianne e delle Caroline, fu costituito il vicariato delle Isole Marianne e Caroline, che successivamente diventò vicariato delle Isole Marianne, Caroline e Marshall.</w:t>
      </w:r>
      <w:r w:rsidRPr="00383122">
        <w:rPr>
          <w:color w:val="000000" w:themeColor="text1"/>
        </w:rPr>
        <w:t xml:space="preserve"> </w:t>
      </w:r>
      <w:r w:rsidRPr="00383122">
        <w:rPr>
          <w:color w:val="000000" w:themeColor="text1"/>
          <w:sz w:val="28"/>
          <w:szCs w:val="28"/>
          <w:shd w:val="clear" w:color="auto" w:fill="FFFFFF"/>
        </w:rPr>
        <w:t>Il 4 luglio 1946, l’arcipelago delle Marianne fu distaccato dal vicariato delle Isole Marianne, Caroline e Marshall ed incorporato in quello di Guam</w:t>
      </w:r>
      <w:r w:rsidRPr="00383122">
        <w:rPr>
          <w:rStyle w:val="Rimandonotaapidipagina"/>
          <w:color w:val="000000" w:themeColor="text1"/>
          <w:sz w:val="28"/>
          <w:szCs w:val="28"/>
          <w:shd w:val="clear" w:color="auto" w:fill="FFFFFF"/>
        </w:rPr>
        <w:footnoteReference w:id="247"/>
      </w:r>
      <w:r w:rsidRPr="00383122">
        <w:rPr>
          <w:color w:val="000000" w:themeColor="text1"/>
          <w:sz w:val="28"/>
          <w:szCs w:val="28"/>
          <w:shd w:val="clear" w:color="auto" w:fill="FFFFFF"/>
        </w:rPr>
        <w:t xml:space="preserve">. Nel 1948 l’isola di Wake, situata nella </w:t>
      </w:r>
      <w:r w:rsidRPr="00383122">
        <w:rPr>
          <w:color w:val="000000" w:themeColor="text1"/>
          <w:sz w:val="28"/>
          <w:szCs w:val="28"/>
          <w:shd w:val="clear" w:color="auto" w:fill="FFFFFF"/>
        </w:rPr>
        <w:lastRenderedPageBreak/>
        <w:t>Micronesia, la quale precedentemente era sotto la giurisdizione dell’America del nord, passò sotto la giurisdizione del Guam</w:t>
      </w:r>
      <w:r w:rsidRPr="00383122">
        <w:rPr>
          <w:rStyle w:val="Rimandonotaapidipagina"/>
          <w:color w:val="000000" w:themeColor="text1"/>
          <w:sz w:val="28"/>
          <w:szCs w:val="28"/>
          <w:shd w:val="clear" w:color="auto" w:fill="FFFFFF"/>
        </w:rPr>
        <w:footnoteReference w:id="248"/>
      </w:r>
      <w:r w:rsidRPr="00383122">
        <w:rPr>
          <w:color w:val="000000" w:themeColor="text1"/>
          <w:sz w:val="28"/>
          <w:szCs w:val="28"/>
          <w:shd w:val="clear" w:color="auto" w:fill="FFFFFF"/>
        </w:rPr>
        <w:t>.</w:t>
      </w:r>
    </w:p>
    <w:p w14:paraId="01A370EF" w14:textId="77777777" w:rsidR="00140247"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r w:rsidRPr="00383122">
        <w:rPr>
          <w:color w:val="000000" w:themeColor="text1"/>
          <w:sz w:val="28"/>
          <w:szCs w:val="28"/>
          <w:shd w:val="clear" w:color="auto" w:fill="FFFFFF"/>
        </w:rPr>
        <w:t>Nel nord del Giappone, situato nell’isola di Honshū, venne eretto nel 1891 il vicariato apostolico di Hakodate, dal vicariato apostolico del Giappone settentrionale. Il 15 giugno dello stesso anno il vicariato apostolico fu elevato a diocesi. Il 13 agosto 1912 e il 12 febbraio 1915 cedette porzioni del suo territorio a vantaggio dell'erezione delle prefetture apostoliche rispettivamente di Niigata e di Sapporo. La sede vescovile, inizialmente a Hakodate, fu traslata a Sendai il 9 maggio 1902, ma ritornò a Hakodate il 25 novembre 1924 per effetto del decreto di Propaganda Fide</w:t>
      </w:r>
      <w:r w:rsidRPr="00383122">
        <w:rPr>
          <w:rStyle w:val="Rimandonotaapidipagina"/>
          <w:color w:val="000000" w:themeColor="text1"/>
          <w:sz w:val="28"/>
          <w:szCs w:val="28"/>
          <w:shd w:val="clear" w:color="auto" w:fill="FFFFFF"/>
        </w:rPr>
        <w:footnoteReference w:id="249"/>
      </w:r>
      <w:r w:rsidRPr="00383122">
        <w:rPr>
          <w:color w:val="000000" w:themeColor="text1"/>
          <w:sz w:val="28"/>
          <w:szCs w:val="28"/>
          <w:shd w:val="clear" w:color="auto" w:fill="FFFFFF"/>
        </w:rPr>
        <w:t>. Fu poi trasferita definitivamente a Sendai il 9 marzo 1936, per consentire il consolidamento dell’opera di evangelizzazione, grazie alla sua posizione che permetteva di spostarsi facilmente</w:t>
      </w:r>
      <w:r w:rsidRPr="00383122">
        <w:rPr>
          <w:rStyle w:val="Rimandonotaapidipagina"/>
          <w:color w:val="000000" w:themeColor="text1"/>
          <w:sz w:val="28"/>
          <w:szCs w:val="28"/>
          <w:shd w:val="clear" w:color="auto" w:fill="FFFFFF"/>
        </w:rPr>
        <w:footnoteReference w:id="250"/>
      </w:r>
      <w:r w:rsidRPr="00383122">
        <w:rPr>
          <w:color w:val="000000" w:themeColor="text1"/>
          <w:sz w:val="28"/>
          <w:szCs w:val="28"/>
          <w:shd w:val="clear" w:color="auto" w:fill="FFFFFF"/>
        </w:rPr>
        <w:t>.</w:t>
      </w:r>
    </w:p>
    <w:p w14:paraId="33449AE6"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p>
    <w:p w14:paraId="69F7280B" w14:textId="77777777" w:rsidR="00383122" w:rsidRP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shd w:val="clear" w:color="auto" w:fill="FFFFFF"/>
        </w:rPr>
      </w:pPr>
      <w:r>
        <w:rPr>
          <w:color w:val="000000" w:themeColor="text1"/>
          <w:sz w:val="28"/>
          <w:szCs w:val="28"/>
          <w:shd w:val="clear" w:color="auto" w:fill="FFFFFF"/>
        </w:rPr>
        <w:t xml:space="preserve">2.4 </w:t>
      </w:r>
      <w:r w:rsidR="00383122" w:rsidRPr="007D5C80">
        <w:rPr>
          <w:i/>
          <w:color w:val="000000" w:themeColor="text1"/>
          <w:sz w:val="28"/>
          <w:szCs w:val="28"/>
        </w:rPr>
        <w:t>America</w:t>
      </w:r>
    </w:p>
    <w:p w14:paraId="49C81A91" w14:textId="77777777" w:rsidR="00140247" w:rsidRP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1CB00E16" w14:textId="77777777" w:rsidR="00140247"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La storia ecclesiastica dell’America si può dividere in quattro parti, a seconda dei quattro centri dai quali si propagò la chiesa cattolica nel continente americano, cioè l’America del nord con due centri, Canada e Stati Uniti e l’America colonizzata dagli spagnoli e quella colonizzata dai portoghesi (Brasile), che rientravano entrambe nell’America del sud</w:t>
      </w:r>
      <w:r w:rsidRPr="00383122">
        <w:rPr>
          <w:rStyle w:val="Rimandonotaapidipagina"/>
          <w:color w:val="000000" w:themeColor="text1"/>
          <w:sz w:val="28"/>
          <w:szCs w:val="28"/>
        </w:rPr>
        <w:footnoteReference w:id="251"/>
      </w:r>
      <w:r w:rsidRPr="00383122">
        <w:rPr>
          <w:color w:val="000000" w:themeColor="text1"/>
          <w:sz w:val="28"/>
          <w:szCs w:val="28"/>
        </w:rPr>
        <w:t>.</w:t>
      </w:r>
    </w:p>
    <w:p w14:paraId="431CE579"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469C20A8"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6E9DB4BB" w14:textId="77777777" w:rsidR="00383122" w:rsidRPr="007D5C80" w:rsidRDefault="00140247" w:rsidP="00484F9B">
      <w:pPr>
        <w:pStyle w:val="NormaleWeb"/>
        <w:shd w:val="clear" w:color="auto" w:fill="FFFFFF"/>
        <w:spacing w:before="0" w:beforeAutospacing="0" w:after="0" w:afterAutospacing="0" w:line="360" w:lineRule="auto"/>
        <w:ind w:left="680" w:right="340"/>
        <w:jc w:val="both"/>
        <w:rPr>
          <w:i/>
          <w:color w:val="000000" w:themeColor="text1"/>
          <w:sz w:val="28"/>
          <w:szCs w:val="28"/>
        </w:rPr>
      </w:pPr>
      <w:r>
        <w:rPr>
          <w:color w:val="000000" w:themeColor="text1"/>
          <w:sz w:val="28"/>
          <w:szCs w:val="28"/>
        </w:rPr>
        <w:lastRenderedPageBreak/>
        <w:t xml:space="preserve">2.4.1 </w:t>
      </w:r>
      <w:r w:rsidR="00383122" w:rsidRPr="007D5C80">
        <w:rPr>
          <w:i/>
          <w:color w:val="000000" w:themeColor="text1"/>
          <w:sz w:val="28"/>
          <w:szCs w:val="28"/>
        </w:rPr>
        <w:t>America del Nord</w:t>
      </w:r>
    </w:p>
    <w:p w14:paraId="332B52C2" w14:textId="77777777" w:rsidR="00140247" w:rsidRP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2012BAD0"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In America del nord il Canada, benché visitato da vari naviganti, non cominciò propriamente ad essere evangelizzato se non dal tempo della fondazione di Québec (1608), fatta dal francese Samuele di Champlain. La Chiesa cattolica si sviluppò lentamente e vari ordini (francescani, recolletti, gesuiti, sulpiziani, ecc.) portarono avanti l’attività di evangelizzazione.</w:t>
      </w:r>
      <w:r w:rsidRPr="00383122">
        <w:rPr>
          <w:color w:val="000000" w:themeColor="text1"/>
        </w:rPr>
        <w:t xml:space="preserve"> N</w:t>
      </w:r>
      <w:r w:rsidRPr="00383122">
        <w:rPr>
          <w:color w:val="000000" w:themeColor="text1"/>
          <w:sz w:val="28"/>
          <w:szCs w:val="28"/>
        </w:rPr>
        <w:t>el 1763 per il trattato di Parigi tutto il Canada passò sotto il dominio inglese e  così cominciò per la chiesa un periodo di lotta e di oppressione</w:t>
      </w:r>
      <w:r w:rsidRPr="00383122">
        <w:rPr>
          <w:rStyle w:val="Rimandonotaapidipagina"/>
          <w:color w:val="000000" w:themeColor="text1"/>
          <w:sz w:val="28"/>
          <w:szCs w:val="28"/>
        </w:rPr>
        <w:footnoteReference w:id="252"/>
      </w:r>
      <w:r w:rsidRPr="00383122">
        <w:rPr>
          <w:color w:val="000000" w:themeColor="text1"/>
          <w:sz w:val="28"/>
          <w:szCs w:val="28"/>
        </w:rPr>
        <w:t xml:space="preserve">. Eppure i cattolici del Canada si mantennero fedeli, durante la guerra d’indipendenza delle colonie americane, alla nazione che li perseguitava. </w:t>
      </w:r>
    </w:p>
    <w:p w14:paraId="490F50E9"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rPr>
      </w:pPr>
      <w:r w:rsidRPr="00383122">
        <w:rPr>
          <w:color w:val="000000" w:themeColor="text1"/>
          <w:sz w:val="28"/>
          <w:szCs w:val="28"/>
        </w:rPr>
        <w:t>La storia ecclesiastica degli Stati Uniti si sviluppò secondo le differenti direttive della penetrazione cattolica in ciò che fu dapprima un agglomerato di colonie olandesi, spagnole, inglesi e francesi, e che in seguito formò la repubblica degli Stati Uniti d’America. Tutti i diversi campi di evangelizzazione avevano i loro centri ecclesiastici molto lontani. Basti pensare alle missioni del Messico, dipendenti, prima dalla diocesi di Guadalajara (1552), poi dal vescovo di Guadiana o Durango (1620) e da quello di Sonora (1779), fino all’erezione della diocesi di Monterrey (1840), alla quale appartennero le Californie</w:t>
      </w:r>
      <w:r w:rsidRPr="00383122">
        <w:rPr>
          <w:rStyle w:val="Rimandonotaapidipagina"/>
          <w:color w:val="000000" w:themeColor="text1"/>
          <w:sz w:val="28"/>
          <w:szCs w:val="28"/>
        </w:rPr>
        <w:footnoteReference w:id="253"/>
      </w:r>
      <w:r w:rsidRPr="00383122">
        <w:rPr>
          <w:color w:val="000000" w:themeColor="text1"/>
          <w:sz w:val="28"/>
          <w:szCs w:val="28"/>
        </w:rPr>
        <w:t>.</w:t>
      </w:r>
      <w:r w:rsidRPr="00383122">
        <w:rPr>
          <w:color w:val="000000" w:themeColor="text1"/>
        </w:rPr>
        <w:t xml:space="preserve"> </w:t>
      </w:r>
    </w:p>
    <w:p w14:paraId="6F4837F7" w14:textId="77777777" w:rsidR="00140247"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 xml:space="preserve">Nell’America spagnola l’attività di evangelizzazione ebbe caratteristiche specifiche. Prima di tutto il patronato reale, con il quale al re di Spagna era concessa l’elezione dei vescovi, la delimitazione e divisione delle diocesi e molti altri privilegi. Dal patronato derivavano molti benefici per la Chiesa. Basti citare l’evangelizzazione di tutti quegli immensi territori, aiutata dal governo, lo stabilimento di diocesi e province ecclesiastiche, l’erezione di cattedrali e case religiose, l’unione tra le autorità civili ed ecclesiastiche. Ne </w:t>
      </w:r>
      <w:r w:rsidRPr="00383122">
        <w:rPr>
          <w:color w:val="000000" w:themeColor="text1"/>
          <w:sz w:val="28"/>
          <w:szCs w:val="28"/>
        </w:rPr>
        <w:lastRenderedPageBreak/>
        <w:t>derivarono però anche inconvenienti, come la mancanza di comunicazione diretta tra il capo della Chiesa ed i vescovi o l’elezione di prelati quasi tutti spagnoli. Nell’America portoghese</w:t>
      </w:r>
      <w:r w:rsidRPr="00383122">
        <w:rPr>
          <w:color w:val="000000" w:themeColor="text1"/>
        </w:rPr>
        <w:t xml:space="preserve"> </w:t>
      </w:r>
      <w:r w:rsidRPr="00383122">
        <w:rPr>
          <w:color w:val="000000" w:themeColor="text1"/>
          <w:sz w:val="28"/>
          <w:szCs w:val="28"/>
        </w:rPr>
        <w:t>prima dell’indipendenza, vi era un parallelismo notevole tra la storia ecclesiastica coloniale spagnola e quella portoghese. Il re del Portogallo, come quello della Spagna, godeva del patronato reale con gli stessi vantaggi ed inconvenienti indicati per l’America spagnola</w:t>
      </w:r>
      <w:r w:rsidRPr="00383122">
        <w:rPr>
          <w:rStyle w:val="Rimandonotaapidipagina"/>
          <w:color w:val="000000" w:themeColor="text1"/>
          <w:sz w:val="28"/>
          <w:szCs w:val="28"/>
        </w:rPr>
        <w:footnoteReference w:id="254"/>
      </w:r>
      <w:r w:rsidR="00140247">
        <w:rPr>
          <w:color w:val="000000" w:themeColor="text1"/>
          <w:sz w:val="28"/>
          <w:szCs w:val="28"/>
        </w:rPr>
        <w:t>.</w:t>
      </w:r>
    </w:p>
    <w:p w14:paraId="1EBD8F5F"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6931F232"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3C255B54" w14:textId="77777777" w:rsidR="00383122" w:rsidRPr="007D5C80" w:rsidRDefault="00140247" w:rsidP="00484F9B">
      <w:pPr>
        <w:pStyle w:val="NormaleWeb"/>
        <w:shd w:val="clear" w:color="auto" w:fill="FFFFFF"/>
        <w:spacing w:before="0" w:beforeAutospacing="0" w:after="0" w:afterAutospacing="0" w:line="360" w:lineRule="auto"/>
        <w:ind w:left="680" w:right="340"/>
        <w:jc w:val="both"/>
        <w:rPr>
          <w:i/>
          <w:color w:val="000000" w:themeColor="text1"/>
          <w:sz w:val="28"/>
          <w:szCs w:val="28"/>
        </w:rPr>
      </w:pPr>
      <w:r>
        <w:rPr>
          <w:color w:val="000000" w:themeColor="text1"/>
          <w:sz w:val="28"/>
          <w:szCs w:val="28"/>
        </w:rPr>
        <w:t xml:space="preserve">2.4.2 </w:t>
      </w:r>
      <w:r w:rsidR="00383122" w:rsidRPr="007D5C80">
        <w:rPr>
          <w:i/>
          <w:color w:val="000000" w:themeColor="text1"/>
          <w:sz w:val="28"/>
          <w:szCs w:val="28"/>
        </w:rPr>
        <w:t>America del Sud</w:t>
      </w:r>
    </w:p>
    <w:p w14:paraId="002D8654" w14:textId="77777777" w:rsidR="00140247" w:rsidRP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6D86EBB3"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rPr>
      </w:pPr>
      <w:r w:rsidRPr="00383122">
        <w:rPr>
          <w:color w:val="000000" w:themeColor="text1"/>
          <w:sz w:val="28"/>
          <w:szCs w:val="28"/>
        </w:rPr>
        <w:t>Nella zona del sud America</w:t>
      </w:r>
      <w:r w:rsidRPr="00383122">
        <w:rPr>
          <w:rStyle w:val="Rimandonotaapidipagina"/>
          <w:color w:val="000000" w:themeColor="text1"/>
          <w:sz w:val="28"/>
          <w:szCs w:val="28"/>
        </w:rPr>
        <w:footnoteReference w:id="255"/>
      </w:r>
      <w:r w:rsidRPr="00383122">
        <w:rPr>
          <w:color w:val="000000" w:themeColor="text1"/>
          <w:sz w:val="28"/>
          <w:szCs w:val="28"/>
        </w:rPr>
        <w:t xml:space="preserve"> nel 1938 vi fu un mutamento di confini tra l’amministrazione apostolica di Valdivian, che si estendeva dal Cile all’Argentina, e la prefettura apostolica di Arauca, che venne eretta il 26 maggio 1915 in Colombia (Sudamerica) per dismembramento della parte settentrionale del vicariato di Casanare e venne affidata ai Lazzaristi</w:t>
      </w:r>
      <w:r w:rsidRPr="00383122">
        <w:rPr>
          <w:rStyle w:val="Rimandonotaapidipagina"/>
          <w:color w:val="000000" w:themeColor="text1"/>
          <w:sz w:val="28"/>
          <w:szCs w:val="28"/>
        </w:rPr>
        <w:footnoteReference w:id="256"/>
      </w:r>
      <w:r w:rsidRPr="00383122">
        <w:rPr>
          <w:color w:val="000000" w:themeColor="text1"/>
          <w:sz w:val="28"/>
          <w:szCs w:val="28"/>
        </w:rPr>
        <w:t>. Tale cambiamento si concretizzò nel passaggio della parrocchia di Freirè dall’amministrazione di Valdivian alla prefettura di Arauca, così il confine tra queste due aree venne segnato dal fiume Toltèn</w:t>
      </w:r>
      <w:r w:rsidRPr="00383122">
        <w:rPr>
          <w:rStyle w:val="Rimandonotaapidipagina"/>
          <w:color w:val="000000" w:themeColor="text1"/>
          <w:sz w:val="28"/>
          <w:szCs w:val="28"/>
        </w:rPr>
        <w:footnoteReference w:id="257"/>
      </w:r>
      <w:r w:rsidRPr="00383122">
        <w:rPr>
          <w:color w:val="000000" w:themeColor="text1"/>
          <w:sz w:val="28"/>
          <w:szCs w:val="28"/>
        </w:rPr>
        <w:t>.</w:t>
      </w:r>
      <w:r w:rsidRPr="00383122">
        <w:rPr>
          <w:color w:val="000000" w:themeColor="text1"/>
        </w:rPr>
        <w:t xml:space="preserve"> </w:t>
      </w:r>
    </w:p>
    <w:p w14:paraId="1DD4496E"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A nord del Cile, vi era la missione di Pilcomayo situata nella parte nord-occidentale del Paraguay e sud-occidentale della Bolivia. Questa divenne una prefettura il 26 febbraio 1925 con territorio distaccato dal vicariato apostolico del Chaco in Bolivia.</w:t>
      </w:r>
    </w:p>
    <w:p w14:paraId="7411C751"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 xml:space="preserve">A quel tempo la prefettura era in territorio boliviano, ma nel 1938 diventò paraguayana per il fatto che quasi tutto il suo territorio fu incluso nell’immensa regione boliviana, che in quello stesso anno con il trattato di </w:t>
      </w:r>
      <w:r w:rsidRPr="00383122">
        <w:rPr>
          <w:color w:val="000000" w:themeColor="text1"/>
          <w:sz w:val="28"/>
          <w:szCs w:val="28"/>
        </w:rPr>
        <w:lastRenderedPageBreak/>
        <w:t>Buenos Aires andò al Paraguay in seguito all’ultima guerra tra le due repubbliche</w:t>
      </w:r>
      <w:r w:rsidRPr="00383122">
        <w:rPr>
          <w:rStyle w:val="Rimandonotaapidipagina"/>
          <w:color w:val="000000" w:themeColor="text1"/>
          <w:sz w:val="28"/>
          <w:szCs w:val="28"/>
        </w:rPr>
        <w:footnoteReference w:id="258"/>
      </w:r>
      <w:r w:rsidRPr="00383122">
        <w:rPr>
          <w:color w:val="000000" w:themeColor="text1"/>
          <w:sz w:val="28"/>
          <w:szCs w:val="28"/>
        </w:rPr>
        <w:t>. Successivamente con decreto del 12 maggio 1944 Propaganda delimitò meglio i confini della prefettura, staccando dalla medesima la piccola zona di territorio che restò boliviano, per unirla al vicariato del Chaco, mentre dal lato opposto ne furono estesi i limiti fino alla riva destra del rio Paraguay</w:t>
      </w:r>
      <w:r w:rsidRPr="00383122">
        <w:rPr>
          <w:rStyle w:val="Rimandonotaapidipagina"/>
          <w:color w:val="000000" w:themeColor="text1"/>
          <w:sz w:val="28"/>
          <w:szCs w:val="28"/>
        </w:rPr>
        <w:footnoteReference w:id="259"/>
      </w:r>
      <w:r w:rsidRPr="00383122">
        <w:rPr>
          <w:color w:val="000000" w:themeColor="text1"/>
          <w:sz w:val="28"/>
          <w:szCs w:val="28"/>
        </w:rPr>
        <w:t>.</w:t>
      </w:r>
      <w:r w:rsidRPr="00383122">
        <w:rPr>
          <w:color w:val="000000" w:themeColor="text1"/>
        </w:rPr>
        <w:t xml:space="preserve"> </w:t>
      </w:r>
      <w:r w:rsidRPr="00383122">
        <w:rPr>
          <w:color w:val="000000" w:themeColor="text1"/>
          <w:sz w:val="28"/>
          <w:szCs w:val="28"/>
        </w:rPr>
        <w:t xml:space="preserve">L’11 marzo 1948 fu eretto il vicariato del Chaco Paraguayano, che nacque inizialmente come missione </w:t>
      </w:r>
      <w:r w:rsidRPr="00383122">
        <w:rPr>
          <w:i/>
          <w:color w:val="000000" w:themeColor="text1"/>
          <w:sz w:val="28"/>
          <w:szCs w:val="28"/>
        </w:rPr>
        <w:t>sui iuris</w:t>
      </w:r>
      <w:r w:rsidRPr="00383122">
        <w:rPr>
          <w:color w:val="000000" w:themeColor="text1"/>
          <w:sz w:val="28"/>
          <w:szCs w:val="28"/>
        </w:rPr>
        <w:t xml:space="preserve"> e venne affidato ai Salesiani</w:t>
      </w:r>
      <w:r w:rsidRPr="00383122">
        <w:rPr>
          <w:rStyle w:val="Rimandonotaapidipagina"/>
          <w:color w:val="000000" w:themeColor="text1"/>
          <w:sz w:val="28"/>
          <w:szCs w:val="28"/>
        </w:rPr>
        <w:footnoteReference w:id="260"/>
      </w:r>
      <w:r w:rsidRPr="00383122">
        <w:rPr>
          <w:color w:val="000000" w:themeColor="text1"/>
          <w:sz w:val="28"/>
          <w:szCs w:val="28"/>
        </w:rPr>
        <w:t>. Successivamente nel 1951 cambiò nome in vicariato apostolico di Cuevo, dalla sede dell’ordinario</w:t>
      </w:r>
      <w:r w:rsidRPr="00383122">
        <w:rPr>
          <w:rStyle w:val="Rimandonotaapidipagina"/>
          <w:color w:val="000000" w:themeColor="text1"/>
          <w:sz w:val="28"/>
          <w:szCs w:val="28"/>
        </w:rPr>
        <w:footnoteReference w:id="261"/>
      </w:r>
      <w:r w:rsidRPr="00383122">
        <w:rPr>
          <w:color w:val="000000" w:themeColor="text1"/>
          <w:sz w:val="28"/>
          <w:szCs w:val="28"/>
        </w:rPr>
        <w:t>.</w:t>
      </w:r>
    </w:p>
    <w:p w14:paraId="31A4BD86"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 xml:space="preserve"> Il 14 luglio 1950 la prefettura apostolica del Paraguay fu elevata a vicariato apostolico e comprendeva il territorio del Chaco settentrionale, che era stato annesso al Paraguay con il trattato di Buenos Aires del 1938. </w:t>
      </w:r>
    </w:p>
    <w:p w14:paraId="18077CD9"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A nord del Paraguay, situata nella regione nord-orientale del Perù, comprendente il territorio della provincia civile di Alto y Bajo Amazonas, vi era il vicariato di Iquitos</w:t>
      </w:r>
      <w:r w:rsidRPr="00383122">
        <w:rPr>
          <w:rStyle w:val="Rimandonotaapidipagina"/>
          <w:color w:val="000000" w:themeColor="text1"/>
          <w:sz w:val="28"/>
          <w:szCs w:val="28"/>
        </w:rPr>
        <w:footnoteReference w:id="262"/>
      </w:r>
      <w:r w:rsidRPr="00383122">
        <w:rPr>
          <w:color w:val="000000" w:themeColor="text1"/>
          <w:sz w:val="28"/>
          <w:szCs w:val="28"/>
        </w:rPr>
        <w:t>.</w:t>
      </w:r>
    </w:p>
    <w:p w14:paraId="19F7743A"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L’evangelizzazione di tale zona ebbe inizio alla fine del XIX secolo e fu particolarmente difficile, a causa sia del carattere insalubre dell’ambiente che del mancato funzionamento delle vie di comunicazione</w:t>
      </w:r>
      <w:r w:rsidRPr="00383122">
        <w:rPr>
          <w:rStyle w:val="Rimandonotaapidipagina"/>
          <w:color w:val="000000" w:themeColor="text1"/>
          <w:sz w:val="28"/>
          <w:szCs w:val="28"/>
        </w:rPr>
        <w:footnoteReference w:id="263"/>
      </w:r>
      <w:r w:rsidRPr="00383122">
        <w:rPr>
          <w:color w:val="000000" w:themeColor="text1"/>
          <w:sz w:val="28"/>
          <w:szCs w:val="28"/>
        </w:rPr>
        <w:t xml:space="preserve">. Tale vicariato nacque nel 1900 come prefettura apostolica di S. Leone delle Amazzoni, ricavandone il territorio dalla diocesi di Chachapoyas. Nel 1921 tale prefettura venne elevata al grado di vicariato apostolico. Successivamente nel </w:t>
      </w:r>
      <w:r w:rsidRPr="00383122">
        <w:rPr>
          <w:color w:val="000000" w:themeColor="text1"/>
          <w:sz w:val="28"/>
          <w:szCs w:val="28"/>
        </w:rPr>
        <w:lastRenderedPageBreak/>
        <w:t>1945 Propaganda decise di cambiarne la denominazione e divenne il vicariato di Iquitos, che era la città di residenza dell’ordinario</w:t>
      </w:r>
      <w:r w:rsidRPr="00383122">
        <w:rPr>
          <w:rStyle w:val="Rimandonotaapidipagina"/>
          <w:color w:val="000000" w:themeColor="text1"/>
          <w:sz w:val="28"/>
          <w:szCs w:val="28"/>
        </w:rPr>
        <w:footnoteReference w:id="264"/>
      </w:r>
      <w:r w:rsidRPr="00383122">
        <w:rPr>
          <w:color w:val="000000" w:themeColor="text1"/>
          <w:sz w:val="28"/>
          <w:szCs w:val="28"/>
        </w:rPr>
        <w:t xml:space="preserve">. </w:t>
      </w:r>
    </w:p>
    <w:p w14:paraId="31204655"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Sempre in Perù, era stata eretta nel 1900 la prefettura apostolica di santo Domingo de Urubamba, ricavandone il territorio dalla diocesi di Cuzco. Il 4 luglio 1913 la prefettura apostolica fu elevata a vicariato apostolico e assunse il nome di vicariato apostolico di Urubamba y Madre de Dios. Il 10 marzo 1949 il vicariato assunse il nome di Puerto Maldonado, dalla città dove risiedeva l’ordinario</w:t>
      </w:r>
      <w:r w:rsidRPr="00383122">
        <w:rPr>
          <w:rStyle w:val="Rimandonotaapidipagina"/>
          <w:color w:val="000000" w:themeColor="text1"/>
          <w:sz w:val="28"/>
          <w:szCs w:val="28"/>
        </w:rPr>
        <w:footnoteReference w:id="265"/>
      </w:r>
      <w:r w:rsidRPr="00383122">
        <w:rPr>
          <w:color w:val="000000" w:themeColor="text1"/>
          <w:sz w:val="28"/>
          <w:szCs w:val="28"/>
        </w:rPr>
        <w:t>.</w:t>
      </w:r>
    </w:p>
    <w:p w14:paraId="5EA6050F"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Nel 1952 entrò in vigore l’accordo stipulato nel 1912 tra la repubblica dell’Ecuador e quella del Perù sulla ridefinizione dei confini tra le due. Per questo Propaganda decise di accettare la proposta di mutare i confini di alcune missioni, ovvero del vicariato di Zamora, del vicariato di Mendez e la prefettura apostolica di Canelos</w:t>
      </w:r>
      <w:r w:rsidRPr="00383122">
        <w:rPr>
          <w:rStyle w:val="Rimandonotaapidipagina"/>
          <w:color w:val="000000" w:themeColor="text1"/>
          <w:sz w:val="28"/>
          <w:szCs w:val="28"/>
        </w:rPr>
        <w:footnoteReference w:id="266"/>
      </w:r>
      <w:r w:rsidRPr="00383122">
        <w:rPr>
          <w:color w:val="000000" w:themeColor="text1"/>
          <w:sz w:val="28"/>
          <w:szCs w:val="28"/>
        </w:rPr>
        <w:t>.</w:t>
      </w:r>
    </w:p>
    <w:p w14:paraId="4CADAF86"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Nel vicariato apostolico di Zamora, situato nell’Ecuador, vi furono primi tentativi di evangelizzazione nel 1892, ma già nel 1897 i missionari dovettero abbandonare la missione, che venne riaperta solo nel 1921</w:t>
      </w:r>
      <w:r w:rsidRPr="00383122">
        <w:rPr>
          <w:rStyle w:val="Rimandonotaapidipagina"/>
          <w:color w:val="000000" w:themeColor="text1"/>
          <w:sz w:val="28"/>
          <w:szCs w:val="28"/>
        </w:rPr>
        <w:footnoteReference w:id="267"/>
      </w:r>
      <w:r w:rsidRPr="00383122">
        <w:rPr>
          <w:color w:val="000000" w:themeColor="text1"/>
          <w:sz w:val="28"/>
          <w:szCs w:val="28"/>
        </w:rPr>
        <w:t>.</w:t>
      </w:r>
      <w:r w:rsidRPr="00383122">
        <w:rPr>
          <w:color w:val="000000" w:themeColor="text1"/>
        </w:rPr>
        <w:t xml:space="preserve"> </w:t>
      </w:r>
      <w:r w:rsidRPr="00383122">
        <w:rPr>
          <w:color w:val="000000" w:themeColor="text1"/>
          <w:sz w:val="28"/>
          <w:szCs w:val="28"/>
        </w:rPr>
        <w:t>Nel 1939 fu inaugurata la prima chiesa parrocchiale. Nel 1952 cambiarono i suoi confini, poiché venne delimitato a nord dalle Ande orientali fino alla confluenza con il fiume Zamora</w:t>
      </w:r>
      <w:r w:rsidRPr="00383122">
        <w:rPr>
          <w:rStyle w:val="Rimandonotaapidipagina"/>
          <w:color w:val="000000" w:themeColor="text1"/>
          <w:sz w:val="28"/>
          <w:szCs w:val="28"/>
        </w:rPr>
        <w:footnoteReference w:id="268"/>
      </w:r>
      <w:r w:rsidRPr="00383122">
        <w:rPr>
          <w:color w:val="000000" w:themeColor="text1"/>
          <w:sz w:val="28"/>
          <w:szCs w:val="28"/>
        </w:rPr>
        <w:t>.</w:t>
      </w:r>
    </w:p>
    <w:p w14:paraId="63C32F3B"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 xml:space="preserve">Il vicariato apostolico di Mendez, situato nella regione orientale della Repubblica dell’Ecuador, comprendeva la zona di Gualaquiza, la quale però fu distaccata da Mendez con decreto del 12 aprile 1951, perché, per la determinazione dei confini tra l’Ecuador e il Perù, venne a trovarsi in territorio </w:t>
      </w:r>
      <w:r w:rsidRPr="00383122">
        <w:rPr>
          <w:color w:val="000000" w:themeColor="text1"/>
          <w:sz w:val="28"/>
          <w:szCs w:val="28"/>
        </w:rPr>
        <w:lastRenderedPageBreak/>
        <w:t>peruviano</w:t>
      </w:r>
      <w:r w:rsidRPr="00383122">
        <w:rPr>
          <w:rStyle w:val="Rimandonotaapidipagina"/>
          <w:color w:val="000000" w:themeColor="text1"/>
          <w:sz w:val="28"/>
          <w:szCs w:val="28"/>
        </w:rPr>
        <w:footnoteReference w:id="269"/>
      </w:r>
      <w:r w:rsidRPr="00383122">
        <w:rPr>
          <w:color w:val="000000" w:themeColor="text1"/>
          <w:sz w:val="28"/>
          <w:szCs w:val="28"/>
        </w:rPr>
        <w:t>.Nel 1952 vennero ridefiniti i confini di questo vicariato, poiché a nord il confine andava dal Monte Altare fino al corso del fiume Palora , mentre a sud confinava con il vicariato di Zamora</w:t>
      </w:r>
      <w:r w:rsidRPr="00383122">
        <w:rPr>
          <w:rStyle w:val="Rimandonotaapidipagina"/>
          <w:color w:val="000000" w:themeColor="text1"/>
          <w:sz w:val="28"/>
          <w:szCs w:val="28"/>
        </w:rPr>
        <w:footnoteReference w:id="270"/>
      </w:r>
      <w:r w:rsidRPr="00383122">
        <w:rPr>
          <w:color w:val="000000" w:themeColor="text1"/>
          <w:sz w:val="28"/>
          <w:szCs w:val="28"/>
        </w:rPr>
        <w:t>.</w:t>
      </w:r>
    </w:p>
    <w:p w14:paraId="59686867"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La missione di S. Giuseppe di Canelos nella Repubblica dell’Ecuador, fu fondata nel 1624 dai padri domenicani, i quali due secoli dopo, a causa dell’ostilità del governo, dovettero lasciare le opere iniziate e ritirarsi per evitare serie persecuzioni</w:t>
      </w:r>
      <w:r w:rsidRPr="00383122">
        <w:rPr>
          <w:rStyle w:val="Rimandonotaapidipagina"/>
          <w:color w:val="000000" w:themeColor="text1"/>
          <w:sz w:val="28"/>
          <w:szCs w:val="28"/>
        </w:rPr>
        <w:footnoteReference w:id="271"/>
      </w:r>
      <w:r w:rsidRPr="00383122">
        <w:rPr>
          <w:color w:val="000000" w:themeColor="text1"/>
          <w:sz w:val="28"/>
          <w:szCs w:val="28"/>
        </w:rPr>
        <w:t>. Difatti l’attività di evangelizzazione rimase ferma fino al 1886. Nel 1952 tale prefettura vide la ridefinizione dei suoi confini. Difatti a nord venne delimitata dal vicariato apostolico di Napo, mentre a sud dal fiume Pastaza</w:t>
      </w:r>
      <w:r w:rsidRPr="00383122">
        <w:rPr>
          <w:rStyle w:val="Rimandonotaapidipagina"/>
          <w:color w:val="000000" w:themeColor="text1"/>
          <w:sz w:val="28"/>
          <w:szCs w:val="28"/>
        </w:rPr>
        <w:footnoteReference w:id="272"/>
      </w:r>
      <w:r w:rsidRPr="00383122">
        <w:rPr>
          <w:color w:val="000000" w:themeColor="text1"/>
          <w:sz w:val="28"/>
          <w:szCs w:val="28"/>
        </w:rPr>
        <w:t>.</w:t>
      </w:r>
    </w:p>
    <w:p w14:paraId="4FBF4B79" w14:textId="77777777" w:rsidR="00140247"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A nord del Perù, in Venezuela vi erano il vicariato apostolico di Puerto Ayacucho, nato nel 1932 come prefettura apostolica, dal territorio dalla diocesi di Santo Tomás de Guayana, divenne vicariato nel 1953 e l’arcidiocesi di Ciudad Bolívar, nata nel 1790 dalla diocesi di Porto Rico. Nel 1954 vi fu la rideterminazione dei confini di queste due aree, poiché si decise che il comune di La Urbana dovesse passare dal vicariato di Puerto Ayacucho all’arcidiocesi di Ciudad Bolívar</w:t>
      </w:r>
      <w:r w:rsidRPr="00383122">
        <w:rPr>
          <w:rStyle w:val="Rimandonotaapidipagina"/>
          <w:color w:val="000000" w:themeColor="text1"/>
          <w:sz w:val="28"/>
          <w:szCs w:val="28"/>
        </w:rPr>
        <w:footnoteReference w:id="273"/>
      </w:r>
      <w:r w:rsidRPr="00383122">
        <w:rPr>
          <w:color w:val="000000" w:themeColor="text1"/>
          <w:sz w:val="28"/>
          <w:szCs w:val="28"/>
        </w:rPr>
        <w:t>. Nel 1954 vennero ridefiniti i confini tra l’arcidiocesi di Ciudad Bolívar ed il vicino vicariato apostolico di Carunì, il quale nello stesso anno cedette buona parte del proprio territorio a vantaggio dell’erezione del vicariato apostolico di Tucupita</w:t>
      </w:r>
      <w:r w:rsidRPr="00383122">
        <w:rPr>
          <w:rStyle w:val="Rimandonotaapidipagina"/>
          <w:color w:val="000000" w:themeColor="text1"/>
          <w:sz w:val="28"/>
          <w:szCs w:val="28"/>
        </w:rPr>
        <w:footnoteReference w:id="274"/>
      </w:r>
      <w:r w:rsidR="00140247">
        <w:rPr>
          <w:color w:val="000000" w:themeColor="text1"/>
          <w:sz w:val="28"/>
          <w:szCs w:val="28"/>
        </w:rPr>
        <w:t xml:space="preserve">. </w:t>
      </w:r>
    </w:p>
    <w:p w14:paraId="65EE34D2" w14:textId="7EC45BBE"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4E009424" w14:textId="77777777" w:rsidR="003B11C2" w:rsidRDefault="003B11C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7E6D4808"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417162C0" w14:textId="77777777" w:rsidR="00383122" w:rsidRPr="007D5C80" w:rsidRDefault="00140247" w:rsidP="00484F9B">
      <w:pPr>
        <w:pStyle w:val="NormaleWeb"/>
        <w:shd w:val="clear" w:color="auto" w:fill="FFFFFF"/>
        <w:spacing w:before="0" w:beforeAutospacing="0" w:after="0" w:afterAutospacing="0" w:line="360" w:lineRule="auto"/>
        <w:ind w:left="680" w:right="340"/>
        <w:jc w:val="both"/>
        <w:rPr>
          <w:i/>
          <w:color w:val="000000" w:themeColor="text1"/>
          <w:sz w:val="28"/>
          <w:szCs w:val="28"/>
        </w:rPr>
      </w:pPr>
      <w:r>
        <w:rPr>
          <w:color w:val="000000" w:themeColor="text1"/>
          <w:sz w:val="28"/>
          <w:szCs w:val="28"/>
        </w:rPr>
        <w:lastRenderedPageBreak/>
        <w:t xml:space="preserve">2.4.3 </w:t>
      </w:r>
      <w:r w:rsidR="00383122" w:rsidRPr="007D5C80">
        <w:rPr>
          <w:i/>
          <w:color w:val="000000" w:themeColor="text1"/>
          <w:sz w:val="28"/>
          <w:szCs w:val="28"/>
        </w:rPr>
        <w:t>America centrale</w:t>
      </w:r>
    </w:p>
    <w:p w14:paraId="35E645BA" w14:textId="77777777" w:rsidR="00140247" w:rsidRP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5E0DD293"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Nella zona dell’America centrale venne eretto nel 1874 il vicariato apostolico della Bassa California. In tale area l’opera di evangelizzazione era stata avviata dai gesuiti a partire dal XVIII secolo.</w:t>
      </w:r>
      <w:r w:rsidRPr="00383122">
        <w:rPr>
          <w:color w:val="000000" w:themeColor="text1"/>
        </w:rPr>
        <w:t xml:space="preserve"> </w:t>
      </w:r>
      <w:r w:rsidRPr="00383122">
        <w:rPr>
          <w:color w:val="000000" w:themeColor="text1"/>
          <w:sz w:val="28"/>
          <w:szCs w:val="28"/>
        </w:rPr>
        <w:t>Le missioni della California messicana prosperarono nel centro-sud della penisola, mentre la parte settentrionale fu evangelizzata da diversi sacerdoti missionari.</w:t>
      </w:r>
      <w:r w:rsidRPr="00383122">
        <w:rPr>
          <w:color w:val="000000" w:themeColor="text1"/>
        </w:rPr>
        <w:t xml:space="preserve"> </w:t>
      </w:r>
      <w:r w:rsidRPr="00383122">
        <w:rPr>
          <w:color w:val="000000" w:themeColor="text1"/>
          <w:sz w:val="28"/>
          <w:szCs w:val="28"/>
        </w:rPr>
        <w:t>Con l'arrivo dei missionari dello Spirito Santo nel 1939, il vicariato apostolico visse una nuova giovinezza. Furono aperte nuove missioni e nuove chiese furono edificate soprattutto nel nord a Tijuana, Mexicali e Ensenada negli 1940-1949.</w:t>
      </w:r>
      <w:r w:rsidRPr="00383122">
        <w:rPr>
          <w:color w:val="000000" w:themeColor="text1"/>
        </w:rPr>
        <w:t xml:space="preserve"> </w:t>
      </w:r>
      <w:r w:rsidRPr="00383122">
        <w:rPr>
          <w:color w:val="000000" w:themeColor="text1"/>
          <w:sz w:val="28"/>
          <w:szCs w:val="28"/>
        </w:rPr>
        <w:t>Il 13 luglio 1957 il vicariato apostolico della Bassa California venne diviso in due, con l'erezione della prefettura apostolica di La Paz nella Bassa California e lo stesso giorno Propaganda Fide, con decreto cambiò il nome del vicariato apostolico in vicariato apostolico di Tijuana</w:t>
      </w:r>
      <w:r w:rsidRPr="00383122">
        <w:rPr>
          <w:rStyle w:val="Rimandonotaapidipagina"/>
          <w:color w:val="000000" w:themeColor="text1"/>
          <w:sz w:val="28"/>
          <w:szCs w:val="28"/>
        </w:rPr>
        <w:footnoteReference w:id="275"/>
      </w:r>
      <w:r w:rsidRPr="00383122">
        <w:rPr>
          <w:color w:val="000000" w:themeColor="text1"/>
          <w:sz w:val="28"/>
          <w:szCs w:val="28"/>
        </w:rPr>
        <w:t>.</w:t>
      </w:r>
    </w:p>
    <w:p w14:paraId="626A1465"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Tra le altre modifiche, concernenti le strutture della gerarchia periferica di Propaganda fide vi fu anche la proposta, che venne fatta nel 1961, a seguito dell’istituzione delle repubbliche dell'Honduras e del Nicaragua, e che venne accolta da Propaganda fide di far coincidere i confini dei vicariati con i confini civili</w:t>
      </w:r>
      <w:r w:rsidRPr="00383122">
        <w:rPr>
          <w:rStyle w:val="Rimandonotaapidipagina"/>
          <w:color w:val="000000" w:themeColor="text1"/>
          <w:sz w:val="28"/>
          <w:szCs w:val="28"/>
        </w:rPr>
        <w:footnoteReference w:id="276"/>
      </w:r>
      <w:r w:rsidRPr="00383122">
        <w:rPr>
          <w:color w:val="000000" w:themeColor="text1"/>
          <w:sz w:val="28"/>
          <w:szCs w:val="28"/>
        </w:rPr>
        <w:t>.</w:t>
      </w:r>
    </w:p>
    <w:p w14:paraId="222280A5" w14:textId="77777777" w:rsid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Pr>
          <w:color w:val="000000" w:themeColor="text1"/>
          <w:sz w:val="28"/>
          <w:szCs w:val="28"/>
        </w:rPr>
        <w:t xml:space="preserve"> </w:t>
      </w:r>
    </w:p>
    <w:p w14:paraId="20ADF104" w14:textId="77777777" w:rsidR="00140247" w:rsidRP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4C03ED56" w14:textId="77777777" w:rsidR="00383122" w:rsidRPr="007D5C80" w:rsidRDefault="00383122" w:rsidP="00484F9B">
      <w:pPr>
        <w:pStyle w:val="NormaleWeb"/>
        <w:shd w:val="clear" w:color="auto" w:fill="FFFFFF"/>
        <w:spacing w:before="0" w:beforeAutospacing="0" w:after="0" w:afterAutospacing="0" w:line="360" w:lineRule="auto"/>
        <w:ind w:left="680" w:right="340"/>
        <w:jc w:val="both"/>
        <w:rPr>
          <w:i/>
          <w:color w:val="000000" w:themeColor="text1"/>
          <w:sz w:val="28"/>
          <w:szCs w:val="28"/>
        </w:rPr>
      </w:pPr>
      <w:r w:rsidRPr="00383122">
        <w:rPr>
          <w:color w:val="000000" w:themeColor="text1"/>
          <w:sz w:val="28"/>
          <w:szCs w:val="28"/>
        </w:rPr>
        <w:t xml:space="preserve">2.5 </w:t>
      </w:r>
      <w:r w:rsidRPr="007D5C80">
        <w:rPr>
          <w:i/>
          <w:color w:val="000000" w:themeColor="text1"/>
          <w:sz w:val="28"/>
          <w:szCs w:val="28"/>
        </w:rPr>
        <w:t>Oceania</w:t>
      </w:r>
      <w:r w:rsidR="00140247" w:rsidRPr="007D5C80">
        <w:rPr>
          <w:i/>
          <w:color w:val="000000" w:themeColor="text1"/>
          <w:sz w:val="28"/>
          <w:szCs w:val="28"/>
        </w:rPr>
        <w:t xml:space="preserve"> </w:t>
      </w:r>
    </w:p>
    <w:p w14:paraId="4DB4CFA3" w14:textId="77777777" w:rsidR="00140247" w:rsidRP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2C8E806D" w14:textId="77777777" w:rsidR="00383122" w:rsidRPr="00383122"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La prima missione cattolica nell’Oceania</w:t>
      </w:r>
      <w:r w:rsidRPr="00383122">
        <w:rPr>
          <w:rStyle w:val="Rimandonotaapidipagina"/>
          <w:color w:val="000000" w:themeColor="text1"/>
          <w:sz w:val="28"/>
          <w:szCs w:val="28"/>
        </w:rPr>
        <w:footnoteReference w:id="277"/>
      </w:r>
      <w:r w:rsidRPr="00383122">
        <w:rPr>
          <w:color w:val="000000" w:themeColor="text1"/>
          <w:sz w:val="28"/>
          <w:szCs w:val="28"/>
        </w:rPr>
        <w:t xml:space="preserve">, dopo vari infruttuosi tentativi,  fu nel XVII secolo, quando i gesuiti delle Filippine tentarono la conversione </w:t>
      </w:r>
      <w:r w:rsidRPr="00383122">
        <w:rPr>
          <w:color w:val="000000" w:themeColor="text1"/>
          <w:sz w:val="28"/>
          <w:szCs w:val="28"/>
        </w:rPr>
        <w:lastRenderedPageBreak/>
        <w:t>delle isole Marianne</w:t>
      </w:r>
      <w:r w:rsidRPr="00383122">
        <w:rPr>
          <w:rStyle w:val="Rimandonotaapidipagina"/>
          <w:color w:val="000000" w:themeColor="text1"/>
          <w:sz w:val="28"/>
          <w:szCs w:val="28"/>
        </w:rPr>
        <w:footnoteReference w:id="278"/>
      </w:r>
      <w:r w:rsidRPr="00383122">
        <w:rPr>
          <w:color w:val="000000" w:themeColor="text1"/>
          <w:sz w:val="28"/>
          <w:szCs w:val="28"/>
        </w:rPr>
        <w:t>.</w:t>
      </w:r>
      <w:r w:rsidRPr="00383122">
        <w:rPr>
          <w:color w:val="000000" w:themeColor="text1"/>
        </w:rPr>
        <w:t xml:space="preserve"> </w:t>
      </w:r>
      <w:r w:rsidRPr="00383122">
        <w:rPr>
          <w:color w:val="000000" w:themeColor="text1"/>
          <w:sz w:val="28"/>
          <w:szCs w:val="28"/>
        </w:rPr>
        <w:t>Soltanto nel XIX secolo venne avviata un’attività missionaria sistematica da parte dei cattolici in tutta l'’Oceania</w:t>
      </w:r>
      <w:r w:rsidRPr="00383122">
        <w:rPr>
          <w:rStyle w:val="Rimandonotaapidipagina"/>
          <w:color w:val="000000" w:themeColor="text1"/>
          <w:sz w:val="28"/>
          <w:szCs w:val="28"/>
        </w:rPr>
        <w:footnoteReference w:id="279"/>
      </w:r>
      <w:r w:rsidRPr="00383122">
        <w:rPr>
          <w:color w:val="000000" w:themeColor="text1"/>
          <w:sz w:val="28"/>
          <w:szCs w:val="28"/>
        </w:rPr>
        <w:t>.</w:t>
      </w:r>
      <w:r w:rsidRPr="00383122">
        <w:rPr>
          <w:color w:val="000000" w:themeColor="text1"/>
        </w:rPr>
        <w:t xml:space="preserve"> </w:t>
      </w:r>
      <w:r w:rsidRPr="00383122">
        <w:rPr>
          <w:color w:val="000000" w:themeColor="text1"/>
          <w:sz w:val="28"/>
          <w:szCs w:val="28"/>
        </w:rPr>
        <w:t>Nell’Oceania orientale gravi persecuzioni e l'espulsione dei missionari dalle Isole Sandwich, centro della missione, impedirono di portare avanti un’attività efficace, finché nel 1839 in un trattato con la Francia i cattolici ottennero la libertà di azione</w:t>
      </w:r>
      <w:r w:rsidRPr="00383122">
        <w:rPr>
          <w:rStyle w:val="Rimandonotaapidipagina"/>
          <w:color w:val="000000" w:themeColor="text1"/>
          <w:sz w:val="28"/>
          <w:szCs w:val="28"/>
        </w:rPr>
        <w:footnoteReference w:id="280"/>
      </w:r>
      <w:r w:rsidRPr="00383122">
        <w:rPr>
          <w:color w:val="000000" w:themeColor="text1"/>
          <w:sz w:val="28"/>
          <w:szCs w:val="28"/>
        </w:rPr>
        <w:t xml:space="preserve">. Mentre nell’Oceania occidentale, ridotta in seguito alla Nuova Zelanda e alle isole Kermadec, nonostante le difficoltà provenienti dalle popolazioni primitive, dalle vicende politiche e dalle guerre, l’attività di evangelizzazione ottenne buoni risultati. </w:t>
      </w:r>
    </w:p>
    <w:p w14:paraId="28ED26AB" w14:textId="77777777" w:rsidR="00140247" w:rsidRDefault="00383122"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sidRPr="00383122">
        <w:rPr>
          <w:color w:val="000000" w:themeColor="text1"/>
          <w:sz w:val="28"/>
          <w:szCs w:val="28"/>
        </w:rPr>
        <w:t>Nel 1918 Propaganda fide sancì con decreto che la delegazione apostolica dell’Australia, la quale sotto la sua giurisdizione aveva già la Nuova Zelanda, si estendesse anche a tutte le missioni dell’Oceania</w:t>
      </w:r>
      <w:r w:rsidRPr="00383122">
        <w:rPr>
          <w:rStyle w:val="Rimandonotaapidipagina"/>
          <w:color w:val="000000" w:themeColor="text1"/>
          <w:sz w:val="28"/>
          <w:szCs w:val="28"/>
        </w:rPr>
        <w:footnoteReference w:id="281"/>
      </w:r>
      <w:r w:rsidRPr="00383122">
        <w:rPr>
          <w:color w:val="000000" w:themeColor="text1"/>
          <w:sz w:val="28"/>
          <w:szCs w:val="28"/>
        </w:rPr>
        <w:t>. Nel 1947 passarono sotto la giurisdizione della delegazione australiana anche alcuni territori dell’arcipelago indonesiano, ovvero, le isole della Sonda maggiore e minore, quelle delle Molucche e le isole della Nuova Guinea</w:t>
      </w:r>
      <w:r w:rsidRPr="00383122">
        <w:rPr>
          <w:rStyle w:val="Rimandonotaapidipagina"/>
          <w:color w:val="000000" w:themeColor="text1"/>
          <w:sz w:val="28"/>
          <w:szCs w:val="28"/>
        </w:rPr>
        <w:footnoteReference w:id="282"/>
      </w:r>
      <w:r w:rsidRPr="00383122">
        <w:rPr>
          <w:color w:val="000000" w:themeColor="text1"/>
          <w:sz w:val="28"/>
          <w:szCs w:val="28"/>
        </w:rPr>
        <w:t xml:space="preserve"> sul versante occidentale</w:t>
      </w:r>
      <w:r w:rsidRPr="00383122">
        <w:rPr>
          <w:rStyle w:val="Rimandonotaapidipagina"/>
          <w:color w:val="000000" w:themeColor="text1"/>
          <w:sz w:val="28"/>
          <w:szCs w:val="28"/>
        </w:rPr>
        <w:footnoteReference w:id="283"/>
      </w:r>
      <w:r w:rsidRPr="00383122">
        <w:rPr>
          <w:color w:val="000000" w:themeColor="text1"/>
          <w:sz w:val="28"/>
          <w:szCs w:val="28"/>
        </w:rPr>
        <w:t>.</w:t>
      </w:r>
    </w:p>
    <w:p w14:paraId="15CCE524"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707F4C40" w14:textId="77777777" w:rsidR="00140247"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5E9D199A" w14:textId="77777777" w:rsid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r>
        <w:rPr>
          <w:color w:val="000000" w:themeColor="text1"/>
          <w:sz w:val="28"/>
          <w:szCs w:val="28"/>
        </w:rPr>
        <w:t xml:space="preserve">2.5.1 </w:t>
      </w:r>
      <w:r w:rsidR="00383122" w:rsidRPr="007D5C80">
        <w:rPr>
          <w:i/>
          <w:color w:val="000000" w:themeColor="text1"/>
          <w:sz w:val="28"/>
          <w:szCs w:val="28"/>
        </w:rPr>
        <w:t>Nuova Guinea</w:t>
      </w:r>
    </w:p>
    <w:p w14:paraId="4BEC0794" w14:textId="77777777" w:rsidR="00140247" w:rsidRPr="00383122" w:rsidRDefault="00140247" w:rsidP="00484F9B">
      <w:pPr>
        <w:pStyle w:val="NormaleWeb"/>
        <w:shd w:val="clear" w:color="auto" w:fill="FFFFFF"/>
        <w:spacing w:before="0" w:beforeAutospacing="0" w:after="0" w:afterAutospacing="0" w:line="360" w:lineRule="auto"/>
        <w:ind w:left="680" w:right="340"/>
        <w:jc w:val="both"/>
        <w:rPr>
          <w:color w:val="000000" w:themeColor="text1"/>
          <w:sz w:val="28"/>
          <w:szCs w:val="28"/>
        </w:rPr>
      </w:pPr>
    </w:p>
    <w:p w14:paraId="38EBA26A"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color w:val="000000" w:themeColor="text1"/>
          <w:sz w:val="28"/>
          <w:szCs w:val="28"/>
        </w:rPr>
        <w:t xml:space="preserve">A seguito della prima guerra mondiale, nel 1922 alcune missioni, situate nell’area della Nuova Guinea, posta ad ovest dell’Indonesia, cambiarono la loro denominazione. Difatti il vicariato apostolico della Nuova Guinea </w:t>
      </w:r>
      <w:r w:rsidRPr="00383122">
        <w:rPr>
          <w:rFonts w:ascii="Times New Roman" w:hAnsi="Times New Roman" w:cs="Times New Roman"/>
          <w:color w:val="000000" w:themeColor="text1"/>
          <w:sz w:val="28"/>
          <w:szCs w:val="28"/>
        </w:rPr>
        <w:lastRenderedPageBreak/>
        <w:t>divenne il vicariato apostolico della Papuasia,  quello della Nuova Pomerania divenne il vicariato apostolico di Rabaul e la prefettura della</w:t>
      </w:r>
      <w:r w:rsidRPr="00383122">
        <w:rPr>
          <w:color w:val="000000" w:themeColor="text1"/>
          <w:sz w:val="28"/>
          <w:szCs w:val="28"/>
        </w:rPr>
        <w:t xml:space="preserve"> </w:t>
      </w:r>
      <w:r w:rsidRPr="00383122">
        <w:rPr>
          <w:rFonts w:ascii="Times New Roman" w:hAnsi="Times New Roman" w:cs="Times New Roman"/>
          <w:color w:val="000000" w:themeColor="text1"/>
          <w:sz w:val="28"/>
          <w:szCs w:val="28"/>
        </w:rPr>
        <w:t>Terra di</w:t>
      </w:r>
      <w:r w:rsidRPr="00383122">
        <w:rPr>
          <w:color w:val="000000" w:themeColor="text1"/>
          <w:sz w:val="28"/>
          <w:szCs w:val="28"/>
        </w:rPr>
        <w:t xml:space="preserve"> </w:t>
      </w:r>
      <w:r w:rsidRPr="00383122">
        <w:rPr>
          <w:rFonts w:ascii="Times New Roman" w:hAnsi="Times New Roman" w:cs="Times New Roman"/>
          <w:color w:val="000000" w:themeColor="text1"/>
          <w:sz w:val="28"/>
          <w:szCs w:val="28"/>
        </w:rPr>
        <w:t>Guglielmo che venne denominata Nuova Guinea</w:t>
      </w:r>
      <w:r w:rsidRPr="00383122">
        <w:rPr>
          <w:rStyle w:val="Rimandonotaapidipagina"/>
          <w:rFonts w:ascii="Times New Roman" w:hAnsi="Times New Roman" w:cs="Times New Roman"/>
          <w:color w:val="000000" w:themeColor="text1"/>
          <w:sz w:val="28"/>
          <w:szCs w:val="28"/>
        </w:rPr>
        <w:footnoteReference w:id="284"/>
      </w:r>
      <w:r w:rsidRPr="00383122">
        <w:rPr>
          <w:rFonts w:ascii="Times New Roman" w:hAnsi="Times New Roman" w:cs="Times New Roman"/>
          <w:color w:val="000000" w:themeColor="text1"/>
          <w:sz w:val="28"/>
          <w:szCs w:val="28"/>
        </w:rPr>
        <w:t xml:space="preserve"> Il vicariato di Rabaul, situato a nord-est della Nuova Guinea  venne eretto il 10 maggio 1889 dal vicariato apostolico di Melanesia, che a sua volta venne diviso in vicariato apostolico della Nuova Guinea e vicariato apostolico della Nuova Bretagna, che l’8 dicembre 1890 fu chiamato vicariato apostolico di Nuova Pomerania, per poi diventare nel 1922 il vicariato apostolico di Rabual. Invece, la prefettura apostolica della Nuova Guinea nacque nel 1913 con il nome di Terra di Gugliemo e venne affidato ai Picpus.</w:t>
      </w:r>
      <w:r w:rsidRPr="00383122">
        <w:rPr>
          <w:rFonts w:ascii="Times New Roman" w:hAnsi="Times New Roman" w:cs="Times New Roman"/>
          <w:bCs/>
          <w:color w:val="000000" w:themeColor="text1"/>
          <w:sz w:val="28"/>
          <w:szCs w:val="28"/>
          <w:shd w:val="clear" w:color="auto" w:fill="FFFFFF"/>
        </w:rPr>
        <w:t xml:space="preserve"> Successivamente nel 1931 venne elevata a vicariato apostolico e prese il nome di Wevak. Nel 1952 dal territorio del vicariato apostolico della Nuova Guinea centrale venne eretta la prefettura apostolica di Aitape, che venne elevata a vicariato nel 1956</w:t>
      </w:r>
      <w:r w:rsidRPr="00383122">
        <w:rPr>
          <w:rStyle w:val="Rimandonotaapidipagina"/>
          <w:rFonts w:ascii="Times New Roman" w:hAnsi="Times New Roman" w:cs="Times New Roman"/>
          <w:bCs/>
          <w:color w:val="000000" w:themeColor="text1"/>
          <w:sz w:val="28"/>
          <w:szCs w:val="28"/>
          <w:shd w:val="clear" w:color="auto" w:fill="FFFFFF"/>
        </w:rPr>
        <w:footnoteReference w:id="285"/>
      </w:r>
      <w:r w:rsidRPr="00383122">
        <w:rPr>
          <w:rFonts w:ascii="Times New Roman" w:hAnsi="Times New Roman" w:cs="Times New Roman"/>
          <w:bCs/>
          <w:color w:val="000000" w:themeColor="text1"/>
          <w:sz w:val="28"/>
          <w:szCs w:val="28"/>
          <w:shd w:val="clear" w:color="auto" w:fill="FFFFFF"/>
        </w:rPr>
        <w:t>.</w:t>
      </w:r>
    </w:p>
    <w:p w14:paraId="4EF74B69" w14:textId="77777777" w:rsidR="00383122" w:rsidRPr="00383122" w:rsidRDefault="00383122" w:rsidP="00484F9B">
      <w:pPr>
        <w:spacing w:after="0" w:line="360" w:lineRule="auto"/>
        <w:ind w:left="680" w:right="340"/>
        <w:jc w:val="both"/>
        <w:rPr>
          <w:rFonts w:ascii="Times New Roman" w:hAnsi="Times New Roman" w:cs="Times New Roman"/>
          <w:bCs/>
          <w:color w:val="000000" w:themeColor="text1"/>
          <w:sz w:val="28"/>
          <w:szCs w:val="28"/>
          <w:shd w:val="clear" w:color="auto" w:fill="FFFFFF"/>
        </w:rPr>
      </w:pPr>
      <w:r w:rsidRPr="00383122">
        <w:rPr>
          <w:rFonts w:ascii="Times New Roman" w:hAnsi="Times New Roman" w:cs="Times New Roman"/>
          <w:bCs/>
          <w:color w:val="000000" w:themeColor="text1"/>
          <w:sz w:val="28"/>
          <w:szCs w:val="28"/>
          <w:shd w:val="clear" w:color="auto" w:fill="FFFFFF"/>
        </w:rPr>
        <w:t>Nel 1959 vi fu un mutamento di confini tra il vicariato di Wevak ed il vicariato apostolico di Aitape. Tale mutamento serviva a garantire che in futuro i confini dei suddetti vicariati sarebbero stati gli stessi dei confini dei sotto distretti di Maprik, nel vicariato apostolico di Wevak, e di Lumi, nel vicariato apostolico di Aitape</w:t>
      </w:r>
      <w:r w:rsidRPr="00383122">
        <w:rPr>
          <w:rStyle w:val="Rimandonotaapidipagina"/>
          <w:rFonts w:ascii="Times New Roman" w:hAnsi="Times New Roman" w:cs="Times New Roman"/>
          <w:bCs/>
          <w:color w:val="000000" w:themeColor="text1"/>
          <w:sz w:val="28"/>
          <w:szCs w:val="28"/>
          <w:shd w:val="clear" w:color="auto" w:fill="FFFFFF"/>
        </w:rPr>
        <w:footnoteReference w:id="286"/>
      </w:r>
      <w:r w:rsidRPr="00383122">
        <w:rPr>
          <w:rFonts w:ascii="Times New Roman" w:hAnsi="Times New Roman" w:cs="Times New Roman"/>
          <w:bCs/>
          <w:color w:val="000000" w:themeColor="text1"/>
          <w:sz w:val="28"/>
          <w:szCs w:val="28"/>
          <w:shd w:val="clear" w:color="auto" w:fill="FFFFFF"/>
        </w:rPr>
        <w:t>. Il confine tra i due vicariati era rappresentato dalla zona compresa tra il fiume Sepik ed il confine del vicariato apostolico di Port Moresb.</w:t>
      </w:r>
    </w:p>
    <w:p w14:paraId="3BBFA7C3"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Infine il vicariato apostolico della Nuova Guinea olandese, eretto come prefettura apostolica nel 1902 ed elevato a vicariato nel 1920 ed affidato ai missionari del S. Cuore di Gesù comprendeva, un tempo, tutta la parte olandese della Nuova Guinea e il grande arcipelago delle Molucche.</w:t>
      </w:r>
      <w:r w:rsidRPr="00383122">
        <w:rPr>
          <w:rStyle w:val="Rimandonotaapidipagina"/>
          <w:rFonts w:ascii="Times New Roman" w:hAnsi="Times New Roman" w:cs="Times New Roman"/>
          <w:color w:val="000000" w:themeColor="text1"/>
          <w:sz w:val="28"/>
          <w:szCs w:val="28"/>
        </w:rPr>
        <w:footnoteReference w:id="287"/>
      </w:r>
      <w:r w:rsidRPr="00383122">
        <w:rPr>
          <w:rFonts w:ascii="Times New Roman" w:hAnsi="Times New Roman" w:cs="Times New Roman"/>
          <w:color w:val="000000" w:themeColor="text1"/>
          <w:sz w:val="28"/>
          <w:szCs w:val="28"/>
        </w:rPr>
        <w:t xml:space="preserve">Il 12 </w:t>
      </w:r>
      <w:r w:rsidRPr="00383122">
        <w:rPr>
          <w:rFonts w:ascii="Times New Roman" w:hAnsi="Times New Roman" w:cs="Times New Roman"/>
          <w:color w:val="000000" w:themeColor="text1"/>
          <w:sz w:val="28"/>
          <w:szCs w:val="28"/>
        </w:rPr>
        <w:lastRenderedPageBreak/>
        <w:t xml:space="preserve">maggio 1949, fu suddiviso per l’erezione della prefettura apostolica di Hollandia (che assunse </w:t>
      </w:r>
      <w:r w:rsidRPr="00383122">
        <w:rPr>
          <w:rFonts w:ascii="Times New Roman" w:hAnsi="Times New Roman" w:cs="Times New Roman"/>
          <w:color w:val="000000" w:themeColor="text1"/>
          <w:sz w:val="28"/>
          <w:szCs w:val="28"/>
          <w:shd w:val="clear" w:color="auto" w:fill="FFFFFF"/>
        </w:rPr>
        <w:t>nel 1963</w:t>
      </w:r>
      <w:r w:rsidRPr="00383122">
        <w:rPr>
          <w:rFonts w:ascii="Arial" w:hAnsi="Arial" w:cs="Arial"/>
          <w:color w:val="000000" w:themeColor="text1"/>
          <w:sz w:val="21"/>
          <w:szCs w:val="21"/>
          <w:shd w:val="clear" w:color="auto" w:fill="FFFFFF"/>
        </w:rPr>
        <w:t xml:space="preserve"> </w:t>
      </w:r>
      <w:r w:rsidRPr="00383122">
        <w:rPr>
          <w:rFonts w:ascii="Times New Roman" w:hAnsi="Times New Roman" w:cs="Times New Roman"/>
          <w:color w:val="000000" w:themeColor="text1"/>
          <w:sz w:val="28"/>
          <w:szCs w:val="28"/>
          <w:shd w:val="clear" w:color="auto" w:fill="FFFFFF"/>
        </w:rPr>
        <w:t>il nome di vicariato apostolico di Kota Baru</w:t>
      </w:r>
      <w:r w:rsidRPr="00383122">
        <w:rPr>
          <w:rStyle w:val="Rimandonotaapidipagina"/>
          <w:rFonts w:ascii="Times New Roman" w:hAnsi="Times New Roman" w:cs="Times New Roman"/>
          <w:color w:val="000000" w:themeColor="text1"/>
          <w:sz w:val="28"/>
          <w:szCs w:val="28"/>
          <w:shd w:val="clear" w:color="auto" w:fill="FFFFFF"/>
        </w:rPr>
        <w:footnoteReference w:id="288"/>
      </w:r>
      <w:r w:rsidRPr="00383122">
        <w:rPr>
          <w:rFonts w:ascii="Arial" w:hAnsi="Arial" w:cs="Arial"/>
          <w:color w:val="000000" w:themeColor="text1"/>
          <w:sz w:val="21"/>
          <w:szCs w:val="21"/>
          <w:shd w:val="clear" w:color="auto" w:fill="FFFFFF"/>
        </w:rPr>
        <w:t>)</w:t>
      </w:r>
      <w:r w:rsidRPr="00383122">
        <w:rPr>
          <w:rFonts w:ascii="Times New Roman" w:hAnsi="Times New Roman" w:cs="Times New Roman"/>
          <w:color w:val="000000" w:themeColor="text1"/>
          <w:sz w:val="28"/>
          <w:szCs w:val="28"/>
        </w:rPr>
        <w:t>, dalla quale a sua volta, venne eretta nel 1959 la prefettura apostolica di Manokwari, affidata all’ordine dei fratelli eremiti di S. Agostino. La parte rimasta assunse il nome di vicariato apostolico di Amboina, a sua volta diviso il 24 giugno 1950 per la creazione del vicariato apostolico di Merauke</w:t>
      </w:r>
      <w:r w:rsidRPr="00383122">
        <w:rPr>
          <w:rStyle w:val="Rimandonotaapidipagina"/>
          <w:rFonts w:ascii="Times New Roman" w:hAnsi="Times New Roman" w:cs="Times New Roman"/>
          <w:color w:val="000000" w:themeColor="text1"/>
          <w:sz w:val="28"/>
          <w:szCs w:val="28"/>
        </w:rPr>
        <w:footnoteReference w:id="289"/>
      </w:r>
      <w:r w:rsidRPr="00383122">
        <w:rPr>
          <w:rFonts w:ascii="Times New Roman" w:hAnsi="Times New Roman" w:cs="Times New Roman"/>
          <w:color w:val="000000" w:themeColor="text1"/>
          <w:sz w:val="28"/>
          <w:szCs w:val="28"/>
        </w:rPr>
        <w:t>. Nel 1963 vi fu un cambiamento di confini tra il vicariato della Nuova Guinea olandese e la prefettura di Manokwari, poiché il distretto civile di Fak-Fak, precedentemente appartenuto alla Nuova Guinea, venne incluso nella prefettura di Manokwari</w:t>
      </w:r>
      <w:r w:rsidRPr="00383122">
        <w:rPr>
          <w:rStyle w:val="Rimandonotaapidipagina"/>
          <w:rFonts w:ascii="Times New Roman" w:hAnsi="Times New Roman" w:cs="Times New Roman"/>
          <w:color w:val="000000" w:themeColor="text1"/>
          <w:sz w:val="28"/>
          <w:szCs w:val="28"/>
        </w:rPr>
        <w:footnoteReference w:id="290"/>
      </w:r>
      <w:r w:rsidRPr="00383122">
        <w:rPr>
          <w:rFonts w:ascii="Times New Roman" w:hAnsi="Times New Roman" w:cs="Times New Roman"/>
          <w:color w:val="000000" w:themeColor="text1"/>
          <w:sz w:val="28"/>
          <w:szCs w:val="28"/>
        </w:rPr>
        <w:t>.</w:t>
      </w:r>
    </w:p>
    <w:p w14:paraId="5206EE9C"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 est della Nuova Guinea il 23 agosto 1842 venne eretto il vicariato apostolico dell’Oceania centrale, distaccato dal vicariato apostolico dell'Oceania occidentale e Nuova Zelanda. Da quest’ultima furono distaccati il vicariato apostolico della Nuova Caledonia nel 1847, il vicariato apostolico dell’arcipelago dei navigatori nel 1850, la prefettura apostolica, che in seguito divenne vicariato, delle isole Figi nel 1863 e altre isole furono annesse al vicariato apostolico delle isole Gilbert, quando questo venne eretto nel 1897</w:t>
      </w:r>
      <w:r w:rsidRPr="00383122">
        <w:rPr>
          <w:rStyle w:val="Rimandonotaapidipagina"/>
          <w:rFonts w:ascii="Times New Roman" w:hAnsi="Times New Roman" w:cs="Times New Roman"/>
          <w:color w:val="000000" w:themeColor="text1"/>
          <w:sz w:val="28"/>
          <w:szCs w:val="28"/>
        </w:rPr>
        <w:footnoteReference w:id="291"/>
      </w:r>
      <w:r w:rsidRPr="00383122">
        <w:rPr>
          <w:rFonts w:ascii="Times New Roman" w:hAnsi="Times New Roman" w:cs="Times New Roman"/>
          <w:color w:val="000000" w:themeColor="text1"/>
          <w:sz w:val="28"/>
          <w:szCs w:val="28"/>
        </w:rPr>
        <w:t>. Nel 1935 si distaccò dalla Nuova Zelanda anche il vicariato apostolico di Wallis e Futuna. Il 13 aprile 1937 il vicariato dell’Oceania centrale mutò il proprio nome in vicariato delle isole Tonga</w:t>
      </w:r>
      <w:r w:rsidRPr="00383122">
        <w:rPr>
          <w:rStyle w:val="Rimandonotaapidipagina"/>
          <w:rFonts w:ascii="Times New Roman" w:hAnsi="Times New Roman" w:cs="Times New Roman"/>
          <w:color w:val="000000" w:themeColor="text1"/>
          <w:sz w:val="28"/>
          <w:szCs w:val="28"/>
        </w:rPr>
        <w:footnoteReference w:id="292"/>
      </w:r>
      <w:r w:rsidRPr="00383122">
        <w:rPr>
          <w:rFonts w:ascii="Times New Roman" w:hAnsi="Times New Roman" w:cs="Times New Roman"/>
          <w:color w:val="000000" w:themeColor="text1"/>
          <w:sz w:val="28"/>
          <w:szCs w:val="28"/>
        </w:rPr>
        <w:t>.</w:t>
      </w:r>
      <w:r w:rsidRPr="00383122">
        <w:rPr>
          <w:rFonts w:ascii="Verdana" w:hAnsi="Verdana"/>
          <w:color w:val="000000" w:themeColor="text1"/>
          <w:sz w:val="20"/>
          <w:szCs w:val="20"/>
          <w:shd w:val="clear" w:color="auto" w:fill="FFFFFF"/>
        </w:rPr>
        <w:t xml:space="preserve"> </w:t>
      </w:r>
      <w:r w:rsidRPr="00383122">
        <w:rPr>
          <w:rFonts w:ascii="Times New Roman" w:hAnsi="Times New Roman" w:cs="Times New Roman"/>
          <w:color w:val="000000" w:themeColor="text1"/>
          <w:sz w:val="28"/>
          <w:szCs w:val="28"/>
          <w:shd w:val="clear" w:color="auto" w:fill="FFFFFF"/>
        </w:rPr>
        <w:t>Tale vicariato nel 1957 cambiò di nuovo denominazione e venne definito vicariato delle isole Tonga e Niue</w:t>
      </w:r>
      <w:r w:rsidRPr="00383122">
        <w:rPr>
          <w:rStyle w:val="Rimandonotaapidipagina"/>
          <w:rFonts w:ascii="Times New Roman" w:hAnsi="Times New Roman" w:cs="Times New Roman"/>
          <w:color w:val="000000" w:themeColor="text1"/>
          <w:sz w:val="28"/>
          <w:szCs w:val="28"/>
          <w:shd w:val="clear" w:color="auto" w:fill="FFFFFF"/>
        </w:rPr>
        <w:footnoteReference w:id="293"/>
      </w:r>
      <w:r w:rsidRPr="00383122">
        <w:rPr>
          <w:rFonts w:ascii="Times New Roman" w:hAnsi="Times New Roman" w:cs="Times New Roman"/>
          <w:color w:val="000000" w:themeColor="text1"/>
          <w:sz w:val="28"/>
          <w:szCs w:val="28"/>
          <w:shd w:val="clear" w:color="auto" w:fill="FFFFFF"/>
        </w:rPr>
        <w:t>.</w:t>
      </w:r>
    </w:p>
    <w:p w14:paraId="4E32BA1B"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lastRenderedPageBreak/>
        <w:t>Nella parte sud dell’Oceania vi fu nel 1950 un cambiamento di confini tra l’arcidiocesi di Sydney e la diocesi di Bathurst, poiché parte del territorio dell’arcidiocesi si unì alla diocesi</w:t>
      </w:r>
      <w:r w:rsidRPr="00383122">
        <w:rPr>
          <w:rStyle w:val="Rimandonotaapidipagina"/>
          <w:rFonts w:ascii="Times New Roman" w:hAnsi="Times New Roman" w:cs="Times New Roman"/>
          <w:color w:val="000000" w:themeColor="text1"/>
          <w:sz w:val="28"/>
          <w:szCs w:val="28"/>
        </w:rPr>
        <w:footnoteReference w:id="294"/>
      </w:r>
      <w:r w:rsidRPr="00383122">
        <w:rPr>
          <w:rFonts w:ascii="Times New Roman" w:hAnsi="Times New Roman" w:cs="Times New Roman"/>
          <w:color w:val="000000" w:themeColor="text1"/>
          <w:sz w:val="28"/>
          <w:szCs w:val="28"/>
        </w:rPr>
        <w:t>. L’arcidiocesi di Sidney nacque nel 1834, inizialmente come vicariato apostolico della Nuova Olanda e della Terra di Van Diemen, ricavandone il territorio dal vicariato apostolico di Mauritius.</w:t>
      </w:r>
      <w:r w:rsidRPr="00383122">
        <w:rPr>
          <w:color w:val="000000" w:themeColor="text1"/>
        </w:rPr>
        <w:t xml:space="preserve"> </w:t>
      </w:r>
      <w:r w:rsidRPr="00383122">
        <w:rPr>
          <w:rFonts w:ascii="Times New Roman" w:hAnsi="Times New Roman" w:cs="Times New Roman"/>
          <w:color w:val="000000" w:themeColor="text1"/>
          <w:sz w:val="28"/>
          <w:szCs w:val="28"/>
        </w:rPr>
        <w:t>Si trattò della prima circoscrizione ecclesiastica in Australia. Invece la diocesi di Bathurst nacque nel 1865 dall’arcidiocesi di Sidney.</w:t>
      </w:r>
    </w:p>
    <w:p w14:paraId="1061A765"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 xml:space="preserve"> Nel 1955 vi fu un altro cambiamento di confini tra l’arcidiocesi di Sydney e la diocesi di Wollongong, che venne eretta nel 1951, ricavandone il territorio dalla medesima arcidiocesi</w:t>
      </w:r>
      <w:r w:rsidRPr="00383122">
        <w:rPr>
          <w:rStyle w:val="Rimandonotaapidipagina"/>
          <w:rFonts w:ascii="Times New Roman" w:hAnsi="Times New Roman" w:cs="Times New Roman"/>
          <w:color w:val="000000" w:themeColor="text1"/>
          <w:sz w:val="28"/>
          <w:szCs w:val="28"/>
        </w:rPr>
        <w:footnoteReference w:id="295"/>
      </w:r>
      <w:r w:rsidRPr="00383122">
        <w:rPr>
          <w:rFonts w:ascii="Times New Roman" w:hAnsi="Times New Roman" w:cs="Times New Roman"/>
          <w:color w:val="000000" w:themeColor="text1"/>
          <w:sz w:val="28"/>
          <w:szCs w:val="28"/>
        </w:rPr>
        <w:t>.</w:t>
      </w:r>
    </w:p>
    <w:p w14:paraId="231389FF"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Un ulteriore modifica di confini vi fu nel 1956 tra la diocesi di Wollongong e l’arcidiocesi di Canberra e Goulburn, che venne eretta nel 1862, ricavandone il territorio dall’arcidiocesi di Sydney. Tale modifica venne fatta nell’interesse dei fedeli, per garantire che la parrocchia di Nowra, nella diocesi di Wollongong e la parrocchia di Braidwood, nell'arcidiocesi di Camber e Goulburn, delimitata dalle montagne, toccassero il punto in cui il fiume Kenny passava sotto la strada Moruya Araluen e poi in linea retta verso sud fino alla Grande Catena Divisoria</w:t>
      </w:r>
      <w:r w:rsidRPr="00383122">
        <w:rPr>
          <w:rStyle w:val="Rimandonotaapidipagina"/>
          <w:rFonts w:ascii="Times New Roman" w:hAnsi="Times New Roman" w:cs="Times New Roman"/>
          <w:color w:val="000000" w:themeColor="text1"/>
          <w:sz w:val="28"/>
          <w:szCs w:val="28"/>
        </w:rPr>
        <w:footnoteReference w:id="296"/>
      </w:r>
      <w:r w:rsidRPr="00383122">
        <w:rPr>
          <w:rFonts w:ascii="Times New Roman" w:hAnsi="Times New Roman" w:cs="Times New Roman"/>
          <w:color w:val="000000" w:themeColor="text1"/>
          <w:sz w:val="28"/>
          <w:szCs w:val="28"/>
        </w:rPr>
        <w:t>.</w:t>
      </w:r>
    </w:p>
    <w:p w14:paraId="3909DA3C"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 nord rispetto all’arcidiocesi di Sidney nel 1951 vi fu un altro cambiamento di confini tra l’arcidiocesi di Brisbane e la diocesi di Toowoomba, in quanto parte del territorio dell’arcidiocesi venne incluso nella diocesi</w:t>
      </w:r>
      <w:r w:rsidRPr="00383122">
        <w:rPr>
          <w:rStyle w:val="Rimandonotaapidipagina"/>
          <w:rFonts w:ascii="Times New Roman" w:hAnsi="Times New Roman" w:cs="Times New Roman"/>
          <w:color w:val="000000" w:themeColor="text1"/>
          <w:sz w:val="28"/>
          <w:szCs w:val="28"/>
        </w:rPr>
        <w:footnoteReference w:id="297"/>
      </w:r>
      <w:r w:rsidRPr="00383122">
        <w:rPr>
          <w:rFonts w:ascii="Times New Roman" w:hAnsi="Times New Roman" w:cs="Times New Roman"/>
          <w:color w:val="000000" w:themeColor="text1"/>
          <w:sz w:val="28"/>
          <w:szCs w:val="28"/>
        </w:rPr>
        <w:t xml:space="preserve">.L’arcidiocesi di Brisbane nacque come diocesi nel 1859, ricavandone il territorio dall’arcidiocesi di Sydney, di cui era originariamente suffraganea. Nel 1887 venne elevata al rango di arcidiocesi. Invece la diocesi </w:t>
      </w:r>
      <w:r w:rsidRPr="00383122">
        <w:rPr>
          <w:rFonts w:ascii="Times New Roman" w:hAnsi="Times New Roman" w:cs="Times New Roman"/>
          <w:color w:val="000000" w:themeColor="text1"/>
          <w:sz w:val="28"/>
          <w:szCs w:val="28"/>
        </w:rPr>
        <w:lastRenderedPageBreak/>
        <w:t>di Toowomba venne eretta nel 1929, ricavandone il territorio dalla diocesi di Brisbane.</w:t>
      </w:r>
    </w:p>
    <w:p w14:paraId="61E683D4"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rPr>
      </w:pPr>
      <w:r w:rsidRPr="00383122">
        <w:rPr>
          <w:rFonts w:ascii="Times New Roman" w:hAnsi="Times New Roman" w:cs="Times New Roman"/>
          <w:color w:val="000000" w:themeColor="text1"/>
          <w:sz w:val="28"/>
          <w:szCs w:val="28"/>
        </w:rPr>
        <w:t>A ovest rispetto alla diocesi di Brisbane nel 1951 la diocesi di Port Augusta, che venne eretta nel 1887, ricavandone il territorio dalla diocesi di Adelaide, mutò la propria denominazione, a causa dello spostamento della sede vescovile, diventando la diocesi di Port Pirie</w:t>
      </w:r>
      <w:r w:rsidRPr="00383122">
        <w:rPr>
          <w:rStyle w:val="Rimandonotaapidipagina"/>
          <w:rFonts w:ascii="Times New Roman" w:hAnsi="Times New Roman" w:cs="Times New Roman"/>
          <w:color w:val="000000" w:themeColor="text1"/>
          <w:sz w:val="28"/>
          <w:szCs w:val="28"/>
        </w:rPr>
        <w:footnoteReference w:id="298"/>
      </w:r>
      <w:r w:rsidRPr="00383122">
        <w:rPr>
          <w:rFonts w:ascii="Times New Roman" w:hAnsi="Times New Roman" w:cs="Times New Roman"/>
          <w:color w:val="000000" w:themeColor="text1"/>
          <w:sz w:val="28"/>
          <w:szCs w:val="28"/>
        </w:rPr>
        <w:t>.</w:t>
      </w:r>
    </w:p>
    <w:p w14:paraId="668A61B3" w14:textId="77777777" w:rsidR="00140247"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rPr>
        <w:t xml:space="preserve">Accanto alla diocesi di Brisbane vi era la diocesi di Perth, che venne eretta nel 1845, ricavandone il territorio dall’arcidiocesi di Sydney e che nel 1960 subì una modifica del suo territorio, poiché venne inclusa all’interno della diocesi </w:t>
      </w:r>
      <w:r w:rsidRPr="00383122">
        <w:rPr>
          <w:rFonts w:ascii="Times New Roman" w:hAnsi="Times New Roman" w:cs="Times New Roman"/>
          <w:color w:val="000000" w:themeColor="text1"/>
          <w:sz w:val="28"/>
          <w:szCs w:val="28"/>
          <w:shd w:val="clear" w:color="auto" w:fill="FFFFFF"/>
        </w:rPr>
        <w:t>la parrocchia di Southern Cross che era appartenuta all'abbazia territoriale di New Norcia</w:t>
      </w:r>
      <w:r w:rsidRPr="00383122">
        <w:rPr>
          <w:rStyle w:val="Rimandonotaapidipagina"/>
          <w:rFonts w:ascii="Times New Roman" w:hAnsi="Times New Roman" w:cs="Times New Roman"/>
          <w:color w:val="000000" w:themeColor="text1"/>
          <w:sz w:val="28"/>
          <w:szCs w:val="28"/>
          <w:shd w:val="clear" w:color="auto" w:fill="FFFFFF"/>
        </w:rPr>
        <w:footnoteReference w:id="299"/>
      </w:r>
      <w:r w:rsidR="00140247">
        <w:rPr>
          <w:rFonts w:ascii="Times New Roman" w:hAnsi="Times New Roman" w:cs="Times New Roman"/>
          <w:color w:val="000000" w:themeColor="text1"/>
          <w:sz w:val="28"/>
          <w:szCs w:val="28"/>
          <w:shd w:val="clear" w:color="auto" w:fill="FFFFFF"/>
        </w:rPr>
        <w:t>.</w:t>
      </w:r>
    </w:p>
    <w:p w14:paraId="69260704" w14:textId="77777777" w:rsidR="00140247" w:rsidRDefault="00140247"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p>
    <w:p w14:paraId="72E80303" w14:textId="77777777" w:rsidR="00140247" w:rsidRDefault="00140247"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p>
    <w:p w14:paraId="49C86CC5" w14:textId="77777777" w:rsidR="00383122" w:rsidRDefault="00140247"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2.6</w:t>
      </w:r>
      <w:r w:rsidR="00383122" w:rsidRPr="00140247">
        <w:rPr>
          <w:rFonts w:ascii="Times New Roman" w:hAnsi="Times New Roman" w:cs="Times New Roman"/>
          <w:color w:val="000000" w:themeColor="text1"/>
          <w:sz w:val="28"/>
          <w:szCs w:val="28"/>
          <w:shd w:val="clear" w:color="auto" w:fill="FFFFFF"/>
        </w:rPr>
        <w:t xml:space="preserve"> </w:t>
      </w:r>
      <w:r w:rsidR="00383122" w:rsidRPr="007D5C80">
        <w:rPr>
          <w:rFonts w:ascii="Times New Roman" w:hAnsi="Times New Roman" w:cs="Times New Roman"/>
          <w:i/>
          <w:color w:val="000000" w:themeColor="text1"/>
          <w:sz w:val="28"/>
          <w:szCs w:val="28"/>
          <w:shd w:val="clear" w:color="auto" w:fill="FFFFFF"/>
        </w:rPr>
        <w:t>Conclusioni</w:t>
      </w:r>
    </w:p>
    <w:p w14:paraId="2901A3F3" w14:textId="77777777" w:rsidR="00140247" w:rsidRPr="00140247" w:rsidRDefault="00140247"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p>
    <w:p w14:paraId="3EFB67B6"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Dopo, aver analizzato nello specifico i mutamenti riguardanti i confini delle circoscrizioni ecclesiastiche nei continenti di Africa, Asia, America e Oceania è possibile individuare in parte le ragioni che hanno motivato queste scelte. La motivazione principale, presente in tutti i documenti è la massimizzazione dell’attività di evangelizzazione. Mentre le motivazioni secondarie sono da rintracciare principalmente nella volontà della Santa Sede di avvicinare a sé più comunità possibili di fedeli, nell’adattamento ai repentini mutamenti dei contesti politici dei singoli continenti e nella necessità che i confini delle diocesi o delle altre strutture della gerarchia periferica coincidessero con i confini civili della regione o della provincia.</w:t>
      </w:r>
    </w:p>
    <w:p w14:paraId="4DC68111"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lastRenderedPageBreak/>
        <w:t>Difatti in Africa la prima delegazione apostolica venne eretta nel 1922, al fine di collegare più strettamente le missioni tra di loro, rendendo più fruibile l’aiuto della Santa Sede per far fronte alle incombenze delle missioni. Nonostante ciò l’apostolato si scontrò con alcune problematiche, come la presenza delle chiese protestanti sul territorio e la questione sociale per la quale venivano negati ai neri diritti che invece erano accessibili per i bianchi</w:t>
      </w:r>
      <w:r w:rsidRPr="00383122">
        <w:rPr>
          <w:rStyle w:val="Rimandonotaapidipagina"/>
          <w:rFonts w:ascii="Times New Roman" w:hAnsi="Times New Roman" w:cs="Times New Roman"/>
          <w:color w:val="000000" w:themeColor="text1"/>
          <w:sz w:val="28"/>
          <w:szCs w:val="28"/>
          <w:shd w:val="clear" w:color="auto" w:fill="FFFFFF"/>
        </w:rPr>
        <w:footnoteReference w:id="300"/>
      </w:r>
      <w:r w:rsidRPr="00383122">
        <w:rPr>
          <w:rFonts w:ascii="Times New Roman" w:hAnsi="Times New Roman" w:cs="Times New Roman"/>
          <w:color w:val="000000" w:themeColor="text1"/>
          <w:sz w:val="28"/>
          <w:szCs w:val="28"/>
          <w:shd w:val="clear" w:color="auto" w:fill="FFFFFF"/>
        </w:rPr>
        <w:t>.</w:t>
      </w:r>
    </w:p>
    <w:p w14:paraId="14CAEEAC"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Lo spostamento dei confini delle circoscrizioni in tale continente dipendeva sia dalla volontà di estendere l’area da evangelizzare, soprattutto laddove vi fosse l’esigenza di mutare l’organizzazione missionaria, sia da moventi di carattere politico legati all’opera di colonizzazione, poiché tali territori erano diventati più accessibili agli europei, con il rafforzamento dei mezzi di comunicazione. Basti pensare alla sostituzione della congregazione dello Spirito Santo nella parte francese del Congo, con la congregazione inglese di Mill Hill. Inoltre gli smembramenti di parti di un vicariato e la loro inclusione all’interno di vicariati vicini, dove risiedeva l’ordinario, perseguiva esattamente tale finalità, ossia cercare in tutti i modi di favorire l’attività di evangelizzazione, rendendo più accessibili i territori, perché magari la sede del vicariato veniva spostata dove vi era una ferrovia, o un’area meno impervia da raggiungere.</w:t>
      </w:r>
    </w:p>
    <w:p w14:paraId="4832FF9F"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Sempre nel 1922 vi fu anche l’instaurazione di delegazioni in India e Cina.</w:t>
      </w:r>
    </w:p>
    <w:p w14:paraId="67854702"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In India il mutamento delle circoscrizioni ecclesiastiche dipese principalmente da questioni politiche, ovvero dal patronato portoghese, che esercitava una serie di funzioni in ambito religioso, come il potere di nominare i vescovi o di modificare i confini delle circoscrizioni ecclesiastiche. Tali poteri vennero limitati ad una serie sporadica di privilegi, a seguito di accordi con la Santa Sede volti ad eliminare ogni residuo dell’ingerenza del potere laico nell’amministrazione della cristianità.</w:t>
      </w:r>
    </w:p>
    <w:p w14:paraId="7F02062B"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lastRenderedPageBreak/>
        <w:t>Mentre in Indocina l’instaurazione della delegazione apostolica vi fu nel 1925. In quest’area le modiche alle circoscrizioni furono influenzate da ragioni politiche, ossia dall’occupazione giapponese durante la seconda guerra mondiale, il nazionalismo, la proclamazione dell'indipendenza nel 1945 e le guerre tra la Francia e il Vietnam, che causarono serie difficoltà alla Chiesa. Tali guerre portarono ad una vera persecuzione: molti missionari europei, sacerdoti e suore indigene e numerosissimi cristiani furono trucidati, gran parte dei cristiani costretti alla fuga e interi territori missionari con le loro chiese e istituti ecclesiastici più o meno completamente devastati. L’accordo provvisorio tra Francia e Vietnam vi fu solo nel 1948.</w:t>
      </w:r>
    </w:p>
    <w:p w14:paraId="0BB395C9"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In Cina ed in Giappone la modifica delle circoscrizioni avvenne principalmente per favorire l’attività di evangelizzazione. Si trattava di spostamenti, fatti attraverso smembramenti di parti di vicariati e unione dei medesimi all’interno di un altro vicariato, definito sulla base della sede dell’ordinario e posto in un’area geograficamente più raggiungibili per i fedeli.</w:t>
      </w:r>
    </w:p>
    <w:p w14:paraId="038604BC"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Allo stesso modo in America le modifiche dei confini delle circoscrizioni si realizzarono per garantire l’avvicinamento dei fedeli. Difatti vi era una vasta concentrazione di fedeli nell’America meridionale, perché solo l’Argentina, il Cile ed il Brasile meridionale possedevano reti ferroviarie abbastanza sviluppate. Tuttavia un altro grande condizionamento per lo spostamento delle circoscrizioni era rappresentato da questioni di carattere politico, come il contributo di Francia ed Inghilterra per la creazione delle prime missioni e i privilegi del patronato nell’America spagnola, che era fonte di benefici e inconvenienti.</w:t>
      </w:r>
    </w:p>
    <w:p w14:paraId="47704310" w14:textId="77777777" w:rsidR="00383122" w:rsidRP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sidRPr="00383122">
        <w:rPr>
          <w:rFonts w:ascii="Times New Roman" w:hAnsi="Times New Roman" w:cs="Times New Roman"/>
          <w:color w:val="000000" w:themeColor="text1"/>
          <w:sz w:val="28"/>
          <w:szCs w:val="28"/>
          <w:shd w:val="clear" w:color="auto" w:fill="FFFFFF"/>
        </w:rPr>
        <w:t xml:space="preserve">Infine in Oceania, soprattutto nella zona della Nuova Guinea le modifiche delle circoscrizioni furono dettate da ragioni di carattere politico. Basti pensare a quando nel 1884 Australia e Germania divisero la Nuova Papua </w:t>
      </w:r>
      <w:r w:rsidRPr="00383122">
        <w:rPr>
          <w:rFonts w:ascii="Times New Roman" w:hAnsi="Times New Roman" w:cs="Times New Roman"/>
          <w:color w:val="000000" w:themeColor="text1"/>
          <w:sz w:val="28"/>
          <w:szCs w:val="28"/>
          <w:shd w:val="clear" w:color="auto" w:fill="FFFFFF"/>
        </w:rPr>
        <w:lastRenderedPageBreak/>
        <w:t>Guinea</w:t>
      </w:r>
      <w:r w:rsidRPr="00383122">
        <w:rPr>
          <w:rStyle w:val="Rimandonotaapidipagina"/>
          <w:rFonts w:ascii="Times New Roman" w:hAnsi="Times New Roman" w:cs="Times New Roman"/>
          <w:color w:val="000000" w:themeColor="text1"/>
          <w:sz w:val="28"/>
          <w:szCs w:val="28"/>
          <w:shd w:val="clear" w:color="auto" w:fill="FFFFFF"/>
        </w:rPr>
        <w:footnoteReference w:id="301"/>
      </w:r>
      <w:r w:rsidRPr="00383122">
        <w:rPr>
          <w:rFonts w:ascii="Times New Roman" w:hAnsi="Times New Roman" w:cs="Times New Roman"/>
          <w:color w:val="000000" w:themeColor="text1"/>
          <w:sz w:val="28"/>
          <w:szCs w:val="28"/>
          <w:shd w:val="clear" w:color="auto" w:fill="FFFFFF"/>
        </w:rPr>
        <w:t>. Così l’Australia diventò responsabile per la zona di Papua, mentre la Germania per quella della Nuova Guinea. L’amministrazione tedesca aveva la propria sede a Kokopo</w:t>
      </w:r>
      <w:r w:rsidRPr="00383122">
        <w:rPr>
          <w:rStyle w:val="Rimandonotaapidipagina"/>
          <w:rFonts w:ascii="Times New Roman" w:hAnsi="Times New Roman" w:cs="Times New Roman"/>
          <w:color w:val="000000" w:themeColor="text1"/>
          <w:sz w:val="28"/>
          <w:szCs w:val="28"/>
          <w:shd w:val="clear" w:color="auto" w:fill="FFFFFF"/>
        </w:rPr>
        <w:footnoteReference w:id="302"/>
      </w:r>
      <w:r w:rsidRPr="00383122">
        <w:rPr>
          <w:rFonts w:ascii="Times New Roman" w:hAnsi="Times New Roman" w:cs="Times New Roman"/>
          <w:color w:val="000000" w:themeColor="text1"/>
          <w:sz w:val="28"/>
          <w:szCs w:val="28"/>
          <w:shd w:val="clear" w:color="auto" w:fill="FFFFFF"/>
        </w:rPr>
        <w:t>. Nel 1890 il governo tedesco introdusse la politica delle “sfere di influenza”. I tedeschi divisero la popolazione, così da assegnare l'area di Rabaul ai metodisti, mentre quella di Kokopo spettò ai cattolici</w:t>
      </w:r>
      <w:r w:rsidRPr="00383122">
        <w:rPr>
          <w:rStyle w:val="Rimandonotaapidipagina"/>
          <w:rFonts w:ascii="Times New Roman" w:hAnsi="Times New Roman" w:cs="Times New Roman"/>
          <w:color w:val="000000" w:themeColor="text1"/>
          <w:sz w:val="28"/>
          <w:szCs w:val="28"/>
          <w:shd w:val="clear" w:color="auto" w:fill="FFFFFF"/>
        </w:rPr>
        <w:footnoteReference w:id="303"/>
      </w:r>
      <w:r w:rsidRPr="00383122">
        <w:rPr>
          <w:rFonts w:ascii="Times New Roman" w:hAnsi="Times New Roman" w:cs="Times New Roman"/>
          <w:color w:val="000000" w:themeColor="text1"/>
          <w:sz w:val="28"/>
          <w:szCs w:val="28"/>
          <w:shd w:val="clear" w:color="auto" w:fill="FFFFFF"/>
        </w:rPr>
        <w:t>. Né i cattolici né i metodisti potevano svolgere alcuna attività missionaria al di fuori delle loro sfere di influenza già esistenti. Successivamente il popolo e il vescovo si opposero a tale politica fortemente restrittiva e così nel 1899 il governo abolì tale restrizione.</w:t>
      </w:r>
    </w:p>
    <w:p w14:paraId="4A61C20F" w14:textId="77777777" w:rsidR="00383122" w:rsidRDefault="00383122"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p>
    <w:p w14:paraId="4B281096" w14:textId="77777777" w:rsidR="008D612C" w:rsidRDefault="008D612C"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14:paraId="00A6B424" w14:textId="5F33393F" w:rsidR="00140247" w:rsidRDefault="000966E6"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CAPITOLO IV</w:t>
      </w:r>
    </w:p>
    <w:p w14:paraId="165984CD" w14:textId="77777777" w:rsidR="00455823" w:rsidRPr="00383122" w:rsidRDefault="00455823" w:rsidP="00484F9B">
      <w:pPr>
        <w:spacing w:after="0" w:line="360" w:lineRule="auto"/>
        <w:ind w:left="680" w:right="340"/>
        <w:jc w:val="both"/>
        <w:rPr>
          <w:rFonts w:ascii="Times New Roman" w:hAnsi="Times New Roman" w:cs="Times New Roman"/>
          <w:color w:val="000000" w:themeColor="text1"/>
          <w:sz w:val="28"/>
          <w:szCs w:val="28"/>
          <w:shd w:val="clear" w:color="auto" w:fill="FFFFFF"/>
        </w:rPr>
      </w:pPr>
    </w:p>
    <w:p w14:paraId="093FB9D8" w14:textId="77777777" w:rsidR="00B3403A" w:rsidRDefault="00B3403A" w:rsidP="00484F9B">
      <w:pPr>
        <w:spacing w:after="0" w:line="360" w:lineRule="auto"/>
        <w:ind w:left="680" w:right="340"/>
        <w:jc w:val="both"/>
        <w:rPr>
          <w:rFonts w:ascii="Times New Roman" w:hAnsi="Times New Roman" w:cs="Times New Roman"/>
          <w:color w:val="000000" w:themeColor="text1"/>
          <w:sz w:val="28"/>
          <w:szCs w:val="28"/>
        </w:rPr>
      </w:pPr>
    </w:p>
    <w:p w14:paraId="6CC94CD4" w14:textId="77777777" w:rsidR="00140247" w:rsidRPr="00BC1145" w:rsidRDefault="00140247" w:rsidP="00484F9B">
      <w:pPr>
        <w:pStyle w:val="Paragrafoelenco"/>
        <w:numPr>
          <w:ilvl w:val="1"/>
          <w:numId w:val="9"/>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Nuove istituzioni e organi centrali e periferici</w:t>
      </w:r>
    </w:p>
    <w:p w14:paraId="0195406E" w14:textId="77777777" w:rsidR="00140247" w:rsidRPr="00BC1145" w:rsidRDefault="00140247" w:rsidP="00484F9B">
      <w:pPr>
        <w:pStyle w:val="Paragrafoelenco"/>
        <w:numPr>
          <w:ilvl w:val="2"/>
          <w:numId w:val="12"/>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Creazione e modifica degli istituti missionari</w:t>
      </w:r>
    </w:p>
    <w:p w14:paraId="55D57F9F" w14:textId="77777777" w:rsidR="00140247" w:rsidRPr="00BC1145" w:rsidRDefault="00140247" w:rsidP="00484F9B">
      <w:pPr>
        <w:pStyle w:val="Paragrafoelenco"/>
        <w:numPr>
          <w:ilvl w:val="2"/>
          <w:numId w:val="12"/>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Statuto giuridico del personale missionario</w:t>
      </w:r>
    </w:p>
    <w:p w14:paraId="7A8DD16C"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1.1.3 </w:t>
      </w:r>
      <w:r w:rsidRPr="000248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1145">
        <w:rPr>
          <w:rFonts w:ascii="Times New Roman" w:hAnsi="Times New Roman" w:cs="Times New Roman"/>
          <w:i/>
          <w:sz w:val="28"/>
          <w:szCs w:val="28"/>
        </w:rPr>
        <w:t>Pontificie Opere Missionarie</w:t>
      </w:r>
    </w:p>
    <w:p w14:paraId="2DA81FA9"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1.1.4 </w:t>
      </w:r>
      <w:r w:rsidRPr="000248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1145">
        <w:rPr>
          <w:rFonts w:ascii="Times New Roman" w:hAnsi="Times New Roman" w:cs="Times New Roman"/>
          <w:i/>
          <w:sz w:val="28"/>
          <w:szCs w:val="28"/>
        </w:rPr>
        <w:t>L’organizzazione di Propaganda Fide e le strutture dipendenti</w:t>
      </w:r>
    </w:p>
    <w:p w14:paraId="25D360F3" w14:textId="77777777" w:rsidR="00140247" w:rsidRPr="00BC1145" w:rsidRDefault="00140247" w:rsidP="00484F9B">
      <w:pPr>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t xml:space="preserve">1.1.5   </w:t>
      </w:r>
      <w:r w:rsidRPr="00BC1145">
        <w:rPr>
          <w:rFonts w:ascii="Times New Roman" w:hAnsi="Times New Roman" w:cs="Times New Roman"/>
          <w:i/>
          <w:sz w:val="28"/>
          <w:szCs w:val="28"/>
        </w:rPr>
        <w:t>Le nuove associazioni e congregazioni religiose</w:t>
      </w:r>
    </w:p>
    <w:p w14:paraId="393B19DA"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1.1.6 </w:t>
      </w:r>
      <w:r w:rsidRPr="000248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1145">
        <w:rPr>
          <w:rFonts w:ascii="Times New Roman" w:hAnsi="Times New Roman" w:cs="Times New Roman"/>
          <w:i/>
          <w:sz w:val="28"/>
          <w:szCs w:val="28"/>
        </w:rPr>
        <w:t>Le iniziative per la raccolta di fondi per le missioni</w:t>
      </w:r>
    </w:p>
    <w:p w14:paraId="2B5B964A"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73A16368" w14:textId="77777777" w:rsidR="00140247" w:rsidRPr="00BC1145" w:rsidRDefault="00140247" w:rsidP="00484F9B">
      <w:pPr>
        <w:pStyle w:val="Paragrafoelenco"/>
        <w:numPr>
          <w:ilvl w:val="1"/>
          <w:numId w:val="10"/>
        </w:numPr>
        <w:spacing w:after="0" w:line="360" w:lineRule="auto"/>
        <w:ind w:left="680" w:right="340"/>
        <w:jc w:val="both"/>
        <w:rPr>
          <w:rFonts w:ascii="Times New Roman" w:hAnsi="Times New Roman" w:cs="Times New Roman"/>
          <w:i/>
          <w:sz w:val="28"/>
          <w:szCs w:val="28"/>
        </w:rPr>
      </w:pPr>
      <w:r w:rsidRPr="000248D1">
        <w:rPr>
          <w:rFonts w:ascii="Times New Roman" w:hAnsi="Times New Roman" w:cs="Times New Roman"/>
          <w:sz w:val="28"/>
          <w:szCs w:val="28"/>
        </w:rPr>
        <w:t xml:space="preserve"> </w:t>
      </w:r>
      <w:r w:rsidRPr="00BC1145">
        <w:rPr>
          <w:rFonts w:ascii="Times New Roman" w:hAnsi="Times New Roman" w:cs="Times New Roman"/>
          <w:i/>
          <w:sz w:val="28"/>
          <w:szCs w:val="28"/>
        </w:rPr>
        <w:t>Legislazione missionaria</w:t>
      </w:r>
    </w:p>
    <w:p w14:paraId="116F7469" w14:textId="77777777" w:rsidR="00140247" w:rsidRPr="00BC1145" w:rsidRDefault="00140247" w:rsidP="00484F9B">
      <w:pPr>
        <w:pStyle w:val="Paragrafoelenco"/>
        <w:numPr>
          <w:ilvl w:val="2"/>
          <w:numId w:val="10"/>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Organizzazione ecclesiastica delle missioni</w:t>
      </w:r>
    </w:p>
    <w:p w14:paraId="7BD19BB6" w14:textId="77777777" w:rsidR="00140247" w:rsidRPr="00BC1145" w:rsidRDefault="00140247" w:rsidP="00484F9B">
      <w:pPr>
        <w:pStyle w:val="Paragrafoelenco"/>
        <w:numPr>
          <w:ilvl w:val="2"/>
          <w:numId w:val="10"/>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Relazioni quinquennali sullo stato delle missioni</w:t>
      </w:r>
    </w:p>
    <w:p w14:paraId="334F7E78" w14:textId="77777777" w:rsidR="00140247" w:rsidRPr="00BC1145" w:rsidRDefault="00140247" w:rsidP="00484F9B">
      <w:pPr>
        <w:pStyle w:val="Paragrafoelenco"/>
        <w:numPr>
          <w:ilvl w:val="2"/>
          <w:numId w:val="10"/>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Creazione di nuova missione</w:t>
      </w:r>
    </w:p>
    <w:p w14:paraId="0BB3840F" w14:textId="77777777" w:rsidR="00140247" w:rsidRPr="003A1F35" w:rsidRDefault="00140247" w:rsidP="00484F9B">
      <w:pPr>
        <w:spacing w:after="0" w:line="360" w:lineRule="auto"/>
        <w:ind w:left="680" w:right="340"/>
        <w:jc w:val="both"/>
        <w:rPr>
          <w:rFonts w:ascii="Times New Roman" w:hAnsi="Times New Roman" w:cs="Times New Roman"/>
          <w:sz w:val="28"/>
          <w:szCs w:val="28"/>
        </w:rPr>
      </w:pPr>
    </w:p>
    <w:p w14:paraId="00DDEB5A" w14:textId="77777777" w:rsidR="00140247" w:rsidRPr="00BC1145" w:rsidRDefault="00140247" w:rsidP="00484F9B">
      <w:pPr>
        <w:pStyle w:val="Paragrafoelenco"/>
        <w:numPr>
          <w:ilvl w:val="1"/>
          <w:numId w:val="10"/>
        </w:numPr>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t xml:space="preserve"> </w:t>
      </w:r>
      <w:r w:rsidRPr="00BC1145">
        <w:rPr>
          <w:rFonts w:ascii="Times New Roman" w:hAnsi="Times New Roman" w:cs="Times New Roman"/>
          <w:i/>
          <w:sz w:val="28"/>
          <w:szCs w:val="28"/>
        </w:rPr>
        <w:t>Legislazione sui missionari</w:t>
      </w:r>
    </w:p>
    <w:p w14:paraId="5C9A7C23" w14:textId="77777777" w:rsidR="00140247" w:rsidRPr="00BC1145" w:rsidRDefault="00140247" w:rsidP="00484F9B">
      <w:pPr>
        <w:pStyle w:val="Paragrafoelenco"/>
        <w:numPr>
          <w:ilvl w:val="2"/>
          <w:numId w:val="10"/>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Elezione vicari generali</w:t>
      </w:r>
    </w:p>
    <w:p w14:paraId="2D993D82" w14:textId="77777777" w:rsidR="00140247" w:rsidRPr="00BC1145" w:rsidRDefault="00140247" w:rsidP="00484F9B">
      <w:pPr>
        <w:pStyle w:val="Paragrafoelenco"/>
        <w:numPr>
          <w:ilvl w:val="2"/>
          <w:numId w:val="10"/>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Disciplina dei sacerdoti missionari</w:t>
      </w:r>
    </w:p>
    <w:p w14:paraId="6AD96DA7" w14:textId="77777777" w:rsidR="00140247" w:rsidRDefault="00140247"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2.2.3 </w:t>
      </w:r>
      <w:r w:rsidRPr="00BC1145">
        <w:rPr>
          <w:rFonts w:ascii="Times New Roman" w:hAnsi="Times New Roman" w:cs="Times New Roman"/>
          <w:i/>
          <w:sz w:val="28"/>
          <w:szCs w:val="28"/>
        </w:rPr>
        <w:t>Formazione culturale dei missionari</w:t>
      </w:r>
    </w:p>
    <w:p w14:paraId="3250A02C" w14:textId="77777777" w:rsidR="00140247" w:rsidRPr="00BC1145" w:rsidRDefault="00140247" w:rsidP="00484F9B">
      <w:pPr>
        <w:pStyle w:val="Paragrafoelenco"/>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t xml:space="preserve">2.2.4 </w:t>
      </w:r>
      <w:r w:rsidRPr="00BC1145">
        <w:rPr>
          <w:rFonts w:ascii="Times New Roman" w:hAnsi="Times New Roman" w:cs="Times New Roman"/>
          <w:i/>
          <w:sz w:val="28"/>
          <w:szCs w:val="28"/>
        </w:rPr>
        <w:t>Rispetto delle culture locali</w:t>
      </w:r>
    </w:p>
    <w:p w14:paraId="5A1D7F3D" w14:textId="77777777" w:rsidR="00140247" w:rsidRDefault="00140247"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2.2.5 </w:t>
      </w:r>
      <w:r w:rsidRPr="00BC1145">
        <w:rPr>
          <w:rFonts w:ascii="Times New Roman" w:hAnsi="Times New Roman" w:cs="Times New Roman"/>
          <w:i/>
          <w:sz w:val="28"/>
          <w:szCs w:val="28"/>
        </w:rPr>
        <w:t>Scelta dei calendari liturgici nelle missioni</w:t>
      </w:r>
    </w:p>
    <w:p w14:paraId="38A73D66" w14:textId="77777777" w:rsidR="00140247" w:rsidRPr="00D97E29" w:rsidRDefault="00140247" w:rsidP="00484F9B">
      <w:pPr>
        <w:pStyle w:val="Paragrafoelenco"/>
        <w:spacing w:after="0" w:line="360" w:lineRule="auto"/>
        <w:ind w:left="680" w:right="340"/>
        <w:jc w:val="both"/>
        <w:rPr>
          <w:rFonts w:ascii="Times New Roman" w:hAnsi="Times New Roman" w:cs="Times New Roman"/>
          <w:sz w:val="28"/>
          <w:szCs w:val="28"/>
        </w:rPr>
      </w:pPr>
    </w:p>
    <w:p w14:paraId="02EB3DA9" w14:textId="77777777" w:rsidR="00140247" w:rsidRDefault="00140247"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 3.1 </w:t>
      </w:r>
      <w:r w:rsidRPr="00BC1145">
        <w:rPr>
          <w:rFonts w:ascii="Times New Roman" w:hAnsi="Times New Roman" w:cs="Times New Roman"/>
          <w:i/>
          <w:sz w:val="28"/>
          <w:szCs w:val="28"/>
        </w:rPr>
        <w:t>Facoltà, indulti e privilegi</w:t>
      </w:r>
    </w:p>
    <w:p w14:paraId="15A93A70" w14:textId="77777777" w:rsidR="00140247" w:rsidRDefault="00140247"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3.1.1 </w:t>
      </w:r>
      <w:r w:rsidRPr="00BC1145">
        <w:rPr>
          <w:rFonts w:ascii="Times New Roman" w:hAnsi="Times New Roman" w:cs="Times New Roman"/>
          <w:i/>
          <w:sz w:val="28"/>
          <w:szCs w:val="28"/>
        </w:rPr>
        <w:t>La nascita dei privilegi</w:t>
      </w:r>
    </w:p>
    <w:p w14:paraId="18339D74" w14:textId="77777777" w:rsidR="00140247" w:rsidRDefault="00140247"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3.1.2 </w:t>
      </w:r>
      <w:r w:rsidRPr="00BC1145">
        <w:rPr>
          <w:rFonts w:ascii="Times New Roman" w:hAnsi="Times New Roman" w:cs="Times New Roman"/>
          <w:i/>
          <w:sz w:val="28"/>
          <w:szCs w:val="28"/>
        </w:rPr>
        <w:t>I privilegi di cui godevano gli organi dipendenti da Propaganda Fide</w:t>
      </w:r>
    </w:p>
    <w:p w14:paraId="0F2C2F8E" w14:textId="77777777" w:rsidR="00140247" w:rsidRDefault="00140247"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3.1.3 </w:t>
      </w:r>
      <w:r w:rsidRPr="00BC1145">
        <w:rPr>
          <w:rFonts w:ascii="Times New Roman" w:hAnsi="Times New Roman" w:cs="Times New Roman"/>
          <w:i/>
          <w:sz w:val="28"/>
          <w:szCs w:val="28"/>
        </w:rPr>
        <w:t>I privilegi concessi alle società che vivevano in comune senza voti</w:t>
      </w:r>
    </w:p>
    <w:p w14:paraId="2D2907D8" w14:textId="77777777" w:rsidR="00140247" w:rsidRPr="00BC1145" w:rsidRDefault="00140247" w:rsidP="00484F9B">
      <w:pPr>
        <w:pStyle w:val="Paragrafoelenco"/>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t xml:space="preserve">3.1.4 </w:t>
      </w:r>
      <w:r w:rsidRPr="00BC1145">
        <w:rPr>
          <w:rFonts w:ascii="Times New Roman" w:hAnsi="Times New Roman" w:cs="Times New Roman"/>
          <w:i/>
          <w:sz w:val="28"/>
          <w:szCs w:val="28"/>
        </w:rPr>
        <w:t>I privilegi, facoltà e indulti concessi ai vicari e agli ordinari</w:t>
      </w:r>
    </w:p>
    <w:p w14:paraId="1A1EB839" w14:textId="77777777" w:rsidR="00140247" w:rsidRPr="00BC1145" w:rsidRDefault="00140247" w:rsidP="00484F9B">
      <w:pPr>
        <w:pStyle w:val="Paragrafoelenco"/>
        <w:numPr>
          <w:ilvl w:val="2"/>
          <w:numId w:val="15"/>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Il privilegio paolino e missioni</w:t>
      </w:r>
    </w:p>
    <w:p w14:paraId="278E1283" w14:textId="0FED187D" w:rsidR="00140247" w:rsidRDefault="00140247" w:rsidP="00484F9B">
      <w:pPr>
        <w:pStyle w:val="Paragrafoelenco"/>
        <w:numPr>
          <w:ilvl w:val="2"/>
          <w:numId w:val="15"/>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lastRenderedPageBreak/>
        <w:t>Le cause matrimoniali nelle missioni</w:t>
      </w:r>
    </w:p>
    <w:p w14:paraId="13AC0251" w14:textId="0B4576CC" w:rsidR="00484F9B" w:rsidRDefault="00484F9B" w:rsidP="00484F9B">
      <w:pPr>
        <w:pStyle w:val="Paragrafoelenco"/>
        <w:spacing w:after="0" w:line="360" w:lineRule="auto"/>
        <w:ind w:left="680" w:right="340"/>
        <w:jc w:val="both"/>
        <w:rPr>
          <w:rFonts w:ascii="Times New Roman" w:hAnsi="Times New Roman" w:cs="Times New Roman"/>
          <w:i/>
          <w:sz w:val="28"/>
          <w:szCs w:val="28"/>
        </w:rPr>
      </w:pPr>
    </w:p>
    <w:p w14:paraId="02EB22EA" w14:textId="77777777" w:rsidR="00484F9B" w:rsidRDefault="00484F9B" w:rsidP="00484F9B">
      <w:pPr>
        <w:pStyle w:val="Paragrafoelenco"/>
        <w:spacing w:after="0" w:line="360" w:lineRule="auto"/>
        <w:ind w:left="680" w:right="340"/>
        <w:jc w:val="both"/>
        <w:rPr>
          <w:rFonts w:ascii="Times New Roman" w:hAnsi="Times New Roman" w:cs="Times New Roman"/>
          <w:sz w:val="28"/>
          <w:szCs w:val="28"/>
        </w:rPr>
      </w:pPr>
    </w:p>
    <w:p w14:paraId="7B90343F" w14:textId="77777777" w:rsidR="00B3403A" w:rsidRDefault="00B3403A" w:rsidP="00484F9B">
      <w:pPr>
        <w:pStyle w:val="Paragrafoelenco"/>
        <w:spacing w:after="0" w:line="360" w:lineRule="auto"/>
        <w:ind w:left="680" w:right="340"/>
        <w:jc w:val="both"/>
        <w:rPr>
          <w:rFonts w:ascii="Times New Roman" w:hAnsi="Times New Roman" w:cs="Times New Roman"/>
          <w:sz w:val="28"/>
          <w:szCs w:val="28"/>
        </w:rPr>
      </w:pPr>
    </w:p>
    <w:p w14:paraId="66315B02" w14:textId="77777777" w:rsidR="00140247" w:rsidRPr="00140247" w:rsidRDefault="00140247"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1.</w:t>
      </w:r>
      <w:r w:rsidRPr="00BC1145">
        <w:rPr>
          <w:rFonts w:ascii="Times New Roman" w:hAnsi="Times New Roman" w:cs="Times New Roman"/>
          <w:i/>
          <w:sz w:val="28"/>
          <w:szCs w:val="28"/>
        </w:rPr>
        <w:t>1 Nuove istituzioni e organi centrali e periferici</w:t>
      </w:r>
    </w:p>
    <w:p w14:paraId="0E7D3AF7" w14:textId="77777777" w:rsidR="00140247" w:rsidRPr="000248D1" w:rsidRDefault="00140247" w:rsidP="00484F9B">
      <w:pPr>
        <w:pStyle w:val="Paragrafoelenco"/>
        <w:spacing w:after="0" w:line="360" w:lineRule="auto"/>
        <w:ind w:left="680" w:right="340"/>
        <w:jc w:val="both"/>
        <w:rPr>
          <w:rFonts w:ascii="Times New Roman" w:hAnsi="Times New Roman" w:cs="Times New Roman"/>
          <w:sz w:val="28"/>
          <w:szCs w:val="28"/>
        </w:rPr>
      </w:pPr>
    </w:p>
    <w:p w14:paraId="754BC409" w14:textId="77777777" w:rsidR="00140247"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Come detto nel capitolo precedente, l’obiettivo principale di Propaganda fide era ottenere la massimizzazione dell’attività di evangelizzazione. Proprio per questo adottò delle misure specifiche nei singoli territori di missione. Difatti in Africa, dove l’attività dell’apostolato era frenata dalle politiche nazionaliste, decise nel 1920 di promuovere una giornata, denominata “epifania del signore” per celebrare la libertà dei neri e per raccogliere fondi, da poter utilizzare nei territori di missione</w:t>
      </w:r>
      <w:r w:rsidRPr="000248D1">
        <w:rPr>
          <w:rStyle w:val="Rimandonotaapidipagina"/>
          <w:rFonts w:ascii="Times New Roman" w:hAnsi="Times New Roman" w:cs="Times New Roman"/>
          <w:sz w:val="28"/>
          <w:szCs w:val="28"/>
        </w:rPr>
        <w:footnoteReference w:id="304"/>
      </w:r>
      <w:r w:rsidRPr="000248D1">
        <w:rPr>
          <w:rFonts w:ascii="Times New Roman" w:hAnsi="Times New Roman" w:cs="Times New Roman"/>
          <w:sz w:val="28"/>
          <w:szCs w:val="28"/>
        </w:rPr>
        <w:t>. Mentre nel 1921 Propaganda decise di nominare, per garantire l’ottimizzazione dell’evangelizzazione, come presidente della Pia Unione del Clero in Germania, un esponente della delegazione bavarese, ossia Charles Joseph Schulte, arcivescovo di Colonia, che si era distinto nell’opera di propagazione della fede, per il suo atteggiamento accorto e studioso</w:t>
      </w:r>
      <w:r w:rsidRPr="000248D1">
        <w:rPr>
          <w:rStyle w:val="Rimandonotaapidipagina"/>
          <w:rFonts w:ascii="Times New Roman" w:hAnsi="Times New Roman" w:cs="Times New Roman"/>
          <w:sz w:val="28"/>
          <w:szCs w:val="28"/>
        </w:rPr>
        <w:footnoteReference w:id="305"/>
      </w:r>
      <w:r w:rsidRPr="000248D1">
        <w:rPr>
          <w:rFonts w:ascii="Times New Roman" w:hAnsi="Times New Roman" w:cs="Times New Roman"/>
          <w:sz w:val="28"/>
          <w:szCs w:val="28"/>
        </w:rPr>
        <w:t>.</w:t>
      </w:r>
    </w:p>
    <w:p w14:paraId="5411FC36" w14:textId="77777777" w:rsidR="008D612C" w:rsidRDefault="008D612C" w:rsidP="00484F9B">
      <w:pPr>
        <w:spacing w:after="0" w:line="360" w:lineRule="auto"/>
        <w:ind w:left="680" w:right="340"/>
        <w:jc w:val="both"/>
        <w:rPr>
          <w:rFonts w:ascii="Times New Roman" w:hAnsi="Times New Roman" w:cs="Times New Roman"/>
          <w:sz w:val="28"/>
          <w:szCs w:val="28"/>
        </w:rPr>
      </w:pPr>
    </w:p>
    <w:p w14:paraId="55931B56" w14:textId="177A018D" w:rsidR="00140247" w:rsidRDefault="00140247" w:rsidP="00484F9B">
      <w:pPr>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t xml:space="preserve">1.1.2 </w:t>
      </w:r>
      <w:r w:rsidRPr="00BC1145">
        <w:rPr>
          <w:rFonts w:ascii="Times New Roman" w:hAnsi="Times New Roman" w:cs="Times New Roman"/>
          <w:i/>
          <w:sz w:val="28"/>
          <w:szCs w:val="28"/>
        </w:rPr>
        <w:t>Creazione e modifica degli istituti missionari</w:t>
      </w:r>
    </w:p>
    <w:p w14:paraId="3E9A3AEA" w14:textId="77777777" w:rsidR="00BC1145" w:rsidRPr="00140247" w:rsidRDefault="00BC1145" w:rsidP="00484F9B">
      <w:pPr>
        <w:spacing w:after="0" w:line="360" w:lineRule="auto"/>
        <w:ind w:left="680" w:right="340"/>
        <w:jc w:val="both"/>
        <w:rPr>
          <w:rFonts w:ascii="Times New Roman" w:hAnsi="Times New Roman" w:cs="Times New Roman"/>
          <w:sz w:val="28"/>
          <w:szCs w:val="28"/>
        </w:rPr>
      </w:pPr>
    </w:p>
    <w:p w14:paraId="355719C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Tra le altre soluzioni che vennero adottate da Propaganda fide vi furono anche l’istituzione o la modifica degli istituti, delle opere e delle associazioni missionarie. Questi erano indispensabili per assicurare il progresso e la stabilità delle missioni tra le nazioni straniere, attraverso la formazione di un clero autoctono.</w:t>
      </w:r>
      <w:r w:rsidRPr="000248D1">
        <w:rPr>
          <w:sz w:val="28"/>
          <w:szCs w:val="28"/>
        </w:rPr>
        <w:t xml:space="preserve"> </w:t>
      </w:r>
      <w:r w:rsidRPr="000248D1">
        <w:rPr>
          <w:rFonts w:ascii="Times New Roman" w:hAnsi="Times New Roman" w:cs="Times New Roman"/>
          <w:sz w:val="28"/>
          <w:szCs w:val="28"/>
        </w:rPr>
        <w:t xml:space="preserve">Nel 1908 a seguito della costituzione </w:t>
      </w:r>
      <w:r w:rsidRPr="000248D1">
        <w:rPr>
          <w:rFonts w:ascii="Times New Roman" w:hAnsi="Times New Roman" w:cs="Times New Roman"/>
          <w:i/>
          <w:sz w:val="28"/>
          <w:szCs w:val="28"/>
        </w:rPr>
        <w:t>Sapienti Consilio</w:t>
      </w:r>
      <w:r w:rsidRPr="000248D1">
        <w:rPr>
          <w:rFonts w:ascii="Times New Roman" w:hAnsi="Times New Roman" w:cs="Times New Roman"/>
          <w:sz w:val="28"/>
          <w:szCs w:val="28"/>
        </w:rPr>
        <w:t xml:space="preserve"> molte </w:t>
      </w:r>
      <w:r w:rsidRPr="000248D1">
        <w:rPr>
          <w:rFonts w:ascii="Times New Roman" w:hAnsi="Times New Roman" w:cs="Times New Roman"/>
          <w:sz w:val="28"/>
          <w:szCs w:val="28"/>
        </w:rPr>
        <w:lastRenderedPageBreak/>
        <w:t>congregazioni religiose passarono sotto la giurisdizione della S.C dei religiosi. Si trattò tuttavia di una modifica che ebbe vita breve, poiché l’anno successivo si sancì che le congregazioni nate in territori di missione per aiutare l’apostolato locale e le società e congregazioni, erette con scopo missionario, dovessero dipendere da Propaganda fide</w:t>
      </w:r>
      <w:r w:rsidRPr="000248D1">
        <w:rPr>
          <w:rStyle w:val="Rimandonotaapidipagina"/>
          <w:rFonts w:ascii="Times New Roman" w:hAnsi="Times New Roman" w:cs="Times New Roman"/>
          <w:sz w:val="28"/>
          <w:szCs w:val="28"/>
        </w:rPr>
        <w:footnoteReference w:id="306"/>
      </w:r>
      <w:r w:rsidRPr="000248D1">
        <w:rPr>
          <w:rFonts w:ascii="Times New Roman" w:hAnsi="Times New Roman" w:cs="Times New Roman"/>
          <w:sz w:val="28"/>
          <w:szCs w:val="28"/>
        </w:rPr>
        <w:t>. Inoltre Propaganda, pur rispettando le norme e i principi sanciti dalla S.C dei religiosi, che in materia aveva una competenza specifica, seguiva spesso criteri particolari per adattare la disciplina degli istituti alle esigenze delle missioni. Gli istituti religiosi dipendenti da Propaganda fide si potevano dividere in due grandi macro-categorie, ossia gli istituti con voti semplici perpetui e quelli invece senza voti, con organizzazione e caratteristiche speciali</w:t>
      </w:r>
      <w:r w:rsidRPr="000248D1">
        <w:rPr>
          <w:rStyle w:val="Rimandonotaapidipagina"/>
          <w:rFonts w:ascii="Times New Roman" w:hAnsi="Times New Roman" w:cs="Times New Roman"/>
          <w:sz w:val="28"/>
          <w:szCs w:val="28"/>
        </w:rPr>
        <w:footnoteReference w:id="307"/>
      </w:r>
      <w:r w:rsidRPr="000248D1">
        <w:rPr>
          <w:rFonts w:ascii="Times New Roman" w:hAnsi="Times New Roman" w:cs="Times New Roman"/>
          <w:sz w:val="28"/>
          <w:szCs w:val="28"/>
        </w:rPr>
        <w:t>.</w:t>
      </w:r>
    </w:p>
    <w:p w14:paraId="10250E6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Nella prima categoria rientravano le congregazioni di diritto pontificio, ossia quelle che ricevevano l’approvazione della Santa Sede e quelle di diritto diocesano, ovvero quelle erette dai vescovi previo nulla osta della Santa Sede</w:t>
      </w:r>
      <w:r w:rsidRPr="000248D1">
        <w:rPr>
          <w:rStyle w:val="Rimandonotaapidipagina"/>
          <w:rFonts w:ascii="Times New Roman" w:hAnsi="Times New Roman" w:cs="Times New Roman"/>
          <w:sz w:val="28"/>
          <w:szCs w:val="28"/>
        </w:rPr>
        <w:footnoteReference w:id="308"/>
      </w:r>
      <w:r w:rsidRPr="000248D1">
        <w:rPr>
          <w:rFonts w:ascii="Times New Roman" w:hAnsi="Times New Roman" w:cs="Times New Roman"/>
          <w:sz w:val="28"/>
          <w:szCs w:val="28"/>
        </w:rPr>
        <w:t>.</w:t>
      </w:r>
    </w:p>
    <w:p w14:paraId="13393E94"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All’interno di tale categoria vi erano: congregazioni maschili di diritto pontificio, come i Missionari Figli del Sacro Cuore di Gesù (Germania 1923);</w:t>
      </w:r>
    </w:p>
    <w:p w14:paraId="1622600D"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congregazioni femminili di diritto pontificio, come il Sodalizio di S. Pietro Claver (1919), le Missionarie di Nostra Signora Africa o Suore Bianche (1920) e l’ordine delle Suore del SS.mo Salvatore e di S. Brigida (1942). Mentre all’interno delle società senza voti rientravano: la Società per le Missioni Estere di Parigi (Francia 1660), il Pontificio Istituto dei SS. Apostoli Pietro e Paolo e dei SS. Ambrogio e Carlo per le Missioni Estere (Italia 1850 e 1926) e i Missionari d’Africa o Padri Bianchi (Algeria 1868)</w:t>
      </w:r>
      <w:r w:rsidRPr="000248D1">
        <w:rPr>
          <w:rStyle w:val="Rimandonotaapidipagina"/>
          <w:rFonts w:ascii="Times New Roman" w:hAnsi="Times New Roman" w:cs="Times New Roman"/>
          <w:sz w:val="28"/>
          <w:szCs w:val="28"/>
        </w:rPr>
        <w:footnoteReference w:id="309"/>
      </w:r>
      <w:r w:rsidRPr="000248D1">
        <w:rPr>
          <w:rFonts w:ascii="Times New Roman" w:hAnsi="Times New Roman" w:cs="Times New Roman"/>
          <w:sz w:val="28"/>
          <w:szCs w:val="28"/>
        </w:rPr>
        <w:t>.</w:t>
      </w:r>
    </w:p>
    <w:p w14:paraId="7FEAAD0C"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68FD9C58" w14:textId="77777777" w:rsidR="00140247" w:rsidRPr="000248D1" w:rsidRDefault="00140247" w:rsidP="00484F9B">
      <w:pPr>
        <w:spacing w:after="0" w:line="360" w:lineRule="auto"/>
        <w:ind w:left="680" w:right="340"/>
        <w:jc w:val="both"/>
        <w:rPr>
          <w:sz w:val="28"/>
          <w:szCs w:val="28"/>
        </w:rPr>
      </w:pPr>
      <w:r w:rsidRPr="000248D1">
        <w:rPr>
          <w:rFonts w:ascii="Times New Roman" w:hAnsi="Times New Roman" w:cs="Times New Roman"/>
          <w:sz w:val="28"/>
          <w:szCs w:val="28"/>
        </w:rPr>
        <w:lastRenderedPageBreak/>
        <w:t>Tra le congregazioni missionarie femminili di diritto pontificio nel 1921 ricevette l’approvazione definitiva, nonché la sistemazione delle sue costituzioni, a seguito delle modifiche del CIC, l’associazione delle Suore Missionarie di S. Claver</w:t>
      </w:r>
      <w:r w:rsidRPr="000248D1">
        <w:rPr>
          <w:rStyle w:val="Rimandonotaapidipagina"/>
          <w:rFonts w:ascii="Times New Roman" w:hAnsi="Times New Roman" w:cs="Times New Roman"/>
          <w:sz w:val="28"/>
          <w:szCs w:val="28"/>
        </w:rPr>
        <w:footnoteReference w:id="310"/>
      </w:r>
      <w:r w:rsidRPr="000248D1">
        <w:rPr>
          <w:rFonts w:ascii="Times New Roman" w:hAnsi="Times New Roman" w:cs="Times New Roman"/>
          <w:sz w:val="28"/>
          <w:szCs w:val="28"/>
        </w:rPr>
        <w:t>. Si trattava di un’associazione, operante principalmente in Africa, che era cresciuta con successo, raggiungendo notevoli risultati in termini di evangelizzazione.</w:t>
      </w:r>
      <w:r w:rsidRPr="000248D1">
        <w:rPr>
          <w:sz w:val="28"/>
          <w:szCs w:val="28"/>
        </w:rPr>
        <w:t xml:space="preserve"> </w:t>
      </w:r>
    </w:p>
    <w:p w14:paraId="62D1FA62"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La congregazione venne fondata da Maria Teresa Ledóchowska (1863-1922): di nobile famiglia polacca, dama di compagnia della granduchessa di Toscana Alice di Borbone-Parma, che dopo essere entrata in contatto con due suore francescane missionarie di Maria iniziò a interessarsi alle problematiche dell'evangelizzazione nell'Africa</w:t>
      </w:r>
      <w:r w:rsidRPr="000248D1">
        <w:rPr>
          <w:rStyle w:val="Rimandonotaapidipagina"/>
          <w:rFonts w:ascii="Times New Roman" w:hAnsi="Times New Roman" w:cs="Times New Roman"/>
          <w:sz w:val="28"/>
          <w:szCs w:val="28"/>
        </w:rPr>
        <w:footnoteReference w:id="311"/>
      </w:r>
      <w:r w:rsidRPr="000248D1">
        <w:rPr>
          <w:rFonts w:ascii="Times New Roman" w:hAnsi="Times New Roman" w:cs="Times New Roman"/>
          <w:sz w:val="28"/>
          <w:szCs w:val="28"/>
        </w:rPr>
        <w:t>. L’attività missionaria di Maria Teresa Ledóchowska ebbe un carattere moderno e sorprendente per quei tempi. Questo perché la fondatrice, comprendendo l’importanza dei mezzi di comunicazione, fece conferenze, organizzò congressi, inaugurò tipografie e cercò di coinvolgere tutti i laici nella cooperazione alla missione della Chiesa</w:t>
      </w:r>
      <w:r w:rsidRPr="000248D1">
        <w:rPr>
          <w:rStyle w:val="Rimandonotaapidipagina"/>
          <w:rFonts w:ascii="Times New Roman" w:hAnsi="Times New Roman" w:cs="Times New Roman"/>
          <w:sz w:val="28"/>
          <w:szCs w:val="28"/>
        </w:rPr>
        <w:footnoteReference w:id="312"/>
      </w:r>
      <w:r w:rsidRPr="000248D1">
        <w:rPr>
          <w:rFonts w:ascii="Times New Roman" w:hAnsi="Times New Roman" w:cs="Times New Roman"/>
          <w:sz w:val="28"/>
          <w:szCs w:val="28"/>
        </w:rPr>
        <w:t>. Difatti per assicurare la continuazione dell’opera, fondò il 29 aprile 1894, con l’approvazione del Papa Leone XIII, l’associazione di San Pietro Claver che, tre anni dopo, diventò una congregazione religiosa</w:t>
      </w:r>
      <w:r w:rsidRPr="000248D1">
        <w:rPr>
          <w:rStyle w:val="Rimandonotaapidipagina"/>
          <w:rFonts w:ascii="Times New Roman" w:hAnsi="Times New Roman" w:cs="Times New Roman"/>
          <w:color w:val="333333"/>
          <w:sz w:val="28"/>
          <w:szCs w:val="28"/>
        </w:rPr>
        <w:footnoteReference w:id="313"/>
      </w:r>
      <w:r w:rsidRPr="000248D1">
        <w:rPr>
          <w:rFonts w:ascii="Times New Roman" w:hAnsi="Times New Roman" w:cs="Times New Roman"/>
          <w:color w:val="333333"/>
          <w:sz w:val="28"/>
          <w:szCs w:val="28"/>
        </w:rPr>
        <w:t>.</w:t>
      </w:r>
    </w:p>
    <w:p w14:paraId="23F4E050"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L'istituto, dal 1894 al 1957 venne aggregato all'Ordine dei Frati Minori, ricevette il pontificio decreto di lode nel 1902 e le sue costituzioni vennero approvate definitivamente dalla Santa Sede il 7 marzo 1910</w:t>
      </w:r>
      <w:r w:rsidRPr="000248D1">
        <w:rPr>
          <w:rStyle w:val="Rimandonotaapidipagina"/>
          <w:rFonts w:ascii="Times New Roman" w:hAnsi="Times New Roman" w:cs="Times New Roman"/>
          <w:sz w:val="28"/>
          <w:szCs w:val="28"/>
        </w:rPr>
        <w:footnoteReference w:id="314"/>
      </w:r>
      <w:r w:rsidRPr="000248D1">
        <w:rPr>
          <w:rFonts w:ascii="Times New Roman" w:hAnsi="Times New Roman" w:cs="Times New Roman"/>
          <w:sz w:val="28"/>
          <w:szCs w:val="28"/>
        </w:rPr>
        <w:t xml:space="preserve">. </w:t>
      </w:r>
    </w:p>
    <w:p w14:paraId="43AEFADB"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2ADA6D84"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Sempre in Africa, nel 1921 ricevette l’approvazione definitiva una congregazione senza voti, ossia la Società dei Missionari d'Africa, fondata </w:t>
      </w:r>
      <w:r w:rsidRPr="000248D1">
        <w:rPr>
          <w:rFonts w:ascii="Times New Roman" w:hAnsi="Times New Roman" w:cs="Times New Roman"/>
          <w:sz w:val="28"/>
          <w:szCs w:val="28"/>
        </w:rPr>
        <w:lastRenderedPageBreak/>
        <w:t>originariamente nel 1868 dal cardinale Lavigerie, arcivescovo di Algeri. I membri di questa associazione venivano chiamati Padri Bianchi per via della lunga tunica bianca (</w:t>
      </w:r>
      <w:r w:rsidRPr="000248D1">
        <w:rPr>
          <w:rFonts w:ascii="Times New Roman" w:hAnsi="Times New Roman" w:cs="Times New Roman"/>
          <w:i/>
          <w:sz w:val="28"/>
          <w:szCs w:val="28"/>
        </w:rPr>
        <w:t>gandura</w:t>
      </w:r>
      <w:r w:rsidRPr="000248D1">
        <w:rPr>
          <w:rFonts w:ascii="Times New Roman" w:hAnsi="Times New Roman" w:cs="Times New Roman"/>
          <w:sz w:val="28"/>
          <w:szCs w:val="28"/>
        </w:rPr>
        <w:t>) e del mantello bianco leggermente adattato (</w:t>
      </w:r>
      <w:r w:rsidRPr="000248D1">
        <w:rPr>
          <w:rFonts w:ascii="Times New Roman" w:hAnsi="Times New Roman" w:cs="Times New Roman"/>
          <w:i/>
          <w:sz w:val="28"/>
          <w:szCs w:val="28"/>
        </w:rPr>
        <w:t>burnus</w:t>
      </w:r>
      <w:r w:rsidRPr="000248D1">
        <w:rPr>
          <w:rFonts w:ascii="Times New Roman" w:hAnsi="Times New Roman" w:cs="Times New Roman"/>
          <w:sz w:val="28"/>
          <w:szCs w:val="28"/>
        </w:rPr>
        <w:t>), tipico elemento dell’abbigliamento maschile nell’Africa del Nord</w:t>
      </w:r>
      <w:r w:rsidRPr="000248D1">
        <w:rPr>
          <w:rStyle w:val="Rimandonotaapidipagina"/>
          <w:rFonts w:ascii="Times New Roman" w:hAnsi="Times New Roman" w:cs="Times New Roman"/>
          <w:sz w:val="28"/>
          <w:szCs w:val="28"/>
        </w:rPr>
        <w:footnoteReference w:id="315"/>
      </w:r>
      <w:r w:rsidRPr="000248D1">
        <w:rPr>
          <w:rFonts w:ascii="Times New Roman" w:hAnsi="Times New Roman" w:cs="Times New Roman"/>
          <w:sz w:val="28"/>
          <w:szCs w:val="28"/>
        </w:rPr>
        <w:t>. Nel 1869, il cardinale Lavigerie fondò anche la congregazione delle Suore Missionarie di Nostra Signora d’Africa, dette Suore Bianche, per il loro essere “donne apostole tra le donne”</w:t>
      </w:r>
      <w:r w:rsidRPr="000248D1">
        <w:rPr>
          <w:rStyle w:val="Rimandonotaapidipagina"/>
          <w:rFonts w:ascii="Times New Roman" w:hAnsi="Times New Roman" w:cs="Times New Roman"/>
          <w:sz w:val="28"/>
          <w:szCs w:val="28"/>
        </w:rPr>
        <w:footnoteReference w:id="316"/>
      </w:r>
      <w:r w:rsidRPr="000248D1">
        <w:rPr>
          <w:rFonts w:ascii="Times New Roman" w:hAnsi="Times New Roman" w:cs="Times New Roman"/>
          <w:sz w:val="28"/>
          <w:szCs w:val="28"/>
        </w:rPr>
        <w:t>.</w:t>
      </w:r>
      <w:r w:rsidRPr="000248D1">
        <w:rPr>
          <w:sz w:val="28"/>
          <w:szCs w:val="28"/>
        </w:rPr>
        <w:t xml:space="preserve"> </w:t>
      </w:r>
      <w:r w:rsidRPr="000248D1">
        <w:rPr>
          <w:rFonts w:ascii="Times New Roman" w:hAnsi="Times New Roman" w:cs="Times New Roman"/>
          <w:sz w:val="28"/>
          <w:szCs w:val="28"/>
        </w:rPr>
        <w:t>All’inizio il fondatore volle che le suore si dedicassero a lavori agricoli, anche pesanti. Nel 1874, l’istituto si fuse con quello delle Suore dell’Assunzione, per poi diventare autonomo nel 1879</w:t>
      </w:r>
      <w:r w:rsidRPr="000248D1">
        <w:rPr>
          <w:rStyle w:val="Rimandonotaapidipagina"/>
          <w:rFonts w:ascii="Times New Roman" w:hAnsi="Times New Roman" w:cs="Times New Roman"/>
          <w:sz w:val="28"/>
          <w:szCs w:val="28"/>
        </w:rPr>
        <w:footnoteReference w:id="317"/>
      </w:r>
      <w:r w:rsidRPr="000248D1">
        <w:rPr>
          <w:rFonts w:ascii="Times New Roman" w:hAnsi="Times New Roman" w:cs="Times New Roman"/>
          <w:sz w:val="28"/>
          <w:szCs w:val="28"/>
        </w:rPr>
        <w:t>. Dopo un periodo di crisi, nel quale il fondatore pensava di sciogliere la congregazione, la forte tempra e l’umiltà di madre Maria Salome, superiora generale, riuscì a togliere al cardinale ogni dubbio</w:t>
      </w:r>
      <w:r w:rsidRPr="000248D1">
        <w:rPr>
          <w:rStyle w:val="Rimandonotaapidipagina"/>
          <w:rFonts w:ascii="Times New Roman" w:hAnsi="Times New Roman" w:cs="Times New Roman"/>
          <w:sz w:val="28"/>
          <w:szCs w:val="28"/>
        </w:rPr>
        <w:footnoteReference w:id="318"/>
      </w:r>
      <w:r w:rsidRPr="000248D1">
        <w:rPr>
          <w:rFonts w:ascii="Times New Roman" w:hAnsi="Times New Roman" w:cs="Times New Roman"/>
          <w:sz w:val="28"/>
          <w:szCs w:val="28"/>
        </w:rPr>
        <w:t>. Gli scopi della Congregazione furono l’esercizio della carità, l’istruzione religiosa, la cura dei malati negli ospedali, ma soprattutto la cooperazione alle missioni d’Africa</w:t>
      </w:r>
      <w:r w:rsidRPr="000248D1">
        <w:rPr>
          <w:rStyle w:val="Rimandonotaapidipagina"/>
          <w:rFonts w:ascii="Times New Roman" w:hAnsi="Times New Roman" w:cs="Times New Roman"/>
          <w:sz w:val="28"/>
          <w:szCs w:val="28"/>
        </w:rPr>
        <w:footnoteReference w:id="319"/>
      </w:r>
      <w:r w:rsidRPr="000248D1">
        <w:rPr>
          <w:rFonts w:ascii="Times New Roman" w:hAnsi="Times New Roman" w:cs="Times New Roman"/>
          <w:sz w:val="28"/>
          <w:szCs w:val="28"/>
        </w:rPr>
        <w:t>.</w:t>
      </w:r>
    </w:p>
    <w:p w14:paraId="61DB069C"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Mentre, il progetto per la formazione della Società dei Missionari d’Africa iniziò il 20 gennaio 1990,  quando tre seminaristi, dopo aver udito una conferenza del rettore del seminario di Kuba (Algeri) sulla missione araba, si presentarono all’arcivescovo di Algeri e si offrirono per quella missione</w:t>
      </w:r>
      <w:r w:rsidRPr="000248D1">
        <w:rPr>
          <w:rStyle w:val="Rimandonotaapidipagina"/>
          <w:rFonts w:ascii="Times New Roman" w:hAnsi="Times New Roman" w:cs="Times New Roman"/>
          <w:sz w:val="28"/>
          <w:szCs w:val="28"/>
        </w:rPr>
        <w:footnoteReference w:id="320"/>
      </w:r>
      <w:r w:rsidRPr="000248D1">
        <w:rPr>
          <w:rFonts w:ascii="Times New Roman" w:hAnsi="Times New Roman" w:cs="Times New Roman"/>
          <w:sz w:val="28"/>
          <w:szCs w:val="28"/>
        </w:rPr>
        <w:t>. Questo portò il cardinale Lavigerie a vedere in quella offerta una risposta del cielo ai suoi progetti di apostolato verso il centro dell’Africa. Il 2 febbraio 1869 quattro furono i primi vestiti dell’abito dei Padri Bianchi</w:t>
      </w:r>
      <w:r w:rsidRPr="000248D1">
        <w:rPr>
          <w:rStyle w:val="Rimandonotaapidipagina"/>
          <w:rFonts w:ascii="Times New Roman" w:hAnsi="Times New Roman" w:cs="Times New Roman"/>
          <w:sz w:val="28"/>
          <w:szCs w:val="28"/>
        </w:rPr>
        <w:footnoteReference w:id="321"/>
      </w:r>
      <w:r w:rsidRPr="000248D1">
        <w:rPr>
          <w:rFonts w:ascii="Times New Roman" w:hAnsi="Times New Roman" w:cs="Times New Roman"/>
          <w:sz w:val="28"/>
          <w:szCs w:val="28"/>
        </w:rPr>
        <w:t xml:space="preserve">. In seguito il noviziato si stabilì a Maison-Carrée, dove fu poi organizzato anche il </w:t>
      </w:r>
      <w:r w:rsidRPr="000248D1">
        <w:rPr>
          <w:rFonts w:ascii="Times New Roman" w:hAnsi="Times New Roman" w:cs="Times New Roman"/>
          <w:sz w:val="28"/>
          <w:szCs w:val="28"/>
        </w:rPr>
        <w:lastRenderedPageBreak/>
        <w:t>seminario e dove ebbe sede la casa madre della Società</w:t>
      </w:r>
      <w:r w:rsidRPr="000248D1">
        <w:rPr>
          <w:rStyle w:val="Rimandonotaapidipagina"/>
          <w:rFonts w:ascii="Times New Roman" w:hAnsi="Times New Roman" w:cs="Times New Roman"/>
          <w:sz w:val="28"/>
          <w:szCs w:val="28"/>
        </w:rPr>
        <w:footnoteReference w:id="322"/>
      </w:r>
      <w:r w:rsidRPr="000248D1">
        <w:rPr>
          <w:rFonts w:ascii="Times New Roman" w:hAnsi="Times New Roman" w:cs="Times New Roman"/>
          <w:sz w:val="28"/>
          <w:szCs w:val="28"/>
        </w:rPr>
        <w:t>. Benché lo scopo immediato fosse la conversione degli Arabi, già fin d’allora si indicavano come campo di apostolato tutte le regioni dell’Africa, nelle quali vi era la speranza di riuscire a convertire gli infedeli. All’inizio i missionari ebbero cura degli orfani raccolti dal fondatore durante la grande carestia del 1867- 1869. Nel 1873 furono fondate missioni in Cabilia (Algeria). Nel Capitolo del 1886 ebbe luogo la prima divisione in province. Successivamente Pio X con decreto del 15 febbraio 1908 diede approvazione definitiva alle costituzioni della Società. Un rescritto del 1910 sancì la dipendenza di questa Società da Propaganda fide</w:t>
      </w:r>
      <w:r w:rsidRPr="000248D1">
        <w:rPr>
          <w:rStyle w:val="Rimandonotaapidipagina"/>
          <w:rFonts w:ascii="Times New Roman" w:hAnsi="Times New Roman" w:cs="Times New Roman"/>
          <w:sz w:val="28"/>
          <w:szCs w:val="28"/>
        </w:rPr>
        <w:footnoteReference w:id="323"/>
      </w:r>
      <w:r w:rsidRPr="000248D1">
        <w:rPr>
          <w:rFonts w:ascii="Times New Roman" w:hAnsi="Times New Roman" w:cs="Times New Roman"/>
          <w:sz w:val="28"/>
          <w:szCs w:val="28"/>
        </w:rPr>
        <w:t xml:space="preserve">.  </w:t>
      </w:r>
    </w:p>
    <w:p w14:paraId="3EC353A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In seguito alla pubblicazione del CIC, le costituzioni di tale congregazione furono rivedute e, con alcune aggiunte e modifiche, approvate nel 1921 per consentire la creazione di un clero autoctono. I Padri Bianchi, pur essendo dipendenti dal dicastero di Propaganda fide dovevano attenersi ad un </w:t>
      </w:r>
      <w:r w:rsidRPr="000248D1">
        <w:rPr>
          <w:rFonts w:ascii="Times New Roman" w:hAnsi="Times New Roman" w:cs="Times New Roman"/>
          <w:i/>
          <w:sz w:val="28"/>
          <w:szCs w:val="28"/>
        </w:rPr>
        <w:t>instructio</w:t>
      </w:r>
      <w:r w:rsidRPr="000248D1">
        <w:rPr>
          <w:rFonts w:ascii="Times New Roman" w:hAnsi="Times New Roman" w:cs="Times New Roman"/>
          <w:sz w:val="28"/>
          <w:szCs w:val="28"/>
        </w:rPr>
        <w:t>, emanata dalla S.C dei religiosi nel 1932</w:t>
      </w:r>
      <w:r w:rsidRPr="000248D1">
        <w:rPr>
          <w:rStyle w:val="Rimandonotaapidipagina"/>
          <w:rFonts w:ascii="Times New Roman" w:hAnsi="Times New Roman" w:cs="Times New Roman"/>
          <w:sz w:val="28"/>
          <w:szCs w:val="28"/>
        </w:rPr>
        <w:footnoteReference w:id="324"/>
      </w:r>
      <w:r w:rsidRPr="000248D1">
        <w:rPr>
          <w:rFonts w:ascii="Times New Roman" w:hAnsi="Times New Roman" w:cs="Times New Roman"/>
          <w:sz w:val="28"/>
          <w:szCs w:val="28"/>
        </w:rPr>
        <w:t>.</w:t>
      </w:r>
    </w:p>
    <w:p w14:paraId="74BF16E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 Nel 1947, le costituzioni furono di nuovo esaminate. Le modifiche proposte dal Capitolo generale, riguardavano specialmente l’erezione delle province, il loro governo ed i poteri delle stesse. Nel 1950, le missioni affidate ai Padri Bianchi si dividevano in tre aree: 1) l’Africa del Nord, con le missioni di Cabilia e del Sahara; 2) l’Africa Occidentale, con le missioni di Bamako, Bobo Diulasso, Gao, Kayes, Nuna, Nzérckoré, Uagadugu, Uahiguya, Sikasso, Tamale e Oyo; 3) l’Africa equatoriale e orientale, con le missioni di Uganda, Rwenzori, Masaka, Bukoba.</w:t>
      </w:r>
    </w:p>
    <w:p w14:paraId="25964A19"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Nel 1921, sempre in Africa per garantire conformità al nuovo codice vi furono delle modifiche alle costituzioni (che erano già state approvate nel 1910) dell’istituto religioso maschile dei Missionari Comboniani del Cuore di </w:t>
      </w:r>
      <w:r w:rsidRPr="000248D1">
        <w:rPr>
          <w:rFonts w:ascii="Times New Roman" w:hAnsi="Times New Roman" w:cs="Times New Roman"/>
          <w:sz w:val="28"/>
          <w:szCs w:val="28"/>
        </w:rPr>
        <w:lastRenderedPageBreak/>
        <w:t>Gesù</w:t>
      </w:r>
      <w:r w:rsidRPr="000248D1">
        <w:rPr>
          <w:rStyle w:val="Rimandonotaapidipagina"/>
          <w:rFonts w:ascii="Times New Roman" w:hAnsi="Times New Roman" w:cs="Times New Roman"/>
          <w:sz w:val="28"/>
          <w:szCs w:val="28"/>
        </w:rPr>
        <w:footnoteReference w:id="325"/>
      </w:r>
      <w:r w:rsidRPr="000248D1">
        <w:rPr>
          <w:rFonts w:ascii="Times New Roman" w:hAnsi="Times New Roman" w:cs="Times New Roman"/>
          <w:sz w:val="28"/>
          <w:szCs w:val="28"/>
        </w:rPr>
        <w:t>. I Comboniani vennero fondati da Daniele Comboni (1831-1881), impegnato nella lotta contro la schiavitù, promotore di centri di formazione in Africa e primo vescovo di Khartoum (Sudan).</w:t>
      </w:r>
      <w:r w:rsidRPr="000248D1">
        <w:rPr>
          <w:sz w:val="28"/>
          <w:szCs w:val="28"/>
        </w:rPr>
        <w:t xml:space="preserve"> </w:t>
      </w:r>
      <w:r w:rsidRPr="000248D1">
        <w:rPr>
          <w:rFonts w:ascii="Times New Roman" w:hAnsi="Times New Roman" w:cs="Times New Roman"/>
          <w:sz w:val="28"/>
          <w:szCs w:val="28"/>
        </w:rPr>
        <w:t>La direzione dell'istituto fu affidata ad alcuni sacerdoti gesuiti che aiutarono l'istituto Comboniano a rafforzare la forma di vita consacrata con voti</w:t>
      </w:r>
      <w:r w:rsidRPr="000248D1">
        <w:rPr>
          <w:rStyle w:val="Rimandonotaapidipagina"/>
          <w:rFonts w:ascii="Times New Roman" w:hAnsi="Times New Roman" w:cs="Times New Roman"/>
          <w:sz w:val="28"/>
          <w:szCs w:val="28"/>
        </w:rPr>
        <w:footnoteReference w:id="326"/>
      </w:r>
      <w:r w:rsidRPr="000248D1">
        <w:rPr>
          <w:rFonts w:ascii="Times New Roman" w:hAnsi="Times New Roman" w:cs="Times New Roman"/>
          <w:sz w:val="28"/>
          <w:szCs w:val="28"/>
        </w:rPr>
        <w:t>. Le prime ordinazioni avvennero nel 1887, nel 1895 giunse l'approvazione ufficiale ed il primo capitolo generale della congregazione si tenne nel 1899</w:t>
      </w:r>
      <w:r w:rsidRPr="000248D1">
        <w:rPr>
          <w:rStyle w:val="Rimandonotaapidipagina"/>
          <w:rFonts w:ascii="Times New Roman" w:hAnsi="Times New Roman" w:cs="Times New Roman"/>
          <w:sz w:val="28"/>
          <w:szCs w:val="28"/>
        </w:rPr>
        <w:footnoteReference w:id="327"/>
      </w:r>
      <w:r w:rsidRPr="000248D1">
        <w:rPr>
          <w:rFonts w:ascii="Times New Roman" w:hAnsi="Times New Roman" w:cs="Times New Roman"/>
          <w:sz w:val="28"/>
          <w:szCs w:val="28"/>
        </w:rPr>
        <w:t>. Nel 1910 furono approvate definitivamente le costituzioni nelle quali si stabiliva che lo scopo dell'istituto era la conversione dei popoli dell'Africa centrale e di altri popoli che venivano indicati dalla S.C de Propaganda Fide</w:t>
      </w:r>
      <w:r w:rsidRPr="000248D1">
        <w:rPr>
          <w:rStyle w:val="Rimandonotaapidipagina"/>
          <w:rFonts w:ascii="Times New Roman" w:hAnsi="Times New Roman" w:cs="Times New Roman"/>
          <w:sz w:val="28"/>
          <w:szCs w:val="28"/>
        </w:rPr>
        <w:footnoteReference w:id="328"/>
      </w:r>
      <w:r w:rsidRPr="000248D1">
        <w:rPr>
          <w:rFonts w:ascii="Times New Roman" w:hAnsi="Times New Roman" w:cs="Times New Roman"/>
          <w:sz w:val="28"/>
          <w:szCs w:val="28"/>
        </w:rPr>
        <w:t>.</w:t>
      </w:r>
    </w:p>
    <w:p w14:paraId="0530F2A0"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A causa delle tensioni all'interno dell'istituto, Propaganda Fide, nel 1923 decise di suddividerlo in due congregazioni, di cui una, composta prevalentemente da membri italiani, che mantenne il nome originario, mentre l'altra, con membri in maggioranza di lingua tedesca, prese il nome di Missionari Figli del Sacro Cuore di Gesù. Questa Congregazione religiosa dipendente dalla S. Congregazione di Propaganda conservò le costituzioni e lo scopo tipico dei Comboniani, cioè la conversione degli infedeli, e in particolare degli africani</w:t>
      </w:r>
      <w:r w:rsidRPr="000248D1">
        <w:rPr>
          <w:rStyle w:val="Rimandonotaapidipagina"/>
          <w:rFonts w:ascii="Times New Roman" w:hAnsi="Times New Roman" w:cs="Times New Roman"/>
          <w:sz w:val="28"/>
          <w:szCs w:val="28"/>
        </w:rPr>
        <w:footnoteReference w:id="329"/>
      </w:r>
      <w:r w:rsidRPr="000248D1">
        <w:rPr>
          <w:rFonts w:ascii="Times New Roman" w:hAnsi="Times New Roman" w:cs="Times New Roman"/>
          <w:sz w:val="28"/>
          <w:szCs w:val="28"/>
        </w:rPr>
        <w:t>.</w:t>
      </w:r>
    </w:p>
    <w:p w14:paraId="2CC4060D"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Aveva otto centri religiosi in Germania, Austria, Italia, Jugoslavia. La casa generalizia era a Ellwangen Jagst (Germania). A questa congregazione era affidato il vicariato apostolico di Lydenburg (Transvaal) ed alcuni suoi religiosi lavoravano anche nel Perù</w:t>
      </w:r>
      <w:r w:rsidRPr="000248D1">
        <w:rPr>
          <w:rStyle w:val="Rimandonotaapidipagina"/>
          <w:rFonts w:ascii="Times New Roman" w:hAnsi="Times New Roman" w:cs="Times New Roman"/>
          <w:sz w:val="28"/>
          <w:szCs w:val="28"/>
        </w:rPr>
        <w:footnoteReference w:id="330"/>
      </w:r>
      <w:r w:rsidRPr="000248D1">
        <w:rPr>
          <w:rFonts w:ascii="Times New Roman" w:hAnsi="Times New Roman" w:cs="Times New Roman"/>
          <w:sz w:val="28"/>
          <w:szCs w:val="28"/>
        </w:rPr>
        <w:t>.</w:t>
      </w:r>
    </w:p>
    <w:p w14:paraId="77415917"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2103B414"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lastRenderedPageBreak/>
        <w:t>Inoltre vi erano altre congregazioni femminili di diritto pontificio, tra queste si deve ricordare una congregazione di suore, l’ordine di S. Brigida, nato dal tronco di un antico istituto, ossia l’ordine del S.mo Salvatore e di S. Brigida, che venne fondato tra il 1344 e il 1346 da S. Brigida di Svezia.</w:t>
      </w:r>
      <w:r w:rsidRPr="000248D1">
        <w:rPr>
          <w:sz w:val="28"/>
          <w:szCs w:val="28"/>
        </w:rPr>
        <w:t xml:space="preserve"> </w:t>
      </w:r>
      <w:r w:rsidRPr="000248D1">
        <w:rPr>
          <w:rFonts w:ascii="Times New Roman" w:hAnsi="Times New Roman" w:cs="Times New Roman"/>
          <w:sz w:val="28"/>
          <w:szCs w:val="28"/>
        </w:rPr>
        <w:t xml:space="preserve">Con la riforma luterana del XVI secolo rischiò quasi di scomparire. Difatti rimase solo qualche fondazione, che si trasferì in Francia e in Portogallo. Nel Belgio si ebbero i </w:t>
      </w:r>
      <w:r w:rsidRPr="000248D1">
        <w:rPr>
          <w:rFonts w:ascii="Times New Roman" w:hAnsi="Times New Roman" w:cs="Times New Roman"/>
          <w:i/>
          <w:sz w:val="28"/>
          <w:szCs w:val="28"/>
        </w:rPr>
        <w:t>Fratres novissimi Brigittini</w:t>
      </w:r>
      <w:r w:rsidRPr="000248D1">
        <w:rPr>
          <w:rFonts w:ascii="Times New Roman" w:hAnsi="Times New Roman" w:cs="Times New Roman"/>
          <w:sz w:val="28"/>
          <w:szCs w:val="28"/>
        </w:rPr>
        <w:t xml:space="preserve"> approvati da Gregorio XVI, ed in Spagna Marina d’Escobar verso il 1600 fondò le </w:t>
      </w:r>
      <w:r w:rsidRPr="000248D1">
        <w:rPr>
          <w:rFonts w:ascii="Times New Roman" w:hAnsi="Times New Roman" w:cs="Times New Roman"/>
          <w:i/>
          <w:sz w:val="28"/>
          <w:szCs w:val="28"/>
        </w:rPr>
        <w:t>Brigidine della Recollezione</w:t>
      </w:r>
      <w:r w:rsidRPr="000248D1">
        <w:rPr>
          <w:rStyle w:val="Rimandonotaapidipagina"/>
          <w:rFonts w:ascii="Times New Roman" w:hAnsi="Times New Roman" w:cs="Times New Roman"/>
          <w:i/>
          <w:sz w:val="28"/>
          <w:szCs w:val="28"/>
        </w:rPr>
        <w:footnoteReference w:id="331"/>
      </w:r>
      <w:r w:rsidRPr="000248D1">
        <w:rPr>
          <w:rFonts w:ascii="Times New Roman" w:hAnsi="Times New Roman" w:cs="Times New Roman"/>
          <w:sz w:val="28"/>
          <w:szCs w:val="28"/>
        </w:rPr>
        <w:t>. Lo scopo dell'ordine era la conversione degli scandinavi e di coloro che si erano allontanati dall’unità della Chiesa.</w:t>
      </w:r>
      <w:r w:rsidRPr="000248D1">
        <w:rPr>
          <w:sz w:val="28"/>
          <w:szCs w:val="28"/>
        </w:rPr>
        <w:t xml:space="preserve"> </w:t>
      </w:r>
      <w:r w:rsidRPr="000248D1">
        <w:rPr>
          <w:rFonts w:ascii="Times New Roman" w:hAnsi="Times New Roman" w:cs="Times New Roman"/>
          <w:sz w:val="28"/>
          <w:szCs w:val="28"/>
        </w:rPr>
        <w:t xml:space="preserve">Maria Elisabetta Hesselblad, </w:t>
      </w:r>
      <w:r w:rsidRPr="000248D1">
        <w:rPr>
          <w:rFonts w:ascii="Times New Roman" w:hAnsi="Times New Roman" w:cs="Times New Roman"/>
          <w:sz w:val="28"/>
          <w:szCs w:val="28"/>
          <w:shd w:val="clear" w:color="auto" w:fill="FFFFFF"/>
        </w:rPr>
        <w:t>luterana svedese, convertitasi alla fede cattolica, con il desiderio di ripristinare l'antico Ordine brigidino, nel primo decennio del 1900, visitò quasi tutti i monasteri brigidini allora esistenti, avendo il desiderio di far rivivere il carisma di Santa Brigida, con un ritorno alle origini, adattato ai tempi nuovi, ma con fedeltà alla ricca e consolidata tradizione brigidina</w:t>
      </w:r>
      <w:r w:rsidRPr="000248D1">
        <w:rPr>
          <w:rStyle w:val="Rimandonotaapidipagina"/>
          <w:rFonts w:ascii="Times New Roman" w:hAnsi="Times New Roman" w:cs="Times New Roman"/>
          <w:sz w:val="28"/>
          <w:szCs w:val="28"/>
          <w:shd w:val="clear" w:color="auto" w:fill="FFFFFF"/>
        </w:rPr>
        <w:footnoteReference w:id="332"/>
      </w:r>
      <w:r w:rsidRPr="000248D1">
        <w:rPr>
          <w:rFonts w:ascii="Times New Roman" w:hAnsi="Times New Roman" w:cs="Times New Roman"/>
          <w:sz w:val="28"/>
          <w:szCs w:val="28"/>
          <w:shd w:val="clear" w:color="auto" w:fill="FFFFFF"/>
        </w:rPr>
        <w:t>. Proprio per questo lei creò</w:t>
      </w:r>
      <w:r w:rsidRPr="000248D1">
        <w:rPr>
          <w:rFonts w:ascii="Times New Roman" w:hAnsi="Times New Roman" w:cs="Times New Roman"/>
          <w:sz w:val="28"/>
          <w:szCs w:val="28"/>
        </w:rPr>
        <w:t xml:space="preserve"> a Roma nel 1911  una nuova congregazione di suore che si propagò in Inghilterra, Svezia, Svizzera (Lugano) e India, con il nome di ordine di S. Brigida</w:t>
      </w:r>
      <w:r w:rsidRPr="000248D1">
        <w:rPr>
          <w:rStyle w:val="Rimandonotaapidipagina"/>
          <w:rFonts w:ascii="Times New Roman" w:hAnsi="Times New Roman" w:cs="Times New Roman"/>
          <w:sz w:val="28"/>
          <w:szCs w:val="28"/>
        </w:rPr>
        <w:footnoteReference w:id="333"/>
      </w:r>
      <w:r w:rsidRPr="000248D1">
        <w:rPr>
          <w:rFonts w:ascii="Times New Roman" w:hAnsi="Times New Roman" w:cs="Times New Roman"/>
          <w:sz w:val="28"/>
          <w:szCs w:val="28"/>
        </w:rPr>
        <w:t xml:space="preserve">. </w:t>
      </w:r>
      <w:r w:rsidRPr="000248D1">
        <w:rPr>
          <w:rFonts w:ascii="Times New Roman" w:hAnsi="Times New Roman" w:cs="Times New Roman"/>
          <w:color w:val="333333"/>
          <w:sz w:val="28"/>
          <w:szCs w:val="28"/>
          <w:shd w:val="clear" w:color="auto" w:fill="FFFFFF"/>
        </w:rPr>
        <w:t>La nuova fondazione, che ebbe il suo centro nella casa di Roma, dove S. Brigida visse e morì e si proponeva quale scopo peculiare, oltre la contemplazione e la celebrazione dell’Ufficio divino, secondo la tradizione monastica dell’Ordine, l’accoglienza e l’ospitalità, diretta principalmente a stabilire un contatto con i popoli scandinavi e gli altri fratelli provenienti da altre realtà ecclesiali</w:t>
      </w:r>
      <w:r w:rsidRPr="000248D1">
        <w:rPr>
          <w:rStyle w:val="Rimandonotaapidipagina"/>
          <w:rFonts w:ascii="Times New Roman" w:hAnsi="Times New Roman" w:cs="Times New Roman"/>
          <w:color w:val="333333"/>
          <w:sz w:val="28"/>
          <w:szCs w:val="28"/>
          <w:shd w:val="clear" w:color="auto" w:fill="FFFFFF"/>
        </w:rPr>
        <w:footnoteReference w:id="334"/>
      </w:r>
      <w:r w:rsidRPr="000248D1">
        <w:rPr>
          <w:rFonts w:ascii="Times New Roman" w:hAnsi="Times New Roman" w:cs="Times New Roman"/>
          <w:color w:val="333333"/>
          <w:sz w:val="28"/>
          <w:szCs w:val="28"/>
          <w:shd w:val="clear" w:color="auto" w:fill="FFFFFF"/>
        </w:rPr>
        <w:t xml:space="preserve">. </w:t>
      </w:r>
      <w:r w:rsidRPr="000248D1">
        <w:rPr>
          <w:rFonts w:ascii="Times New Roman" w:hAnsi="Times New Roman" w:cs="Times New Roman"/>
          <w:sz w:val="28"/>
          <w:szCs w:val="28"/>
        </w:rPr>
        <w:t xml:space="preserve">Tale ordine il 7 luglio 1940 ricevette il decreto di lode </w:t>
      </w:r>
      <w:r w:rsidRPr="000248D1">
        <w:rPr>
          <w:rFonts w:ascii="Times New Roman" w:hAnsi="Times New Roman" w:cs="Times New Roman"/>
          <w:sz w:val="28"/>
          <w:szCs w:val="28"/>
        </w:rPr>
        <w:lastRenderedPageBreak/>
        <w:t>e l'approvazione temporanea delle costituzioni. Con rescritto del 12 settembre 1942 passò sotto la giurisdizione della S. C. de Propaganda Fide</w:t>
      </w:r>
      <w:r w:rsidRPr="000248D1">
        <w:rPr>
          <w:rStyle w:val="Rimandonotaapidipagina"/>
          <w:rFonts w:ascii="Times New Roman" w:hAnsi="Times New Roman" w:cs="Times New Roman"/>
          <w:sz w:val="28"/>
          <w:szCs w:val="28"/>
        </w:rPr>
        <w:footnoteReference w:id="335"/>
      </w:r>
      <w:r w:rsidRPr="000248D1">
        <w:rPr>
          <w:rFonts w:ascii="Times New Roman" w:hAnsi="Times New Roman" w:cs="Times New Roman"/>
          <w:sz w:val="28"/>
          <w:szCs w:val="28"/>
        </w:rPr>
        <w:t xml:space="preserve">. </w:t>
      </w:r>
    </w:p>
    <w:p w14:paraId="5FF3CFF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Tra le altre soluzioni adottate da Propaganda fide per garantire il successo dell’apostolato, vi fu la decisione, nel 1921 di cambiare il presidente della la Pia Unione del Clero in Irlanda</w:t>
      </w:r>
      <w:r w:rsidRPr="000248D1">
        <w:rPr>
          <w:rStyle w:val="Rimandonotaapidipagina"/>
          <w:rFonts w:ascii="Times New Roman" w:hAnsi="Times New Roman" w:cs="Times New Roman"/>
          <w:sz w:val="28"/>
          <w:szCs w:val="28"/>
        </w:rPr>
        <w:footnoteReference w:id="336"/>
      </w:r>
      <w:r w:rsidRPr="000248D1">
        <w:rPr>
          <w:rFonts w:ascii="Times New Roman" w:hAnsi="Times New Roman" w:cs="Times New Roman"/>
          <w:sz w:val="28"/>
          <w:szCs w:val="28"/>
        </w:rPr>
        <w:t>. La scelta ricadde su Thomas O’ Doherty, vescovo di Clonfert</w:t>
      </w:r>
      <w:r w:rsidRPr="000248D1">
        <w:rPr>
          <w:rStyle w:val="Rimandonotaapidipagina"/>
          <w:rFonts w:ascii="Times New Roman" w:hAnsi="Times New Roman" w:cs="Times New Roman"/>
          <w:sz w:val="28"/>
          <w:szCs w:val="28"/>
        </w:rPr>
        <w:footnoteReference w:id="337"/>
      </w:r>
      <w:r w:rsidRPr="000248D1">
        <w:rPr>
          <w:rFonts w:ascii="Times New Roman" w:hAnsi="Times New Roman" w:cs="Times New Roman"/>
          <w:sz w:val="28"/>
          <w:szCs w:val="28"/>
        </w:rPr>
        <w:t>.</w:t>
      </w:r>
      <w:r w:rsidRPr="000248D1">
        <w:rPr>
          <w:sz w:val="28"/>
          <w:szCs w:val="28"/>
        </w:rPr>
        <w:t xml:space="preserve"> </w:t>
      </w:r>
      <w:r w:rsidRPr="000248D1">
        <w:rPr>
          <w:rFonts w:ascii="Times New Roman" w:hAnsi="Times New Roman" w:cs="Times New Roman"/>
          <w:sz w:val="28"/>
          <w:szCs w:val="28"/>
        </w:rPr>
        <w:t>Tale diocesi, situata nell’Eire (Irlanda) e suffraganea di Tuara, venne eretta attorno al 550 da S. Brendano, detto il Navigatore, che fondò un monastero e una scuola</w:t>
      </w:r>
      <w:r w:rsidRPr="000248D1">
        <w:rPr>
          <w:rStyle w:val="Rimandonotaapidipagina"/>
          <w:rFonts w:ascii="Times New Roman" w:hAnsi="Times New Roman" w:cs="Times New Roman"/>
          <w:sz w:val="28"/>
          <w:szCs w:val="28"/>
        </w:rPr>
        <w:footnoteReference w:id="338"/>
      </w:r>
      <w:r w:rsidRPr="000248D1">
        <w:rPr>
          <w:rFonts w:ascii="Times New Roman" w:hAnsi="Times New Roman" w:cs="Times New Roman"/>
          <w:sz w:val="28"/>
          <w:szCs w:val="28"/>
        </w:rPr>
        <w:t>. Brendano non era vescovo, ma aveva come suo assistente il vescovo S. Moinenn, che gli successe più tardi. Come tutte le diocesi irlandesi del tempo, anche la diocesi di Clonfert aveva una giurisdizione tribale, precisamente sul clan degli Hy Many, e una struttura monastica: a capo vi era un abate, che dirigeva anche la scuola monastica, ma che non sempre era consacrato vescovo</w:t>
      </w:r>
      <w:r w:rsidRPr="000248D1">
        <w:rPr>
          <w:rStyle w:val="Rimandonotaapidipagina"/>
          <w:rFonts w:ascii="Times New Roman" w:hAnsi="Times New Roman" w:cs="Times New Roman"/>
          <w:sz w:val="28"/>
          <w:szCs w:val="28"/>
        </w:rPr>
        <w:footnoteReference w:id="339"/>
      </w:r>
      <w:r w:rsidRPr="000248D1">
        <w:rPr>
          <w:rFonts w:ascii="Times New Roman" w:hAnsi="Times New Roman" w:cs="Times New Roman"/>
          <w:sz w:val="28"/>
          <w:szCs w:val="28"/>
        </w:rPr>
        <w:t xml:space="preserve">. </w:t>
      </w:r>
    </w:p>
    <w:p w14:paraId="54D960D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La leggenda del viaggio di sette anni di S. Brendano in cerca di una terra promessa fu ampiamente conosciuta nell’Europa medievale. La vecchia cattedrale di Clonfert, fu occupata, nel periodo della Riforma, dai protestanti</w:t>
      </w:r>
      <w:r w:rsidRPr="000248D1">
        <w:rPr>
          <w:rStyle w:val="Rimandonotaapidipagina"/>
          <w:rFonts w:ascii="Times New Roman" w:hAnsi="Times New Roman" w:cs="Times New Roman"/>
          <w:sz w:val="28"/>
          <w:szCs w:val="28"/>
        </w:rPr>
        <w:footnoteReference w:id="340"/>
      </w:r>
      <w:r w:rsidRPr="000248D1">
        <w:rPr>
          <w:rFonts w:ascii="Times New Roman" w:hAnsi="Times New Roman" w:cs="Times New Roman"/>
          <w:sz w:val="28"/>
          <w:szCs w:val="28"/>
        </w:rPr>
        <w:t xml:space="preserve">. </w:t>
      </w:r>
    </w:p>
    <w:p w14:paraId="438BAB38"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Inoltre in Irlanda venne fondata l’Opera Apostolica, che aveva nel territorio irlandese 9 centri diocesani (Clonfert, Dublino, Dromore, Dunkeld, Connor, Kilmore, Limerick, Midden e Rapotena) e la possibilità di usufruire di numerose facoltà ed indulgenze</w:t>
      </w:r>
      <w:r w:rsidRPr="000248D1">
        <w:rPr>
          <w:rStyle w:val="Rimandonotaapidipagina"/>
          <w:rFonts w:ascii="Times New Roman" w:hAnsi="Times New Roman" w:cs="Times New Roman"/>
          <w:sz w:val="28"/>
          <w:szCs w:val="28"/>
        </w:rPr>
        <w:footnoteReference w:id="341"/>
      </w:r>
      <w:r w:rsidRPr="000248D1">
        <w:rPr>
          <w:rFonts w:ascii="Times New Roman" w:hAnsi="Times New Roman" w:cs="Times New Roman"/>
          <w:sz w:val="28"/>
          <w:szCs w:val="28"/>
        </w:rPr>
        <w:t xml:space="preserve">. </w:t>
      </w:r>
    </w:p>
    <w:p w14:paraId="5499DDBA" w14:textId="2F80C7B1" w:rsidR="00140247"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lastRenderedPageBreak/>
        <w:t>Si trattava di un’associazione che nacque in Francia nel 1838 e che si diffuse, grazie al patrocinio di alcune donne (definite le “donne del Vangelo”), come ad esempio Agnes McCauley di Enniskillen, Mary McCall e Mary Nihill (figlia di McCall) di Belfast, che aprirono la strada all'organizzazione e all'espansione del movimento tra il XIX ed il XX secolo in tutta Europa</w:t>
      </w:r>
      <w:r w:rsidRPr="000248D1">
        <w:rPr>
          <w:rStyle w:val="Rimandonotaapidipagina"/>
          <w:rFonts w:ascii="Times New Roman" w:hAnsi="Times New Roman" w:cs="Times New Roman"/>
          <w:sz w:val="28"/>
          <w:szCs w:val="28"/>
        </w:rPr>
        <w:footnoteReference w:id="342"/>
      </w:r>
      <w:r w:rsidRPr="000248D1">
        <w:rPr>
          <w:rFonts w:ascii="Times New Roman" w:hAnsi="Times New Roman" w:cs="Times New Roman"/>
          <w:sz w:val="28"/>
          <w:szCs w:val="28"/>
        </w:rPr>
        <w:t>. Il 24 settembre 1948, a seguito di un convegno, Propaganda sancì il riconoscimento di tale associazione e stabilì che la sede dell’Opera Apostolica in Irlanda dovesse essere Dublino</w:t>
      </w:r>
      <w:r w:rsidRPr="000248D1">
        <w:rPr>
          <w:rStyle w:val="Rimandonotaapidipagina"/>
          <w:rFonts w:ascii="Times New Roman" w:hAnsi="Times New Roman" w:cs="Times New Roman"/>
          <w:sz w:val="28"/>
          <w:szCs w:val="28"/>
        </w:rPr>
        <w:footnoteReference w:id="343"/>
      </w:r>
      <w:r w:rsidRPr="000248D1">
        <w:rPr>
          <w:rFonts w:ascii="Times New Roman" w:hAnsi="Times New Roman" w:cs="Times New Roman"/>
          <w:sz w:val="28"/>
          <w:szCs w:val="28"/>
        </w:rPr>
        <w:t>.</w:t>
      </w:r>
      <w:r w:rsidRPr="000248D1">
        <w:rPr>
          <w:sz w:val="28"/>
          <w:szCs w:val="28"/>
        </w:rPr>
        <w:t xml:space="preserve"> </w:t>
      </w:r>
      <w:r w:rsidRPr="000248D1">
        <w:rPr>
          <w:rFonts w:ascii="Times New Roman" w:hAnsi="Times New Roman" w:cs="Times New Roman"/>
          <w:sz w:val="28"/>
          <w:szCs w:val="28"/>
        </w:rPr>
        <w:t>Il Consiglio generale di tale Opera Apostolica aveva la propria sede nella medesima città ed era composto da moderatori diocesani, ciascuno dei quali veniva nominato da ordinari del luogo</w:t>
      </w:r>
      <w:r w:rsidRPr="000248D1">
        <w:rPr>
          <w:rStyle w:val="Rimandonotaapidipagina"/>
          <w:rFonts w:ascii="Times New Roman" w:hAnsi="Times New Roman" w:cs="Times New Roman"/>
          <w:sz w:val="28"/>
          <w:szCs w:val="28"/>
        </w:rPr>
        <w:footnoteReference w:id="344"/>
      </w:r>
      <w:r w:rsidRPr="000248D1">
        <w:rPr>
          <w:rFonts w:ascii="Times New Roman" w:hAnsi="Times New Roman" w:cs="Times New Roman"/>
          <w:sz w:val="28"/>
          <w:szCs w:val="28"/>
        </w:rPr>
        <w:t>. Tutti i centri diocesani canonicamente stabiliti in Irlanda, o da stabilirsi con il consenso e l'autorità degli ordinari, erano subordinati a tale consiglio. Inoltre il consiglio generale aveva l’obbligo di redigere gli statuti per l’organizzazione dell’attività missionaria e la gestione delle spese, che  dovevano essere approvati da Propaganda fide</w:t>
      </w:r>
      <w:r w:rsidRPr="000248D1">
        <w:rPr>
          <w:rStyle w:val="Rimandonotaapidipagina"/>
          <w:rFonts w:ascii="Times New Roman" w:hAnsi="Times New Roman" w:cs="Times New Roman"/>
          <w:sz w:val="28"/>
          <w:szCs w:val="28"/>
        </w:rPr>
        <w:footnoteReference w:id="345"/>
      </w:r>
      <w:r w:rsidRPr="000248D1">
        <w:rPr>
          <w:rFonts w:ascii="Times New Roman" w:hAnsi="Times New Roman" w:cs="Times New Roman"/>
          <w:sz w:val="28"/>
          <w:szCs w:val="28"/>
        </w:rPr>
        <w:t>.</w:t>
      </w:r>
    </w:p>
    <w:p w14:paraId="7A799A6D" w14:textId="77777777" w:rsidR="00484F9B" w:rsidRPr="000248D1" w:rsidRDefault="00484F9B" w:rsidP="00484F9B">
      <w:pPr>
        <w:spacing w:after="0" w:line="360" w:lineRule="auto"/>
        <w:ind w:left="680" w:right="340"/>
        <w:jc w:val="both"/>
        <w:rPr>
          <w:rFonts w:ascii="Times New Roman" w:hAnsi="Times New Roman" w:cs="Times New Roman"/>
          <w:sz w:val="28"/>
          <w:szCs w:val="28"/>
        </w:rPr>
      </w:pPr>
    </w:p>
    <w:p w14:paraId="491ABB5B"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21927E42" w14:textId="0C25226D" w:rsidR="00140247" w:rsidRPr="00BC1145" w:rsidRDefault="00140247" w:rsidP="00484F9B">
      <w:pPr>
        <w:pStyle w:val="Paragrafoelenco"/>
        <w:numPr>
          <w:ilvl w:val="2"/>
          <w:numId w:val="12"/>
        </w:numPr>
        <w:spacing w:after="0" w:line="360" w:lineRule="auto"/>
        <w:ind w:left="680" w:right="340"/>
        <w:jc w:val="both"/>
        <w:rPr>
          <w:rFonts w:ascii="Times New Roman" w:hAnsi="Times New Roman" w:cs="Times New Roman"/>
          <w:i/>
          <w:sz w:val="28"/>
          <w:szCs w:val="28"/>
        </w:rPr>
      </w:pPr>
      <w:r w:rsidRPr="00BC1145">
        <w:rPr>
          <w:rFonts w:ascii="Times New Roman" w:hAnsi="Times New Roman" w:cs="Times New Roman"/>
          <w:i/>
          <w:sz w:val="28"/>
          <w:szCs w:val="28"/>
        </w:rPr>
        <w:t>Statuto giuridico del personale missionario</w:t>
      </w:r>
    </w:p>
    <w:p w14:paraId="5AFC7310" w14:textId="77777777" w:rsidR="00BC1145" w:rsidRPr="00BC1145" w:rsidRDefault="00BC1145" w:rsidP="00484F9B">
      <w:pPr>
        <w:spacing w:after="0" w:line="360" w:lineRule="auto"/>
        <w:ind w:left="680" w:right="340"/>
        <w:jc w:val="both"/>
        <w:rPr>
          <w:rFonts w:ascii="Times New Roman" w:hAnsi="Times New Roman" w:cs="Times New Roman"/>
          <w:sz w:val="28"/>
          <w:szCs w:val="28"/>
        </w:rPr>
      </w:pPr>
    </w:p>
    <w:p w14:paraId="537169AC" w14:textId="22513B6D"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 Per quanto riguarda invece la gestione del personale nelle missioni, Propaganda Fide si premurò di specificare di volta i ruoli, i doveri e gli organi di riferimento. </w:t>
      </w:r>
    </w:p>
    <w:p w14:paraId="40EFC8C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È necessario chiarire chi fosse il personale di missione. Le diverse missioni avevano a capo o arcivescovi, o vescovi, o vicari apostolici, o prefetti apostolici, e talora anche semplici superiori</w:t>
      </w:r>
      <w:r w:rsidRPr="000248D1">
        <w:rPr>
          <w:rFonts w:ascii="Times New Roman" w:hAnsi="Times New Roman" w:cs="Times New Roman"/>
          <w:sz w:val="28"/>
          <w:szCs w:val="28"/>
          <w:vertAlign w:val="superscript"/>
        </w:rPr>
        <w:footnoteReference w:id="346"/>
      </w:r>
      <w:r w:rsidRPr="000248D1">
        <w:rPr>
          <w:rFonts w:ascii="Times New Roman" w:hAnsi="Times New Roman" w:cs="Times New Roman"/>
          <w:sz w:val="28"/>
          <w:szCs w:val="28"/>
        </w:rPr>
        <w:t xml:space="preserve">. Dove la gerarchia era stabilita, </w:t>
      </w:r>
      <w:r w:rsidRPr="000248D1">
        <w:rPr>
          <w:rFonts w:ascii="Times New Roman" w:hAnsi="Times New Roman" w:cs="Times New Roman"/>
          <w:sz w:val="28"/>
          <w:szCs w:val="28"/>
        </w:rPr>
        <w:lastRenderedPageBreak/>
        <w:t>gli arcivescovi e vescovi avevano lo stesso grado, gli stessi privilegi e poteri, degli altri vescovi.</w:t>
      </w:r>
      <w:r w:rsidRPr="000248D1">
        <w:rPr>
          <w:rFonts w:ascii="Times New Roman" w:hAnsi="Times New Roman" w:cs="Times New Roman"/>
          <w:sz w:val="28"/>
          <w:szCs w:val="28"/>
          <w:vertAlign w:val="superscript"/>
        </w:rPr>
        <w:footnoteReference w:id="347"/>
      </w:r>
      <w:r w:rsidRPr="000248D1">
        <w:rPr>
          <w:rFonts w:ascii="Times New Roman" w:hAnsi="Times New Roman" w:cs="Times New Roman"/>
          <w:sz w:val="28"/>
          <w:szCs w:val="28"/>
        </w:rPr>
        <w:t xml:space="preserve"> Ai semplici superiori venivano riservati i territori in cui le missioni erano ancora agli inizi. I poteri e le attribuzioni di queste singole cariche erano determinati dal CIC, nei cann. 293- 311</w:t>
      </w:r>
      <w:r w:rsidRPr="000248D1">
        <w:rPr>
          <w:rFonts w:ascii="Times New Roman" w:hAnsi="Times New Roman" w:cs="Times New Roman"/>
          <w:sz w:val="28"/>
          <w:szCs w:val="28"/>
          <w:vertAlign w:val="superscript"/>
        </w:rPr>
        <w:footnoteReference w:id="348"/>
      </w:r>
      <w:r w:rsidRPr="000248D1">
        <w:rPr>
          <w:rFonts w:ascii="Times New Roman" w:hAnsi="Times New Roman" w:cs="Times New Roman"/>
          <w:sz w:val="28"/>
          <w:szCs w:val="28"/>
        </w:rPr>
        <w:t>.</w:t>
      </w:r>
    </w:p>
    <w:p w14:paraId="693F7F9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440E5C48"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Nella maggior parte delle missioni lavoravano membri di congregazioni o società missionarie. Questi erano sottomessi all'autorità dei vicari o prefetti in tutto quello che riguardava l'amministrazione ecclesiastica della missione, mentre nel resto dipendevano dai rispettivi superiori religiosi. Le missioni recenti o di importanza secondaria venivano affidate ai prefetti apostolici, mentre quelle che godevano di un’organizzazione già molto sviluppata venivano affidate ai vicari apostolici.</w:t>
      </w:r>
    </w:p>
    <w:p w14:paraId="75F7183C"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La S.C. di Propaganda fide illustrò in un decreto del 1929 il compito dei superiori (potevano essere prefetti o vicari) di missione, ribadendo il loro obbligo principale, ossia portare avanti la missione già iniziata da Gesù, senza perseguire finalità personali ed effimere</w:t>
      </w:r>
      <w:r w:rsidRPr="000248D1">
        <w:rPr>
          <w:rFonts w:ascii="Times New Roman" w:hAnsi="Times New Roman" w:cs="Times New Roman"/>
          <w:sz w:val="28"/>
          <w:szCs w:val="28"/>
          <w:vertAlign w:val="superscript"/>
        </w:rPr>
        <w:footnoteReference w:id="349"/>
      </w:r>
      <w:r w:rsidRPr="000248D1">
        <w:rPr>
          <w:rFonts w:ascii="Times New Roman" w:hAnsi="Times New Roman" w:cs="Times New Roman"/>
          <w:sz w:val="28"/>
          <w:szCs w:val="28"/>
        </w:rPr>
        <w:t>. La realizzazione di tale obiettivo lasciava una certa libertà nell’organizzazione della missione al superiore, ribadendo però la necessità della sua subordinazione a Propaganda fide, soprattutto per le decisioni più importanti, nonché il dovere di essere in armonia con i membri dell’istituto di cui faceva parte</w:t>
      </w:r>
      <w:r w:rsidRPr="000248D1">
        <w:rPr>
          <w:rFonts w:ascii="Times New Roman" w:hAnsi="Times New Roman" w:cs="Times New Roman"/>
          <w:sz w:val="28"/>
          <w:szCs w:val="28"/>
          <w:vertAlign w:val="superscript"/>
        </w:rPr>
        <w:footnoteReference w:id="350"/>
      </w:r>
      <w:r w:rsidRPr="000248D1">
        <w:rPr>
          <w:rFonts w:ascii="Times New Roman" w:hAnsi="Times New Roman" w:cs="Times New Roman"/>
          <w:sz w:val="28"/>
          <w:szCs w:val="28"/>
        </w:rPr>
        <w:t>.</w:t>
      </w:r>
    </w:p>
    <w:p w14:paraId="367739E3"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Inoltre, Propaganda fide in un documento del 1936, ribadì la sottomissione alla superiora delle suore missionarie</w:t>
      </w:r>
      <w:r w:rsidRPr="000248D1">
        <w:rPr>
          <w:rFonts w:ascii="Times New Roman" w:hAnsi="Times New Roman" w:cs="Times New Roman"/>
          <w:sz w:val="28"/>
          <w:szCs w:val="28"/>
          <w:vertAlign w:val="superscript"/>
        </w:rPr>
        <w:footnoteReference w:id="351"/>
      </w:r>
      <w:r w:rsidRPr="000248D1">
        <w:rPr>
          <w:rFonts w:ascii="Times New Roman" w:hAnsi="Times New Roman" w:cs="Times New Roman"/>
          <w:sz w:val="28"/>
          <w:szCs w:val="28"/>
        </w:rPr>
        <w:t>.</w:t>
      </w:r>
    </w:p>
    <w:p w14:paraId="3D17C7CA"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Tale documento fu per Propaganda un’occasione per rimarcare come la gestione degli ordini missionari spettasse ai superiori di missione, che si premuravano di organizzare l’attività missionaria e di decidere </w:t>
      </w:r>
      <w:r w:rsidRPr="000248D1">
        <w:rPr>
          <w:rFonts w:ascii="Times New Roman" w:hAnsi="Times New Roman" w:cs="Times New Roman"/>
          <w:sz w:val="28"/>
          <w:szCs w:val="28"/>
        </w:rPr>
        <w:lastRenderedPageBreak/>
        <w:t>sull’assegnazione dei membri dell’ordine a scuole e seminari</w:t>
      </w:r>
      <w:r w:rsidRPr="000248D1">
        <w:rPr>
          <w:rFonts w:ascii="Times New Roman" w:hAnsi="Times New Roman" w:cs="Times New Roman"/>
          <w:sz w:val="28"/>
          <w:szCs w:val="28"/>
          <w:vertAlign w:val="superscript"/>
        </w:rPr>
        <w:footnoteReference w:id="352"/>
      </w:r>
      <w:r w:rsidRPr="000248D1">
        <w:rPr>
          <w:rFonts w:ascii="Times New Roman" w:hAnsi="Times New Roman" w:cs="Times New Roman"/>
          <w:sz w:val="28"/>
          <w:szCs w:val="28"/>
        </w:rPr>
        <w:t>. È importante ricordare anche che, laddove i membri dei seminari, facenti parte di territori direttamente dipendenti da Propaganda, fossero stati espulsi, non sarebbero potuti essere riammessi</w:t>
      </w:r>
      <w:r w:rsidRPr="000248D1">
        <w:rPr>
          <w:rFonts w:ascii="Times New Roman" w:hAnsi="Times New Roman" w:cs="Times New Roman"/>
          <w:sz w:val="28"/>
          <w:szCs w:val="28"/>
          <w:vertAlign w:val="superscript"/>
        </w:rPr>
        <w:footnoteReference w:id="353"/>
      </w:r>
      <w:r w:rsidRPr="000248D1">
        <w:rPr>
          <w:rFonts w:ascii="Times New Roman" w:hAnsi="Times New Roman" w:cs="Times New Roman"/>
          <w:sz w:val="28"/>
          <w:szCs w:val="28"/>
        </w:rPr>
        <w:t>.</w:t>
      </w:r>
    </w:p>
    <w:p w14:paraId="7C7CB98E" w14:textId="4ADC86D3" w:rsidR="00140247"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Inoltre, tramite il richiamo al can. 611 del Codice del 1917, Propaganda spiegò come i religiosi senza ispezione potessero scrivere alla S. Sede, al legato, al cardinal protettore, ai propri superiori, all’ordinario e al superiore regolare cui erano soggetti e ricevere lettere dai suddetti</w:t>
      </w:r>
      <w:r w:rsidRPr="000248D1">
        <w:rPr>
          <w:rFonts w:ascii="Times New Roman" w:hAnsi="Times New Roman" w:cs="Times New Roman"/>
          <w:sz w:val="28"/>
          <w:szCs w:val="28"/>
          <w:vertAlign w:val="superscript"/>
        </w:rPr>
        <w:footnoteReference w:id="354"/>
      </w:r>
      <w:r w:rsidRPr="000248D1">
        <w:rPr>
          <w:rFonts w:ascii="Times New Roman" w:hAnsi="Times New Roman" w:cs="Times New Roman"/>
          <w:sz w:val="28"/>
          <w:szCs w:val="28"/>
        </w:rPr>
        <w:t>. Infine in caso di contrasto tra l’ordinario del luogo ed il superiore prevaleva il superiore.</w:t>
      </w:r>
    </w:p>
    <w:p w14:paraId="092D36E8" w14:textId="77777777" w:rsidR="00484F9B" w:rsidRPr="000248D1" w:rsidRDefault="00484F9B" w:rsidP="00484F9B">
      <w:pPr>
        <w:spacing w:after="0" w:line="360" w:lineRule="auto"/>
        <w:ind w:left="680" w:right="340"/>
        <w:jc w:val="both"/>
        <w:rPr>
          <w:rFonts w:ascii="Times New Roman" w:hAnsi="Times New Roman" w:cs="Times New Roman"/>
          <w:sz w:val="28"/>
          <w:szCs w:val="28"/>
        </w:rPr>
      </w:pPr>
    </w:p>
    <w:p w14:paraId="3BE59499"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7182789D" w14:textId="479B27B9" w:rsidR="00140247" w:rsidRPr="00484F9B" w:rsidRDefault="00140247" w:rsidP="00484F9B">
      <w:pPr>
        <w:pStyle w:val="Paragrafoelenco"/>
        <w:numPr>
          <w:ilvl w:val="2"/>
          <w:numId w:val="11"/>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Pontificie Opere Missionarie</w:t>
      </w:r>
    </w:p>
    <w:p w14:paraId="264FAE2A" w14:textId="77777777" w:rsidR="00484F9B" w:rsidRPr="000248D1" w:rsidRDefault="00484F9B" w:rsidP="00484F9B">
      <w:pPr>
        <w:pStyle w:val="Paragrafoelenco"/>
        <w:spacing w:after="0" w:line="360" w:lineRule="auto"/>
        <w:ind w:left="680" w:right="340"/>
        <w:jc w:val="both"/>
        <w:rPr>
          <w:rFonts w:ascii="Times New Roman" w:hAnsi="Times New Roman" w:cs="Times New Roman"/>
          <w:sz w:val="28"/>
          <w:szCs w:val="28"/>
        </w:rPr>
      </w:pPr>
    </w:p>
    <w:p w14:paraId="58CCEE30"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Le Pontificie Opere Missionarie nacquero in Francia nel XIX secolo. Queste erano pie associazioni di fedeli, nate con lo scopo di aiutare le missioni attraverso la preghiera e l’offerta e i cui membri, a norma degli statuti, dovevano essere regolarmente iscritti, e rispettare le condizioni stabilite per godere dei diritti e indulti concessi (cf. cann. 684-99)</w:t>
      </w:r>
      <w:r w:rsidRPr="000248D1">
        <w:rPr>
          <w:rStyle w:val="Rimandonotaapidipagina"/>
          <w:rFonts w:ascii="Times New Roman" w:hAnsi="Times New Roman" w:cs="Times New Roman"/>
          <w:sz w:val="28"/>
          <w:szCs w:val="28"/>
        </w:rPr>
        <w:footnoteReference w:id="355"/>
      </w:r>
      <w:r w:rsidRPr="000248D1">
        <w:rPr>
          <w:rFonts w:ascii="Times New Roman" w:hAnsi="Times New Roman" w:cs="Times New Roman"/>
          <w:sz w:val="28"/>
          <w:szCs w:val="28"/>
        </w:rPr>
        <w:t xml:space="preserve">. </w:t>
      </w:r>
    </w:p>
    <w:p w14:paraId="0413D62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Le Pontificie Opere Missionarie erano costituite da: la Pontificia Opera della Propagazione della Fede, la Pontificia Opera di S. Pietro Apostolo per il clero indigeno e la Pontificia Opera della S. Infanzia. A queste si poteva aggiungere la Pia Associazione delle donne e ragazze cattoliche per le missioni. L’Unione missionaria del clero, pur non essendo pontificia (nel 1956 divenne </w:t>
      </w:r>
      <w:r w:rsidRPr="000248D1">
        <w:rPr>
          <w:rFonts w:ascii="Times New Roman" w:hAnsi="Times New Roman" w:cs="Times New Roman"/>
          <w:sz w:val="28"/>
          <w:szCs w:val="28"/>
        </w:rPr>
        <w:lastRenderedPageBreak/>
        <w:t>pontificia), per il suo scopo era intimamente legata alle prime tre opere indicate</w:t>
      </w:r>
      <w:r w:rsidRPr="000248D1">
        <w:rPr>
          <w:rStyle w:val="Rimandonotaapidipagina"/>
          <w:rFonts w:ascii="Times New Roman" w:hAnsi="Times New Roman" w:cs="Times New Roman"/>
          <w:sz w:val="28"/>
          <w:szCs w:val="28"/>
        </w:rPr>
        <w:footnoteReference w:id="356"/>
      </w:r>
      <w:r w:rsidRPr="000248D1">
        <w:rPr>
          <w:rFonts w:ascii="Times New Roman" w:hAnsi="Times New Roman" w:cs="Times New Roman"/>
          <w:sz w:val="28"/>
          <w:szCs w:val="28"/>
        </w:rPr>
        <w:t>.</w:t>
      </w:r>
    </w:p>
    <w:p w14:paraId="2B3ED66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L’obiettivo comune e principale delle Pontificie Opere Missionarie era quello di promuovere lo spirito missionario universale nel popolo di Dio. A tal fine si impegnarono ad informare sulla vita e sui bisogni della missione universale, stimolare le Chiese a pregare l'una per l'altra e si adoperarono per promuovere lo scambio reciproco di personale e mezzi materiali</w:t>
      </w:r>
      <w:r w:rsidRPr="000248D1">
        <w:rPr>
          <w:rStyle w:val="Rimandonotaapidipagina"/>
          <w:rFonts w:ascii="Times New Roman" w:hAnsi="Times New Roman" w:cs="Times New Roman"/>
          <w:sz w:val="28"/>
          <w:szCs w:val="28"/>
        </w:rPr>
        <w:footnoteReference w:id="357"/>
      </w:r>
      <w:r w:rsidRPr="000248D1">
        <w:rPr>
          <w:rFonts w:ascii="Times New Roman" w:hAnsi="Times New Roman" w:cs="Times New Roman"/>
          <w:sz w:val="28"/>
          <w:szCs w:val="28"/>
        </w:rPr>
        <w:t>. Tali Opere agivano come un mezzo di comunicazione privilegiato tra le Chiese. Difatti si configuravano come delle agenzie gestite dalla Chiesa cattolica, che avevano l’obbligo di riferire informazioni direttamente alla Santa Sede. È necessario analizzare singolarmente questi 4 organi, concentrandosi anche sull’influenza di istituti terzi come nel caso delle Missioni Estere.</w:t>
      </w:r>
    </w:p>
    <w:p w14:paraId="1B530440"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Paolina Jaricot, al principio, concepì l’Opera della Propagazione della Fede, come un mezzo di riparazione nazionale della Francia e successivamente con l’obiettivo di aiutare le missioni tramite la preghiera e le offerte. Da varie parti del mondo e specialmente dagli Stati Uniti si sollecitava l’erezione di opere in favore di determinate missioni. Il signor Benoît Coste, agente di cambio e prefetto </w:t>
      </w:r>
      <w:r w:rsidRPr="000248D1">
        <w:rPr>
          <w:rFonts w:ascii="Times New Roman" w:hAnsi="Times New Roman" w:cs="Times New Roman"/>
          <w:i/>
          <w:sz w:val="28"/>
          <w:szCs w:val="28"/>
        </w:rPr>
        <w:t>pro tempore</w:t>
      </w:r>
      <w:r w:rsidRPr="000248D1">
        <w:rPr>
          <w:rFonts w:ascii="Times New Roman" w:hAnsi="Times New Roman" w:cs="Times New Roman"/>
          <w:sz w:val="28"/>
          <w:szCs w:val="28"/>
        </w:rPr>
        <w:t xml:space="preserve"> della Congregazione laicale delle Missioni Estere di Parigi, al quale si rivolgevano le richieste, consigliava piuttosto l’erezione di una sola associazione in favore di tutte le missioni cattoliche. Philéas, fratello della Jaricot, sebbene membro della Congregazione, ed aiutato dal sacerdote Rondot, non riuscì a superare la resistenza del Coste e allora si rivolse alla sorella.</w:t>
      </w:r>
    </w:p>
    <w:p w14:paraId="5AD6BA0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Nel 1817 il Seminario delle Missioni Estere aveva pubblicato un opuscolo sull’associazione di preghiere in favore degli stabilimenti destinati a propagare la fede. L’associazione fu approvata con l’indulto pontificio del 30 novembre 1817. Nel 1818 la Jaricot cominciò a reclutare membri per </w:t>
      </w:r>
      <w:r w:rsidRPr="000248D1">
        <w:rPr>
          <w:rFonts w:ascii="Times New Roman" w:hAnsi="Times New Roman" w:cs="Times New Roman"/>
          <w:sz w:val="28"/>
          <w:szCs w:val="28"/>
        </w:rPr>
        <w:lastRenderedPageBreak/>
        <w:t>l’associazione. Mancava però ogni garanzia per l'avvenire e Philéas riportò alla sorella le preoccupazioni dei missionari per le mancanze dell’Associazione. Nell’ottobre 1819 Phileàs entrò nel seminario minore dell’Argentière (Parigi) per studiare filosofia e continuò ad essere il vincolo di unione tra la sorella e il seminario delle Missioni Estere di Parigi, pregando la sorella di organizzare la colletta su di un piano permanente e automatico. Nel 1819 Jaricot elaborò il piano definitivo dell'Opera della Propagazione della Fede. Al principio del 1820 il piano fu approvato dal suo confessore e messo subito in esecuzione a Lione e vicinanze.  Successivamente vi fu un’adunanza, il cui scopo era conciliare i diversi punti di vista circa le Opere in favore delle missioni e stabilire se conveniva istituire varie associazioni per diverse missioni oppure una sola per tutte. Questa era l’idea del Coste, il quale propose che fosse dato carattere di universalità all'opera della Jaricot. La proposta piacque e subito fu istituito il Consiglio provvisorio della Società della Propagazione della Fede e accettato il piano della Jaricot.</w:t>
      </w:r>
    </w:p>
    <w:p w14:paraId="7AAA9F63"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Questo fece sì che attorno a lei si radunassero ragazze lavoratrici, provenienti delle fabbriche di famiglia, e formassero un'Associazione Spirituale detta delle «Riparatrici». Nacque così un’azione di gruppo con 10 persone, ognuna delle quali si impegnava a trovare altre dieci persone che pregassero e donassero settimanalmente un soldo per le missioni. L’idea piacque, tanto che il progetto si estese a macchia d’olio: è così che l’«Associazione della Propagazione della Fede» ebbe la sua fondazione ufficiale, il 3 maggio 1822</w:t>
      </w:r>
      <w:r w:rsidRPr="000248D1">
        <w:rPr>
          <w:rStyle w:val="Rimandonotaapidipagina"/>
          <w:rFonts w:ascii="Times New Roman" w:hAnsi="Times New Roman" w:cs="Times New Roman"/>
          <w:sz w:val="28"/>
          <w:szCs w:val="28"/>
        </w:rPr>
        <w:footnoteReference w:id="358"/>
      </w:r>
      <w:r w:rsidRPr="000248D1">
        <w:rPr>
          <w:rFonts w:ascii="Times New Roman" w:hAnsi="Times New Roman" w:cs="Times New Roman"/>
          <w:sz w:val="28"/>
          <w:szCs w:val="28"/>
        </w:rPr>
        <w:t xml:space="preserve">. L’opera si estese subito in Francia. Il </w:t>
      </w:r>
      <w:r w:rsidRPr="000248D1">
        <w:rPr>
          <w:rFonts w:ascii="Times New Roman" w:hAnsi="Times New Roman" w:cs="Times New Roman"/>
          <w:i/>
          <w:sz w:val="28"/>
          <w:szCs w:val="28"/>
        </w:rPr>
        <w:t>motu proprio Romanorum Pontificum</w:t>
      </w:r>
      <w:r w:rsidRPr="000248D1">
        <w:rPr>
          <w:rFonts w:ascii="Times New Roman" w:hAnsi="Times New Roman" w:cs="Times New Roman"/>
          <w:sz w:val="28"/>
          <w:szCs w:val="28"/>
        </w:rPr>
        <w:t xml:space="preserve"> (3 maggio 1922) trasferì la sede centrale dell’Opera a Roma e le diede nuovi statuti, secondo i quali dal Consiglio superiore generale di Roma dipendevano i Consigli nazionali e da questi i Comitati diocesani e le Commissioni parrocchiali. Dal Consiglio superiore generale dipendeva </w:t>
      </w:r>
      <w:r w:rsidRPr="000248D1">
        <w:rPr>
          <w:rFonts w:ascii="Times New Roman" w:hAnsi="Times New Roman" w:cs="Times New Roman"/>
          <w:sz w:val="28"/>
          <w:szCs w:val="28"/>
        </w:rPr>
        <w:lastRenderedPageBreak/>
        <w:t>l'Agenzia Internazionale Fides. I membri di tale ordine potevano godere di facoltà ed indulgenze, purché rispettassero i propri obblighi, ovvero evangelizzare specifici territori di missione e rispettare un iter predeterminato sulle preghiere quotidiane</w:t>
      </w:r>
      <w:r w:rsidRPr="000248D1">
        <w:rPr>
          <w:rStyle w:val="Rimandonotaapidipagina"/>
          <w:rFonts w:ascii="Times New Roman" w:hAnsi="Times New Roman" w:cs="Times New Roman"/>
          <w:sz w:val="28"/>
          <w:szCs w:val="28"/>
        </w:rPr>
        <w:footnoteReference w:id="359"/>
      </w:r>
      <w:r w:rsidRPr="000248D1">
        <w:rPr>
          <w:rFonts w:ascii="Times New Roman" w:hAnsi="Times New Roman" w:cs="Times New Roman"/>
          <w:sz w:val="28"/>
          <w:szCs w:val="28"/>
        </w:rPr>
        <w:t>. Inoltre, Propaganda, spiegò all’interno di un’</w:t>
      </w:r>
      <w:r w:rsidRPr="000248D1">
        <w:rPr>
          <w:rFonts w:ascii="Times New Roman" w:hAnsi="Times New Roman" w:cs="Times New Roman"/>
          <w:i/>
          <w:sz w:val="28"/>
          <w:szCs w:val="28"/>
        </w:rPr>
        <w:t>epistola</w:t>
      </w:r>
      <w:r w:rsidRPr="000248D1">
        <w:rPr>
          <w:rFonts w:ascii="Times New Roman" w:hAnsi="Times New Roman" w:cs="Times New Roman"/>
          <w:sz w:val="28"/>
          <w:szCs w:val="28"/>
        </w:rPr>
        <w:t xml:space="preserve"> del 1937 il funzionamento del meccanismo dei sussidi all’interno di tale Opera. Difatti, ribadì che la distribuzione delle sovvenzioni doveva considerare una serie di elementi, ovvero, lo stato patrimoniale di ciascuna missione, le offerte ricevute da altri, il numero dei missionari, i vantaggi in termini di progressione dell’apostolato e la presenza sul territorio di opere già realizzate o ancora da realizzare</w:t>
      </w:r>
      <w:r w:rsidRPr="000248D1">
        <w:rPr>
          <w:rStyle w:val="Rimandonotaapidipagina"/>
          <w:rFonts w:ascii="Times New Roman" w:hAnsi="Times New Roman" w:cs="Times New Roman"/>
          <w:sz w:val="28"/>
          <w:szCs w:val="28"/>
        </w:rPr>
        <w:footnoteReference w:id="360"/>
      </w:r>
      <w:r w:rsidRPr="000248D1">
        <w:rPr>
          <w:rFonts w:ascii="Times New Roman" w:hAnsi="Times New Roman" w:cs="Times New Roman"/>
          <w:sz w:val="28"/>
          <w:szCs w:val="28"/>
        </w:rPr>
        <w:t>. Inoltre i fedeli venivano spinti a fornire aiuti alle missioni, che sarebbero stati utilizzati in maniera graduale e programmata ed investiti non solo nella realizzazione di opere, ma anche nella formazione dei religiosi. Tale istituto era molto utile non solo per propagare la fede ma anche per conservarla tra i fedeli</w:t>
      </w:r>
      <w:r w:rsidRPr="000248D1">
        <w:rPr>
          <w:rStyle w:val="Rimandonotaapidipagina"/>
          <w:rFonts w:ascii="Times New Roman" w:hAnsi="Times New Roman" w:cs="Times New Roman"/>
          <w:sz w:val="28"/>
          <w:szCs w:val="28"/>
        </w:rPr>
        <w:footnoteReference w:id="361"/>
      </w:r>
      <w:r w:rsidRPr="000248D1">
        <w:rPr>
          <w:rFonts w:ascii="Times New Roman" w:hAnsi="Times New Roman" w:cs="Times New Roman"/>
          <w:sz w:val="28"/>
          <w:szCs w:val="28"/>
        </w:rPr>
        <w:t xml:space="preserve">. Infine all’interno di tale documento si sancì l’obbligo di comunicare all’agenzia </w:t>
      </w:r>
      <w:r w:rsidRPr="000248D1">
        <w:rPr>
          <w:rFonts w:ascii="Times New Roman" w:hAnsi="Times New Roman" w:cs="Times New Roman"/>
          <w:i/>
          <w:sz w:val="28"/>
          <w:szCs w:val="28"/>
        </w:rPr>
        <w:t>Fides</w:t>
      </w:r>
      <w:r w:rsidRPr="000248D1">
        <w:rPr>
          <w:rFonts w:ascii="Times New Roman" w:hAnsi="Times New Roman" w:cs="Times New Roman"/>
          <w:sz w:val="28"/>
          <w:szCs w:val="28"/>
        </w:rPr>
        <w:t xml:space="preserve"> problematiche riguardanti l'edificazione di comunità di fedeli e il rafforzamento dello spirito di carità all’interno delle missioni</w:t>
      </w:r>
      <w:r w:rsidRPr="000248D1">
        <w:rPr>
          <w:rStyle w:val="Rimandonotaapidipagina"/>
          <w:rFonts w:ascii="Times New Roman" w:hAnsi="Times New Roman" w:cs="Times New Roman"/>
          <w:sz w:val="28"/>
          <w:szCs w:val="28"/>
        </w:rPr>
        <w:footnoteReference w:id="362"/>
      </w:r>
      <w:r w:rsidRPr="000248D1">
        <w:rPr>
          <w:rFonts w:ascii="Times New Roman" w:hAnsi="Times New Roman" w:cs="Times New Roman"/>
          <w:sz w:val="28"/>
          <w:szCs w:val="28"/>
        </w:rPr>
        <w:t>.</w:t>
      </w:r>
    </w:p>
    <w:p w14:paraId="3F621357"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Difatti, Propaganda nel 1927 aveva approvato la creazione di questa agenzia con lo scopo di raccogliere informazioni sulle missioni da comunicare ai Consigli Nazionali, che se ne sarebbero serviti per il lavoro di propaganda nei loro paesi, per la compilazione di annali e di articoli da pubblicare sui giornali (di questi ultimi Propaganda aveva ribadito la sua assenza di un eventuale responsabilità)</w:t>
      </w:r>
      <w:r w:rsidRPr="000248D1">
        <w:rPr>
          <w:rStyle w:val="Rimandonotaapidipagina"/>
          <w:rFonts w:ascii="Times New Roman" w:hAnsi="Times New Roman" w:cs="Times New Roman"/>
          <w:sz w:val="28"/>
          <w:szCs w:val="28"/>
        </w:rPr>
        <w:footnoteReference w:id="363"/>
      </w:r>
      <w:r w:rsidRPr="000248D1">
        <w:rPr>
          <w:rFonts w:ascii="Times New Roman" w:hAnsi="Times New Roman" w:cs="Times New Roman"/>
          <w:sz w:val="28"/>
          <w:szCs w:val="28"/>
        </w:rPr>
        <w:t>.</w:t>
      </w:r>
    </w:p>
    <w:p w14:paraId="23D20E0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lastRenderedPageBreak/>
        <w:t xml:space="preserve">Uno dei principali obiettivi di Propaganda era la formazione dei religiosi per poter diffondere il più possibile l’apostolato in sintonia con la cultura e le istituzioni dei paesi di provenienza. </w:t>
      </w:r>
    </w:p>
    <w:p w14:paraId="4C6FF289"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Proprio per questo favorì la nascita del Pontificio istituto delle Missioni Estere, che dedicava una grande attenzione all’opera di evangelizzazione</w:t>
      </w:r>
      <w:r w:rsidRPr="000248D1">
        <w:rPr>
          <w:rStyle w:val="Rimandonotaapidipagina"/>
          <w:rFonts w:ascii="Times New Roman" w:hAnsi="Times New Roman" w:cs="Times New Roman"/>
          <w:sz w:val="28"/>
          <w:szCs w:val="28"/>
        </w:rPr>
        <w:footnoteReference w:id="364"/>
      </w:r>
      <w:r w:rsidRPr="000248D1">
        <w:rPr>
          <w:rFonts w:ascii="Times New Roman" w:hAnsi="Times New Roman" w:cs="Times New Roman"/>
          <w:sz w:val="28"/>
          <w:szCs w:val="28"/>
        </w:rPr>
        <w:t>. L’istituto pontificio delle Missioni Estere, nacque dall’unione, avvenuta nel 1926, dell’istituto delle Missioni Estere di Milano, sorto nel 1850, per volere di Pio XI e per l’iniziativa collettiva dei vescovi della provincia lombarda, con il seminario dei SS. Apostoli Pietro e Paolo per le Missioni Estere, sorto a Roma nel 1874 per merito del sacerdote Pietro Avanzini</w:t>
      </w:r>
      <w:r w:rsidRPr="000248D1">
        <w:rPr>
          <w:rStyle w:val="Rimandonotaapidipagina"/>
          <w:rFonts w:ascii="Times New Roman" w:hAnsi="Times New Roman" w:cs="Times New Roman"/>
          <w:sz w:val="28"/>
          <w:szCs w:val="28"/>
        </w:rPr>
        <w:footnoteReference w:id="365"/>
      </w:r>
      <w:r w:rsidRPr="000248D1">
        <w:rPr>
          <w:rFonts w:ascii="Times New Roman" w:hAnsi="Times New Roman" w:cs="Times New Roman"/>
          <w:sz w:val="28"/>
          <w:szCs w:val="28"/>
        </w:rPr>
        <w:t>. Tale istituto nacque inizialmente come un’istituzione provinciale, pur alla totale dipendenza e disposizione della S. Sede, per mezzo della Congregazione de Propaganda Fide</w:t>
      </w:r>
      <w:r w:rsidRPr="000248D1">
        <w:rPr>
          <w:rStyle w:val="Rimandonotaapidipagina"/>
          <w:rFonts w:ascii="Times New Roman" w:hAnsi="Times New Roman" w:cs="Times New Roman"/>
          <w:sz w:val="28"/>
          <w:szCs w:val="28"/>
        </w:rPr>
        <w:footnoteReference w:id="366"/>
      </w:r>
      <w:r w:rsidRPr="000248D1">
        <w:rPr>
          <w:rFonts w:ascii="Times New Roman" w:hAnsi="Times New Roman" w:cs="Times New Roman"/>
          <w:sz w:val="28"/>
          <w:szCs w:val="28"/>
        </w:rPr>
        <w:t>. Si trattava di un’istituzione canonica  non religiosa, ma secolare, in forma, però, di società legata con vincolo permanente di unità e di attività, espresso prima con la «promessa formale» e, dal 1924, con il giuramento</w:t>
      </w:r>
      <w:r w:rsidRPr="000248D1">
        <w:rPr>
          <w:rStyle w:val="Rimandonotaapidipagina"/>
          <w:rFonts w:ascii="Times New Roman" w:hAnsi="Times New Roman" w:cs="Times New Roman"/>
          <w:sz w:val="28"/>
          <w:szCs w:val="28"/>
        </w:rPr>
        <w:footnoteReference w:id="367"/>
      </w:r>
      <w:r w:rsidRPr="000248D1">
        <w:rPr>
          <w:rFonts w:ascii="Times New Roman" w:hAnsi="Times New Roman" w:cs="Times New Roman"/>
          <w:sz w:val="28"/>
          <w:szCs w:val="28"/>
        </w:rPr>
        <w:t>.</w:t>
      </w:r>
    </w:p>
    <w:p w14:paraId="0CE8B593"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L’istituto ricevette una prima missione, poi ceduta dai padri maristi, nella Micronesia e Melanesia (1852-55).</w:t>
      </w:r>
      <w:r w:rsidRPr="000248D1">
        <w:rPr>
          <w:sz w:val="28"/>
          <w:szCs w:val="28"/>
        </w:rPr>
        <w:t xml:space="preserve"> </w:t>
      </w:r>
      <w:r w:rsidRPr="000248D1">
        <w:rPr>
          <w:rFonts w:ascii="Times New Roman" w:hAnsi="Times New Roman" w:cs="Times New Roman"/>
          <w:sz w:val="28"/>
          <w:szCs w:val="28"/>
        </w:rPr>
        <w:t>Nel 1911 cominciò l’apertura di case per le vocazioni di studenti del ginnasio e del liceo: Monza, Genova, centro di vocazioni missionarie per il meridione d’Italia</w:t>
      </w:r>
      <w:r w:rsidRPr="000248D1">
        <w:rPr>
          <w:rStyle w:val="Rimandonotaapidipagina"/>
          <w:rFonts w:ascii="Times New Roman" w:hAnsi="Times New Roman" w:cs="Times New Roman"/>
          <w:sz w:val="28"/>
          <w:szCs w:val="28"/>
        </w:rPr>
        <w:footnoteReference w:id="368"/>
      </w:r>
      <w:r w:rsidRPr="000248D1">
        <w:rPr>
          <w:rFonts w:ascii="Times New Roman" w:hAnsi="Times New Roman" w:cs="Times New Roman"/>
          <w:sz w:val="28"/>
          <w:szCs w:val="28"/>
        </w:rPr>
        <w:t>. Dopo l’unione dell’istituto di Milano con quello di Roma, l’area dell’apostolato del nuovo istituto si estese ad un’altra provincia della Cina, lo Shensi</w:t>
      </w:r>
      <w:r w:rsidRPr="000248D1">
        <w:rPr>
          <w:rStyle w:val="Rimandonotaapidipagina"/>
          <w:rFonts w:ascii="Times New Roman" w:hAnsi="Times New Roman" w:cs="Times New Roman"/>
          <w:sz w:val="28"/>
          <w:szCs w:val="28"/>
        </w:rPr>
        <w:footnoteReference w:id="369"/>
      </w:r>
      <w:r w:rsidRPr="000248D1">
        <w:rPr>
          <w:rFonts w:ascii="Times New Roman" w:hAnsi="Times New Roman" w:cs="Times New Roman"/>
          <w:sz w:val="28"/>
          <w:szCs w:val="28"/>
        </w:rPr>
        <w:t xml:space="preserve">. Infine un grande merito dell’istituto fu quello di condurre una propaganda intensa a favore delle </w:t>
      </w:r>
      <w:r w:rsidRPr="000248D1">
        <w:rPr>
          <w:rFonts w:ascii="Times New Roman" w:hAnsi="Times New Roman" w:cs="Times New Roman"/>
          <w:sz w:val="28"/>
          <w:szCs w:val="28"/>
        </w:rPr>
        <w:lastRenderedPageBreak/>
        <w:t>missioni in Italia, a cominciare fin dai primissimi anni, con la diffusione di stampa missionaria (inizialmente con “relazioni dei missionari d’Oceania”) e poi dal 1872 regolarmente con “le missioni cattoliche”. Si trattava di un opera  che fu sviluppata in modo particolare dal  Paolo Manna, con numerose pubblicazioni periodiche o occasionali e un impulso ancora maggiore fu dato al movimento missionario con l’istituzione della Unione Missionaria del Clero, che fece il primo tentativo di portare in Italia una rivista culturale sulle missioni, ossia “ la rivista di studi missionari” (1919-22)</w:t>
      </w:r>
      <w:r w:rsidRPr="000248D1">
        <w:rPr>
          <w:rStyle w:val="Rimandonotaapidipagina"/>
          <w:rFonts w:ascii="Times New Roman" w:hAnsi="Times New Roman" w:cs="Times New Roman"/>
          <w:sz w:val="28"/>
          <w:szCs w:val="28"/>
        </w:rPr>
        <w:footnoteReference w:id="370"/>
      </w:r>
      <w:r w:rsidRPr="000248D1">
        <w:rPr>
          <w:rFonts w:ascii="Times New Roman" w:hAnsi="Times New Roman" w:cs="Times New Roman"/>
          <w:sz w:val="28"/>
          <w:szCs w:val="28"/>
        </w:rPr>
        <w:t>.</w:t>
      </w:r>
    </w:p>
    <w:p w14:paraId="0EBA484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Tra gli altri organi all’interno delle Pontificie Opere Missionarie vi era l’Opera Pontificia di S. Pietro Apostolo per il clero indigeno, che iniziò a formarsi nel 1889, quando in Giappone fu inaugurata una politica di tolleranza religiosa</w:t>
      </w:r>
      <w:r w:rsidRPr="000248D1">
        <w:rPr>
          <w:rStyle w:val="Rimandonotaapidipagina"/>
          <w:rFonts w:ascii="Times New Roman" w:hAnsi="Times New Roman" w:cs="Times New Roman"/>
          <w:sz w:val="28"/>
          <w:szCs w:val="28"/>
        </w:rPr>
        <w:footnoteReference w:id="371"/>
      </w:r>
      <w:r w:rsidRPr="000248D1">
        <w:rPr>
          <w:rFonts w:ascii="Times New Roman" w:hAnsi="Times New Roman" w:cs="Times New Roman"/>
          <w:sz w:val="28"/>
          <w:szCs w:val="28"/>
        </w:rPr>
        <w:t>. I pochi cristiani, rimasti attraverso secoli di persecuzioni e pericoli, costituivano una piccola, ma promettente comunità</w:t>
      </w:r>
      <w:r w:rsidRPr="000248D1">
        <w:rPr>
          <w:rStyle w:val="Rimandonotaapidipagina"/>
          <w:rFonts w:ascii="Times New Roman" w:hAnsi="Times New Roman" w:cs="Times New Roman"/>
          <w:sz w:val="28"/>
          <w:szCs w:val="28"/>
        </w:rPr>
        <w:footnoteReference w:id="372"/>
      </w:r>
      <w:r w:rsidRPr="000248D1">
        <w:rPr>
          <w:rFonts w:ascii="Times New Roman" w:hAnsi="Times New Roman" w:cs="Times New Roman"/>
          <w:sz w:val="28"/>
          <w:szCs w:val="28"/>
        </w:rPr>
        <w:t>. Il vicario apostolico di Nagasaki, comprese subito la necessità di formare un clero indigeno</w:t>
      </w:r>
      <w:r w:rsidRPr="000248D1">
        <w:rPr>
          <w:rStyle w:val="Rimandonotaapidipagina"/>
          <w:rFonts w:ascii="Times New Roman" w:hAnsi="Times New Roman" w:cs="Times New Roman"/>
          <w:sz w:val="28"/>
          <w:szCs w:val="28"/>
        </w:rPr>
        <w:footnoteReference w:id="373"/>
      </w:r>
      <w:r w:rsidRPr="000248D1">
        <w:rPr>
          <w:rFonts w:ascii="Times New Roman" w:hAnsi="Times New Roman" w:cs="Times New Roman"/>
          <w:sz w:val="28"/>
          <w:szCs w:val="28"/>
        </w:rPr>
        <w:t>. Le vocazioni non mancavano, ma difettavano i mezzi. Questi quindi scrisse, il 1 giugno 1889, alla signora Stefania Cottin, vedova Bigard, e alla figlia Giovanna Alessandrina Bigard per chiedere aiuti in favore del seminario. Le Bigard decisero subito di mendicare di porta in porta e consacrarono la loro attività all’Opera del Clero indigeno</w:t>
      </w:r>
      <w:r w:rsidRPr="000248D1">
        <w:rPr>
          <w:rStyle w:val="Rimandonotaapidipagina"/>
          <w:rFonts w:ascii="Times New Roman" w:hAnsi="Times New Roman" w:cs="Times New Roman"/>
          <w:sz w:val="28"/>
          <w:szCs w:val="28"/>
        </w:rPr>
        <w:footnoteReference w:id="374"/>
      </w:r>
      <w:r w:rsidRPr="000248D1">
        <w:rPr>
          <w:rFonts w:ascii="Times New Roman" w:hAnsi="Times New Roman" w:cs="Times New Roman"/>
          <w:sz w:val="28"/>
          <w:szCs w:val="28"/>
        </w:rPr>
        <w:t>.</w:t>
      </w:r>
    </w:p>
    <w:p w14:paraId="23116318"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L’enciclica di Leone XIII del 24 giugno 1893 </w:t>
      </w:r>
      <w:r w:rsidRPr="000248D1">
        <w:rPr>
          <w:rFonts w:ascii="Times New Roman" w:hAnsi="Times New Roman" w:cs="Times New Roman"/>
          <w:i/>
          <w:sz w:val="28"/>
          <w:szCs w:val="28"/>
        </w:rPr>
        <w:t>Ad extremas Orientis oras</w:t>
      </w:r>
      <w:r w:rsidRPr="000248D1">
        <w:rPr>
          <w:rFonts w:ascii="Times New Roman" w:hAnsi="Times New Roman" w:cs="Times New Roman"/>
          <w:sz w:val="28"/>
          <w:szCs w:val="28"/>
        </w:rPr>
        <w:t xml:space="preserve"> sui seminari dell’India dissipò subito molti dubbi e dette alla nuova Opera un’approvazione indiretta. Più tardi essa prese il titolo di Opera di S. Pietro Apostolo per il Clero indigeno, dato dalla Bigard madre, che inviò le prime benedizioni, arricchendo l’Opera di molte indulgenze. Il 13 ottobre 1895 il vescovo di Séez l’approvò e fu istituito il Consiglio Regolare, comprendente </w:t>
      </w:r>
      <w:r w:rsidRPr="000248D1">
        <w:rPr>
          <w:rFonts w:ascii="Times New Roman" w:hAnsi="Times New Roman" w:cs="Times New Roman"/>
          <w:sz w:val="28"/>
          <w:szCs w:val="28"/>
        </w:rPr>
        <w:lastRenderedPageBreak/>
        <w:t>le Bigard</w:t>
      </w:r>
      <w:r w:rsidRPr="000248D1">
        <w:rPr>
          <w:rStyle w:val="Rimandonotaapidipagina"/>
          <w:rFonts w:ascii="Times New Roman" w:hAnsi="Times New Roman" w:cs="Times New Roman"/>
          <w:sz w:val="28"/>
          <w:szCs w:val="28"/>
        </w:rPr>
        <w:footnoteReference w:id="375"/>
      </w:r>
      <w:r w:rsidRPr="000248D1">
        <w:rPr>
          <w:rFonts w:ascii="Times New Roman" w:hAnsi="Times New Roman" w:cs="Times New Roman"/>
          <w:sz w:val="28"/>
          <w:szCs w:val="28"/>
        </w:rPr>
        <w:t>. Non essendosi ottenuto dal governo francese il riconoscimento dell'Opera, essa fu trasferita a Friburgo in Svizzera</w:t>
      </w:r>
      <w:r w:rsidRPr="000248D1">
        <w:rPr>
          <w:rStyle w:val="Rimandonotaapidipagina"/>
          <w:rFonts w:ascii="Times New Roman" w:hAnsi="Times New Roman" w:cs="Times New Roman"/>
          <w:sz w:val="28"/>
          <w:szCs w:val="28"/>
        </w:rPr>
        <w:footnoteReference w:id="376"/>
      </w:r>
      <w:r w:rsidRPr="000248D1">
        <w:rPr>
          <w:rFonts w:ascii="Times New Roman" w:hAnsi="Times New Roman" w:cs="Times New Roman"/>
          <w:sz w:val="28"/>
          <w:szCs w:val="28"/>
        </w:rPr>
        <w:t>. Dopo la morte della Bigard madre (1903) l'Opera fu affidata alle suore Francescane missionarie di Maria. Il 28 aprile 1920 la S. C. de Propaganda Fide la prese alle sue dirette dipendenze</w:t>
      </w:r>
      <w:r w:rsidRPr="000248D1">
        <w:rPr>
          <w:rStyle w:val="Rimandonotaapidipagina"/>
          <w:rFonts w:ascii="Times New Roman" w:hAnsi="Times New Roman" w:cs="Times New Roman"/>
          <w:sz w:val="28"/>
          <w:szCs w:val="28"/>
        </w:rPr>
        <w:footnoteReference w:id="377"/>
      </w:r>
      <w:r w:rsidRPr="000248D1">
        <w:rPr>
          <w:rFonts w:ascii="Times New Roman" w:hAnsi="Times New Roman" w:cs="Times New Roman"/>
          <w:sz w:val="28"/>
          <w:szCs w:val="28"/>
        </w:rPr>
        <w:t xml:space="preserve">. Con il </w:t>
      </w:r>
      <w:r w:rsidRPr="000248D1">
        <w:rPr>
          <w:rFonts w:ascii="Times New Roman" w:hAnsi="Times New Roman" w:cs="Times New Roman"/>
          <w:i/>
          <w:sz w:val="28"/>
          <w:szCs w:val="28"/>
        </w:rPr>
        <w:t>motu</w:t>
      </w:r>
      <w:r w:rsidRPr="000248D1">
        <w:rPr>
          <w:rFonts w:ascii="Times New Roman" w:hAnsi="Times New Roman" w:cs="Times New Roman"/>
          <w:sz w:val="28"/>
          <w:szCs w:val="28"/>
        </w:rPr>
        <w:t xml:space="preserve"> </w:t>
      </w:r>
      <w:r w:rsidRPr="000248D1">
        <w:rPr>
          <w:rFonts w:ascii="Times New Roman" w:hAnsi="Times New Roman" w:cs="Times New Roman"/>
          <w:i/>
          <w:sz w:val="28"/>
          <w:szCs w:val="28"/>
        </w:rPr>
        <w:t>proprio Vix ad summi</w:t>
      </w:r>
      <w:r w:rsidRPr="000248D1">
        <w:rPr>
          <w:rFonts w:ascii="Times New Roman" w:hAnsi="Times New Roman" w:cs="Times New Roman"/>
          <w:sz w:val="28"/>
          <w:szCs w:val="28"/>
        </w:rPr>
        <w:t xml:space="preserve"> del 24 giugno 1929, la sede centrale fu portata a Roma e le fu data un organizzazione simile a quella della Opera Pontificia della Propagazione della Fede. Essa aveva per scopo quello di aiutare la S. C. di Propaganda nella formazione del clero indigeno sovvenzionando anche le costruzioni dei seminari in missione. I contributi in denaro venivano raccolti per mezzo di quote annue, di collette, e del sistema delle adozioni, individuali e collettive e delle borse di studio.</w:t>
      </w:r>
    </w:p>
    <w:p w14:paraId="7ED2F6E4"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Inoltre vi era all’interno delle Pontificie Opere Missionarie anche l’Opera della Santa Infanzia, che fu fondata dal cardinale Carlo De Forbin-Janson (1785- 1844), vescovo di Nancy, a seguito di un viaggio negli Stati Uniti e nel Canada (1842) e di una conversazione con Jaricot</w:t>
      </w:r>
      <w:r w:rsidRPr="000248D1">
        <w:rPr>
          <w:rStyle w:val="Rimandonotaapidipagina"/>
          <w:rFonts w:ascii="Times New Roman" w:hAnsi="Times New Roman" w:cs="Times New Roman"/>
          <w:sz w:val="28"/>
          <w:szCs w:val="28"/>
        </w:rPr>
        <w:footnoteReference w:id="378"/>
      </w:r>
      <w:r w:rsidRPr="000248D1">
        <w:rPr>
          <w:rFonts w:ascii="Times New Roman" w:hAnsi="Times New Roman" w:cs="Times New Roman"/>
          <w:sz w:val="28"/>
          <w:szCs w:val="28"/>
        </w:rPr>
        <w:t>. Tale Opera venne fondata con lo scopo di combattere l’infanticidio nei paesi infedeli. Il 19 maggio 1843 fu costituito a Parigi il primo Consiglio centrale dell'Opera detta della S. Infanzia, in riferimento all’infanzia di Gesù. Alla fine del giugno dello stesso anno De Forbin-Janson inviò una circolare a tutto l’episcopato francese per informarlo dell’erezione della nuova Opera</w:t>
      </w:r>
      <w:r w:rsidRPr="000248D1">
        <w:rPr>
          <w:rStyle w:val="Rimandonotaapidipagina"/>
          <w:rFonts w:ascii="Times New Roman" w:hAnsi="Times New Roman" w:cs="Times New Roman"/>
          <w:sz w:val="28"/>
          <w:szCs w:val="28"/>
        </w:rPr>
        <w:footnoteReference w:id="379"/>
      </w:r>
      <w:r w:rsidRPr="000248D1">
        <w:rPr>
          <w:rFonts w:ascii="Times New Roman" w:hAnsi="Times New Roman" w:cs="Times New Roman"/>
          <w:sz w:val="28"/>
          <w:szCs w:val="28"/>
        </w:rPr>
        <w:t>. Il 19 maggio 1844, Propaganda, in una lettera diretta al fondatore, ne approvò pienamente l’idea, sebbene da alcuni ostacolata perché creduta inutile, anzi nociva all'Opera della Propagazione della Fede e ad altre opere locali e diocesane</w:t>
      </w:r>
      <w:r w:rsidRPr="000248D1">
        <w:rPr>
          <w:rStyle w:val="Rimandonotaapidipagina"/>
          <w:rFonts w:ascii="Times New Roman" w:hAnsi="Times New Roman" w:cs="Times New Roman"/>
          <w:sz w:val="28"/>
          <w:szCs w:val="28"/>
        </w:rPr>
        <w:footnoteReference w:id="380"/>
      </w:r>
      <w:r w:rsidRPr="000248D1">
        <w:rPr>
          <w:rFonts w:ascii="Times New Roman" w:hAnsi="Times New Roman" w:cs="Times New Roman"/>
          <w:sz w:val="28"/>
          <w:szCs w:val="28"/>
        </w:rPr>
        <w:t xml:space="preserve">. Lo scopo dell’Opera era duplice: far crescere nei fanciulli l’interesse per le missioni e procurare ai loro coetanei infedeli la grazia del battesimo e l’educazione </w:t>
      </w:r>
      <w:r w:rsidRPr="000248D1">
        <w:rPr>
          <w:rFonts w:ascii="Times New Roman" w:hAnsi="Times New Roman" w:cs="Times New Roman"/>
          <w:sz w:val="28"/>
          <w:szCs w:val="28"/>
        </w:rPr>
        <w:lastRenderedPageBreak/>
        <w:t>cristiana. Le persone, una volta superato il dodicesimo anno di età, potevano appartenere all’Opera come soci aggregati</w:t>
      </w:r>
      <w:r w:rsidRPr="000248D1">
        <w:rPr>
          <w:rStyle w:val="Rimandonotaapidipagina"/>
          <w:rFonts w:ascii="Times New Roman" w:hAnsi="Times New Roman" w:cs="Times New Roman"/>
          <w:sz w:val="28"/>
          <w:szCs w:val="28"/>
        </w:rPr>
        <w:footnoteReference w:id="381"/>
      </w:r>
      <w:r w:rsidRPr="000248D1">
        <w:rPr>
          <w:rFonts w:ascii="Times New Roman" w:hAnsi="Times New Roman" w:cs="Times New Roman"/>
          <w:sz w:val="28"/>
          <w:szCs w:val="28"/>
        </w:rPr>
        <w:t>.</w:t>
      </w:r>
    </w:p>
    <w:p w14:paraId="0B5285C8"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 Papi dal 1846 in poi arricchirono tale Opera di molti favori spirituali e Pio XI le diede il titolo di pontificia</w:t>
      </w:r>
      <w:r w:rsidRPr="000248D1">
        <w:rPr>
          <w:rStyle w:val="Rimandonotaapidipagina"/>
          <w:rFonts w:ascii="Times New Roman" w:hAnsi="Times New Roman" w:cs="Times New Roman"/>
          <w:sz w:val="28"/>
          <w:szCs w:val="28"/>
        </w:rPr>
        <w:footnoteReference w:id="382"/>
      </w:r>
      <w:r w:rsidRPr="000248D1">
        <w:rPr>
          <w:rFonts w:ascii="Times New Roman" w:hAnsi="Times New Roman" w:cs="Times New Roman"/>
          <w:sz w:val="28"/>
          <w:szCs w:val="28"/>
        </w:rPr>
        <w:t xml:space="preserve">. Al principio l’Opera della S. Infanzia era diretta da un presidente vescovo e da un direttore, sempre sacerdote. Nel 1872 le due cariche furono riunite nella persona di un solo ecclesiastico direttore, che era assistito, come per il passato, da un consiglio composto di ecclesiastici e laici. </w:t>
      </w:r>
    </w:p>
    <w:p w14:paraId="02B8EED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Infine la Pontificia Unione Missionaria nacque il 31 ottobre 1916 su ispirazione del beato Paolo Manna con lo scopo di animare e formare i fedeli battezzati nella loro responsabilità missionaria attraverso il servizio pastorale dei vescovi e dei preti secondo il motto «tutta la Chiesa per tutto il mondo»</w:t>
      </w:r>
      <w:r w:rsidRPr="000248D1">
        <w:rPr>
          <w:rStyle w:val="Rimandonotaapidipagina"/>
          <w:rFonts w:ascii="Times New Roman" w:hAnsi="Times New Roman" w:cs="Times New Roman"/>
          <w:sz w:val="28"/>
          <w:szCs w:val="28"/>
        </w:rPr>
        <w:footnoteReference w:id="383"/>
      </w:r>
      <w:r w:rsidRPr="000248D1">
        <w:rPr>
          <w:rFonts w:ascii="Times New Roman" w:hAnsi="Times New Roman" w:cs="Times New Roman"/>
          <w:sz w:val="28"/>
          <w:szCs w:val="28"/>
        </w:rPr>
        <w:t>.  I primi tentativi di elaborazione di tale istituto erano ascrivibili al XIX secolo e proseguirono di pari passo al progredire dell’apostolato. Difatti in Olanda il clero seguì le finalità perseguite da tale istituto per mezzo della Lega apostolica. Mentre, in Germania il sacerdote Giuseppe Schmidlin diede origine a varie associazioni sacerdotali per la formazione culturale e missionaria del clero</w:t>
      </w:r>
      <w:r w:rsidRPr="000248D1">
        <w:rPr>
          <w:rStyle w:val="Rimandonotaapidipagina"/>
          <w:rFonts w:ascii="Times New Roman" w:hAnsi="Times New Roman" w:cs="Times New Roman"/>
          <w:sz w:val="28"/>
          <w:szCs w:val="28"/>
        </w:rPr>
        <w:footnoteReference w:id="384"/>
      </w:r>
      <w:r w:rsidRPr="000248D1">
        <w:rPr>
          <w:rFonts w:ascii="Times New Roman" w:hAnsi="Times New Roman" w:cs="Times New Roman"/>
          <w:sz w:val="28"/>
          <w:szCs w:val="28"/>
        </w:rPr>
        <w:t>. Il merito, però, di aver realizzato un’organizzazione di sacerdoti, che si impegnavano ad un’efficace cooperazione missionaria, lo si doveva attribuire a Paolo Manna (fondatore del Pontificio Istituto delle Missioni Estere)</w:t>
      </w:r>
      <w:r w:rsidRPr="000248D1">
        <w:rPr>
          <w:rStyle w:val="Rimandonotaapidipagina"/>
          <w:rFonts w:ascii="Times New Roman" w:hAnsi="Times New Roman" w:cs="Times New Roman"/>
          <w:sz w:val="28"/>
          <w:szCs w:val="28"/>
        </w:rPr>
        <w:footnoteReference w:id="385"/>
      </w:r>
      <w:r w:rsidRPr="000248D1">
        <w:rPr>
          <w:rFonts w:ascii="Times New Roman" w:hAnsi="Times New Roman" w:cs="Times New Roman"/>
          <w:sz w:val="28"/>
          <w:szCs w:val="28"/>
        </w:rPr>
        <w:t xml:space="preserve">. Già nel 1908 Paolo Manna aveva lanciato tale idea all’interno del libro </w:t>
      </w:r>
      <w:r w:rsidRPr="000248D1">
        <w:rPr>
          <w:rFonts w:ascii="Times New Roman" w:hAnsi="Times New Roman" w:cs="Times New Roman"/>
          <w:i/>
          <w:sz w:val="28"/>
          <w:szCs w:val="28"/>
        </w:rPr>
        <w:t>Operarii autem pauci</w:t>
      </w:r>
      <w:r w:rsidRPr="000248D1">
        <w:rPr>
          <w:rFonts w:ascii="Times New Roman" w:hAnsi="Times New Roman" w:cs="Times New Roman"/>
          <w:sz w:val="28"/>
          <w:szCs w:val="28"/>
        </w:rPr>
        <w:t xml:space="preserve"> e alla fine del 1915 scrisse il primo abbozzo di statuto dell’Unione, che per mezzo del cardinale Guido M. Conforti il 27 aprile 1916 fu presentato a Benedetto XV. Propaganda il 31 </w:t>
      </w:r>
      <w:r w:rsidRPr="000248D1">
        <w:rPr>
          <w:rFonts w:ascii="Times New Roman" w:hAnsi="Times New Roman" w:cs="Times New Roman"/>
          <w:sz w:val="28"/>
          <w:szCs w:val="28"/>
        </w:rPr>
        <w:lastRenderedPageBreak/>
        <w:t>ottobre dello stesso anno lo approvò</w:t>
      </w:r>
      <w:r w:rsidRPr="000248D1">
        <w:rPr>
          <w:rStyle w:val="Rimandonotaapidipagina"/>
          <w:rFonts w:ascii="Times New Roman" w:hAnsi="Times New Roman" w:cs="Times New Roman"/>
          <w:sz w:val="28"/>
          <w:szCs w:val="28"/>
        </w:rPr>
        <w:footnoteReference w:id="386"/>
      </w:r>
      <w:r w:rsidRPr="000248D1">
        <w:rPr>
          <w:rFonts w:ascii="Times New Roman" w:hAnsi="Times New Roman" w:cs="Times New Roman"/>
          <w:sz w:val="28"/>
          <w:szCs w:val="28"/>
        </w:rPr>
        <w:t xml:space="preserve">. L’Unione Missionaria del Clero fu subito istituita in Italia e ben presto arricchita di privilegi ed indulgenze. La lettera apostolica </w:t>
      </w:r>
      <w:r w:rsidRPr="000248D1">
        <w:rPr>
          <w:rFonts w:ascii="Times New Roman" w:hAnsi="Times New Roman" w:cs="Times New Roman"/>
          <w:i/>
          <w:sz w:val="28"/>
          <w:szCs w:val="28"/>
        </w:rPr>
        <w:t>Maximum illud</w:t>
      </w:r>
      <w:r w:rsidRPr="000248D1">
        <w:rPr>
          <w:rFonts w:ascii="Times New Roman" w:hAnsi="Times New Roman" w:cs="Times New Roman"/>
          <w:sz w:val="28"/>
          <w:szCs w:val="28"/>
        </w:rPr>
        <w:t xml:space="preserve"> (1919) ne consacrò ufficialmente l’esistenza, estendendola a tutto il mondo</w:t>
      </w:r>
      <w:r w:rsidRPr="000248D1">
        <w:rPr>
          <w:rStyle w:val="Rimandonotaapidipagina"/>
          <w:rFonts w:ascii="Times New Roman" w:hAnsi="Times New Roman" w:cs="Times New Roman"/>
          <w:sz w:val="28"/>
          <w:szCs w:val="28"/>
        </w:rPr>
        <w:footnoteReference w:id="387"/>
      </w:r>
      <w:r w:rsidRPr="000248D1">
        <w:rPr>
          <w:rFonts w:ascii="Times New Roman" w:hAnsi="Times New Roman" w:cs="Times New Roman"/>
          <w:sz w:val="28"/>
          <w:szCs w:val="28"/>
        </w:rPr>
        <w:t xml:space="preserve">. Per questa associazione fu fondamentale l’opera di due papi, ossia Benedetto XV e Pio XI, poiché favorirono la sedimentazione di una visione universale della Chiesa. </w:t>
      </w:r>
    </w:p>
    <w:p w14:paraId="14482848"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Difatti papa Pio XI, tramite tale istituto riuscì ad inaugurare una stagione nuova nell'esperienza missionaria, esaltandone gli aspetti cattolici, cioè la dimensione universale, nonché la necessità di una sempre più capillare sensibilizzazione del clero e del laicato, affinché ciascuna chiesa locale sapesse farsi carico di responsabilità fino ad allora ripartite piuttosto fra istituti religiosi e diverse opere di sostegno missionario</w:t>
      </w:r>
      <w:r w:rsidRPr="000248D1">
        <w:rPr>
          <w:rStyle w:val="Rimandonotaapidipagina"/>
          <w:rFonts w:ascii="Times New Roman" w:hAnsi="Times New Roman" w:cs="Times New Roman"/>
          <w:sz w:val="28"/>
          <w:szCs w:val="28"/>
        </w:rPr>
        <w:footnoteReference w:id="388"/>
      </w:r>
      <w:r w:rsidRPr="000248D1">
        <w:rPr>
          <w:rFonts w:ascii="Times New Roman" w:hAnsi="Times New Roman" w:cs="Times New Roman"/>
          <w:sz w:val="28"/>
          <w:szCs w:val="28"/>
        </w:rPr>
        <w:t>.</w:t>
      </w:r>
    </w:p>
    <w:p w14:paraId="7B08D6E6"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sz w:val="28"/>
          <w:szCs w:val="28"/>
        </w:rPr>
        <w:t xml:space="preserve"> </w:t>
      </w:r>
      <w:r w:rsidRPr="000248D1">
        <w:rPr>
          <w:rFonts w:ascii="Times New Roman" w:hAnsi="Times New Roman" w:cs="Times New Roman"/>
          <w:sz w:val="28"/>
          <w:szCs w:val="28"/>
        </w:rPr>
        <w:t>Inizialmente chiamata Unione Missionaria del Clero, con un decreto del 28 ottobre 1956 verrà insignita da Pio XII del titolo di “Pontificia”.</w:t>
      </w:r>
    </w:p>
    <w:p w14:paraId="1D292354"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Propaganda fide si preoccupò anche di indicare specificatamente le condizioni di esistenza di tale istituto, destinato alla formazione del clero. Difatti nel 1924 elaborò gli </w:t>
      </w:r>
      <w:r w:rsidRPr="000248D1">
        <w:rPr>
          <w:rFonts w:ascii="Times New Roman" w:hAnsi="Times New Roman" w:cs="Times New Roman"/>
          <w:i/>
          <w:sz w:val="28"/>
          <w:szCs w:val="28"/>
        </w:rPr>
        <w:t xml:space="preserve">statuta </w:t>
      </w:r>
      <w:r w:rsidRPr="000248D1">
        <w:rPr>
          <w:rFonts w:ascii="Times New Roman" w:hAnsi="Times New Roman" w:cs="Times New Roman"/>
          <w:sz w:val="28"/>
          <w:szCs w:val="28"/>
        </w:rPr>
        <w:t>della Pia Unione del Clero per le Missioni. La Pia Unione Missionaria del Clero non doveva essere considerata una nuova opera missionaria istituita per raccogliere le offerte dei fedeli, né aveva come fine quello di assumere il controllo di altre opere missionarie, sebbene si sforzasse di disporre gli animi dei fedeli in modo tale da aiutare tutte le opere missionarie</w:t>
      </w:r>
      <w:r w:rsidRPr="000248D1">
        <w:rPr>
          <w:rStyle w:val="Rimandonotaapidipagina"/>
          <w:rFonts w:ascii="Times New Roman" w:hAnsi="Times New Roman" w:cs="Times New Roman"/>
          <w:sz w:val="28"/>
          <w:szCs w:val="28"/>
        </w:rPr>
        <w:footnoteReference w:id="389"/>
      </w:r>
      <w:r w:rsidRPr="000248D1">
        <w:rPr>
          <w:rFonts w:ascii="Times New Roman" w:hAnsi="Times New Roman" w:cs="Times New Roman"/>
          <w:sz w:val="28"/>
          <w:szCs w:val="28"/>
        </w:rPr>
        <w:t xml:space="preserve">. </w:t>
      </w:r>
    </w:p>
    <w:p w14:paraId="15F71AF7"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Infatti, il fiorire di varie nuove iniziative missionarie e la cresciuta attività di opere a sostegno delle missioni, inducevano la Santa Sede a cercare una </w:t>
      </w:r>
      <w:r w:rsidRPr="000248D1">
        <w:rPr>
          <w:rFonts w:ascii="Times New Roman" w:hAnsi="Times New Roman" w:cs="Times New Roman"/>
          <w:sz w:val="28"/>
          <w:szCs w:val="28"/>
        </w:rPr>
        <w:lastRenderedPageBreak/>
        <w:t>composizione sempre più internazionale all'interno del consiglio superiore generale che le reggeva.</w:t>
      </w:r>
    </w:p>
    <w:p w14:paraId="43D23066"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 membri della Pia Unione del Clero cercavano di soddisfare lo scopo di tale associazione, attraverso una serie di attività, ovvero la preghiera, utilizzata come strumento sia per promuovere la vocazione missionaria sia per ottenere l’aiuto dei laici, e la raccolta di informazioni sulle caratteristiche, le necessità delle missioni, così da poter fornire aiuto in caso di necessità</w:t>
      </w:r>
      <w:r w:rsidRPr="000248D1">
        <w:rPr>
          <w:rStyle w:val="Rimandonotaapidipagina"/>
          <w:rFonts w:ascii="Times New Roman" w:hAnsi="Times New Roman" w:cs="Times New Roman"/>
          <w:sz w:val="28"/>
          <w:szCs w:val="28"/>
        </w:rPr>
        <w:footnoteReference w:id="390"/>
      </w:r>
      <w:r w:rsidRPr="000248D1">
        <w:rPr>
          <w:rFonts w:ascii="Times New Roman" w:hAnsi="Times New Roman" w:cs="Times New Roman"/>
          <w:sz w:val="28"/>
          <w:szCs w:val="28"/>
        </w:rPr>
        <w:t xml:space="preserve">. Per quanto riguardava la composizione, invece potevano far parte di tale associazione sia laici che religiosi e l’iscrizione doveva essere fatta tramite il consiglio diocesano, quello regionale o </w:t>
      </w:r>
      <w:r w:rsidRPr="000248D1">
        <w:rPr>
          <w:rFonts w:ascii="Times New Roman" w:hAnsi="Times New Roman" w:cs="Times New Roman"/>
          <w:i/>
          <w:sz w:val="28"/>
          <w:szCs w:val="28"/>
        </w:rPr>
        <w:t xml:space="preserve">in extremis </w:t>
      </w:r>
      <w:r w:rsidRPr="000248D1">
        <w:rPr>
          <w:rFonts w:ascii="Times New Roman" w:hAnsi="Times New Roman" w:cs="Times New Roman"/>
          <w:sz w:val="28"/>
          <w:szCs w:val="28"/>
        </w:rPr>
        <w:t>tramite Propaganda fide.</w:t>
      </w:r>
    </w:p>
    <w:p w14:paraId="6035BDFD"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 Con decreto del 14 luglio 1949 Propaganda modificò nuovamente gli statuti per i religiosi laici e per le suore, ai quali venne data la possibilità di aggregarsi con iscrizione personale o collettiva, godendo di speciali privilegi spirituali</w:t>
      </w:r>
      <w:r w:rsidRPr="000248D1">
        <w:rPr>
          <w:rStyle w:val="Rimandonotaapidipagina"/>
          <w:rFonts w:ascii="Times New Roman" w:hAnsi="Times New Roman" w:cs="Times New Roman"/>
          <w:sz w:val="28"/>
          <w:szCs w:val="28"/>
        </w:rPr>
        <w:footnoteReference w:id="391"/>
      </w:r>
      <w:r w:rsidRPr="000248D1">
        <w:rPr>
          <w:rFonts w:ascii="Times New Roman" w:hAnsi="Times New Roman" w:cs="Times New Roman"/>
          <w:sz w:val="28"/>
          <w:szCs w:val="28"/>
        </w:rPr>
        <w:t xml:space="preserve">. I membri di tale Unione godevano di facoltà e indulgenze, ma avevano anche dei doveri, come il pagamento di contributi annuali. </w:t>
      </w:r>
    </w:p>
    <w:p w14:paraId="42EFE943"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Nel 1926 venne modificato lo statuto e nel 1937 venne modificato ulteriormente a seguito dell’istituzione del Segretariato Internazionale</w:t>
      </w:r>
      <w:r w:rsidRPr="000248D1">
        <w:rPr>
          <w:rStyle w:val="Rimandonotaapidipagina"/>
          <w:rFonts w:ascii="Times New Roman" w:hAnsi="Times New Roman" w:cs="Times New Roman"/>
          <w:sz w:val="28"/>
          <w:szCs w:val="28"/>
        </w:rPr>
        <w:footnoteReference w:id="392"/>
      </w:r>
      <w:r w:rsidRPr="000248D1">
        <w:rPr>
          <w:rFonts w:ascii="Times New Roman" w:hAnsi="Times New Roman" w:cs="Times New Roman"/>
          <w:sz w:val="28"/>
          <w:szCs w:val="28"/>
        </w:rPr>
        <w:t>. Il Segretariato Internazionale, con a capo il segretario generale, era il centro di tutte le direzioni nazionali dell’Unione Missionaria dalle quali dipendevano le rispettive direzioni diocesane</w:t>
      </w:r>
      <w:r w:rsidRPr="000248D1">
        <w:rPr>
          <w:rStyle w:val="Rimandonotaapidipagina"/>
          <w:rFonts w:ascii="Times New Roman" w:hAnsi="Times New Roman" w:cs="Times New Roman"/>
          <w:sz w:val="28"/>
          <w:szCs w:val="28"/>
        </w:rPr>
        <w:footnoteReference w:id="393"/>
      </w:r>
      <w:r w:rsidRPr="000248D1">
        <w:rPr>
          <w:rFonts w:ascii="Times New Roman" w:hAnsi="Times New Roman" w:cs="Times New Roman"/>
          <w:sz w:val="28"/>
          <w:szCs w:val="28"/>
        </w:rPr>
        <w:t>.</w:t>
      </w:r>
    </w:p>
    <w:p w14:paraId="08E699BE"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 ogni regione della Pia Unione, era direttamente responsabile il consiglio regionale (il presidente di tale consiglio veniva scelto da Propaganda fide), e in ciascuna delle diocesi, il consiglio diocesano</w:t>
      </w:r>
      <w:r w:rsidRPr="000248D1">
        <w:rPr>
          <w:rStyle w:val="Rimandonotaapidipagina"/>
          <w:rFonts w:ascii="Times New Roman" w:hAnsi="Times New Roman" w:cs="Times New Roman"/>
          <w:sz w:val="28"/>
          <w:szCs w:val="28"/>
        </w:rPr>
        <w:footnoteReference w:id="394"/>
      </w:r>
      <w:r w:rsidRPr="000248D1">
        <w:rPr>
          <w:rFonts w:ascii="Times New Roman" w:hAnsi="Times New Roman" w:cs="Times New Roman"/>
          <w:sz w:val="28"/>
          <w:szCs w:val="28"/>
        </w:rPr>
        <w:t xml:space="preserve">. Il consiglio regionale era composto dal presidente e da qualche consigliere, alcuni dei quali erano scelti dai direttori diocesani, altri dalle istituzioni missionarie, se presenti nella </w:t>
      </w:r>
      <w:r w:rsidRPr="000248D1">
        <w:rPr>
          <w:rFonts w:ascii="Times New Roman" w:hAnsi="Times New Roman" w:cs="Times New Roman"/>
          <w:sz w:val="28"/>
          <w:szCs w:val="28"/>
        </w:rPr>
        <w:lastRenderedPageBreak/>
        <w:t>regione</w:t>
      </w:r>
      <w:r w:rsidRPr="000248D1">
        <w:rPr>
          <w:rStyle w:val="Rimandonotaapidipagina"/>
          <w:rFonts w:ascii="Times New Roman" w:hAnsi="Times New Roman" w:cs="Times New Roman"/>
          <w:sz w:val="28"/>
          <w:szCs w:val="28"/>
        </w:rPr>
        <w:footnoteReference w:id="395"/>
      </w:r>
      <w:r w:rsidRPr="000248D1">
        <w:rPr>
          <w:rFonts w:ascii="Times New Roman" w:hAnsi="Times New Roman" w:cs="Times New Roman"/>
          <w:sz w:val="28"/>
          <w:szCs w:val="28"/>
        </w:rPr>
        <w:t>. Tale consiglio si riuniva almeno una volta l’anno, su convocazione del presidente, mentre il consiglio diocesano si riuniva due volte l'anno, e ogni qualvolta il direttore lo ritenesse opportuno</w:t>
      </w:r>
      <w:r w:rsidRPr="000248D1">
        <w:rPr>
          <w:rStyle w:val="Rimandonotaapidipagina"/>
          <w:rFonts w:ascii="Times New Roman" w:hAnsi="Times New Roman" w:cs="Times New Roman"/>
          <w:sz w:val="28"/>
          <w:szCs w:val="28"/>
        </w:rPr>
        <w:footnoteReference w:id="396"/>
      </w:r>
      <w:r w:rsidRPr="000248D1">
        <w:rPr>
          <w:rFonts w:ascii="Times New Roman" w:hAnsi="Times New Roman" w:cs="Times New Roman"/>
          <w:sz w:val="28"/>
          <w:szCs w:val="28"/>
        </w:rPr>
        <w:t>. Tale consiglio</w:t>
      </w:r>
      <w:r w:rsidRPr="000248D1">
        <w:rPr>
          <w:sz w:val="28"/>
          <w:szCs w:val="28"/>
        </w:rPr>
        <w:t xml:space="preserve"> </w:t>
      </w:r>
      <w:r w:rsidRPr="000248D1">
        <w:rPr>
          <w:rFonts w:ascii="Times New Roman" w:hAnsi="Times New Roman" w:cs="Times New Roman"/>
          <w:sz w:val="28"/>
          <w:szCs w:val="28"/>
        </w:rPr>
        <w:t>serviva per controllare che i membri adempissero ai loro doveri ed era composto da un direttore o moderatore e da due consiglieri, uno dei quali fungeva da segretario, l'altro da tesoriere</w:t>
      </w:r>
      <w:r w:rsidRPr="000248D1">
        <w:rPr>
          <w:rStyle w:val="Rimandonotaapidipagina"/>
          <w:rFonts w:ascii="Times New Roman" w:hAnsi="Times New Roman" w:cs="Times New Roman"/>
          <w:sz w:val="28"/>
          <w:szCs w:val="28"/>
        </w:rPr>
        <w:footnoteReference w:id="397"/>
      </w:r>
      <w:r w:rsidRPr="000248D1">
        <w:rPr>
          <w:rFonts w:ascii="Times New Roman" w:hAnsi="Times New Roman" w:cs="Times New Roman"/>
          <w:sz w:val="28"/>
          <w:szCs w:val="28"/>
        </w:rPr>
        <w:t>. Inoltre un congresso regionale di tutti i membri della Pia Unione del Clero per le missioni, dell'intera nazione o regione, si teneva almeno ogni cinque anni, alternativamente nelle principali aree della regione, a discrezione del presidente</w:t>
      </w:r>
      <w:r w:rsidRPr="000248D1">
        <w:rPr>
          <w:rStyle w:val="Rimandonotaapidipagina"/>
          <w:rFonts w:ascii="Times New Roman" w:hAnsi="Times New Roman" w:cs="Times New Roman"/>
          <w:sz w:val="28"/>
          <w:szCs w:val="28"/>
        </w:rPr>
        <w:footnoteReference w:id="398"/>
      </w:r>
      <w:r w:rsidRPr="000248D1">
        <w:rPr>
          <w:rFonts w:ascii="Times New Roman" w:hAnsi="Times New Roman" w:cs="Times New Roman"/>
          <w:sz w:val="28"/>
          <w:szCs w:val="28"/>
        </w:rPr>
        <w:t xml:space="preserve">. </w:t>
      </w:r>
    </w:p>
    <w:p w14:paraId="6930518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Tra gli altri organi interni di tale associazione vi erano anche i Comitati nazionali e le Contee, fondamentali per garantire il rafforzamento della cooperazione missionaria</w:t>
      </w:r>
      <w:r w:rsidRPr="000248D1">
        <w:rPr>
          <w:rStyle w:val="Rimandonotaapidipagina"/>
          <w:rFonts w:ascii="Times New Roman" w:hAnsi="Times New Roman" w:cs="Times New Roman"/>
          <w:sz w:val="28"/>
          <w:szCs w:val="28"/>
        </w:rPr>
        <w:footnoteReference w:id="399"/>
      </w:r>
      <w:r w:rsidRPr="000248D1">
        <w:rPr>
          <w:rFonts w:ascii="Times New Roman" w:hAnsi="Times New Roman" w:cs="Times New Roman"/>
          <w:sz w:val="28"/>
          <w:szCs w:val="28"/>
        </w:rPr>
        <w:t>. Il Comitato nazionale era composto dai direttori, dai segretari nazionali della Pia Unione del Clero per le missioni presenti nella nazione, e da ciascuno dei consiglieri dell'Unione del Clero, eletti dal rispettivo consiglio nazionale</w:t>
      </w:r>
      <w:r w:rsidRPr="000248D1">
        <w:rPr>
          <w:rStyle w:val="Rimandonotaapidipagina"/>
          <w:rFonts w:ascii="Times New Roman" w:hAnsi="Times New Roman" w:cs="Times New Roman"/>
          <w:sz w:val="28"/>
          <w:szCs w:val="28"/>
        </w:rPr>
        <w:footnoteReference w:id="400"/>
      </w:r>
      <w:r w:rsidRPr="000248D1">
        <w:rPr>
          <w:rFonts w:ascii="Times New Roman" w:hAnsi="Times New Roman" w:cs="Times New Roman"/>
          <w:sz w:val="28"/>
          <w:szCs w:val="28"/>
        </w:rPr>
        <w:t>.  A capo della Contea vi era, invece, un presidente, che veniva eletto dai direttori nazionali dell'Unione del Clero e rimaneva in carico per 3 anni</w:t>
      </w:r>
      <w:r w:rsidRPr="000248D1">
        <w:rPr>
          <w:rStyle w:val="Rimandonotaapidipagina"/>
          <w:rFonts w:ascii="Times New Roman" w:hAnsi="Times New Roman" w:cs="Times New Roman"/>
          <w:sz w:val="28"/>
          <w:szCs w:val="28"/>
        </w:rPr>
        <w:footnoteReference w:id="401"/>
      </w:r>
      <w:r w:rsidRPr="000248D1">
        <w:rPr>
          <w:rFonts w:ascii="Times New Roman" w:hAnsi="Times New Roman" w:cs="Times New Roman"/>
          <w:sz w:val="28"/>
          <w:szCs w:val="28"/>
        </w:rPr>
        <w:t>. La Contea aveva cura in ciascuna nazione del bene comune dell'Unione del Clero, nei limiti del territorio nazionale. Questa si riuniva almeno una volta l’anno o ogni qualvolta il presidente lo ritenesse opportuno</w:t>
      </w:r>
      <w:r w:rsidRPr="000248D1">
        <w:rPr>
          <w:rStyle w:val="Rimandonotaapidipagina"/>
          <w:rFonts w:ascii="Times New Roman" w:hAnsi="Times New Roman" w:cs="Times New Roman"/>
          <w:sz w:val="28"/>
          <w:szCs w:val="28"/>
        </w:rPr>
        <w:footnoteReference w:id="402"/>
      </w:r>
      <w:r w:rsidRPr="000248D1">
        <w:rPr>
          <w:rFonts w:ascii="Times New Roman" w:hAnsi="Times New Roman" w:cs="Times New Roman"/>
          <w:sz w:val="28"/>
          <w:szCs w:val="28"/>
        </w:rPr>
        <w:t>.</w:t>
      </w:r>
    </w:p>
    <w:p w14:paraId="558C01D9"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 Tale associazione disponeva inoltre della possibilità di convocare un congresso internazionale. Durante il secondo incontro di tale congresso internazionale, che si tenne a Roma nel 1937, si ribadirono i meriti di questa </w:t>
      </w:r>
      <w:r w:rsidRPr="000248D1">
        <w:rPr>
          <w:rFonts w:ascii="Times New Roman" w:hAnsi="Times New Roman" w:cs="Times New Roman"/>
          <w:sz w:val="28"/>
          <w:szCs w:val="28"/>
        </w:rPr>
        <w:lastRenderedPageBreak/>
        <w:t>Pia Unione, ossia l’aver fatto conoscere ai chierici e ai fedeli di tante nazioni i problemi missionari e l’aver promosso e aiutato le Opere Pontificie, sottolineando la necessità di intensificare gli sforzi dei vescovi per garantire la crescita dell’attività missionaria</w:t>
      </w:r>
      <w:r w:rsidRPr="000248D1">
        <w:rPr>
          <w:rStyle w:val="Rimandonotaapidipagina"/>
          <w:rFonts w:ascii="Times New Roman" w:hAnsi="Times New Roman" w:cs="Times New Roman"/>
          <w:sz w:val="28"/>
          <w:szCs w:val="28"/>
        </w:rPr>
        <w:footnoteReference w:id="403"/>
      </w:r>
      <w:r w:rsidRPr="000248D1">
        <w:rPr>
          <w:rFonts w:ascii="Times New Roman" w:hAnsi="Times New Roman" w:cs="Times New Roman"/>
          <w:sz w:val="28"/>
          <w:szCs w:val="28"/>
        </w:rPr>
        <w:t xml:space="preserve"> e nel fare ciò si incitò anche l’eventuale modifica dei loro </w:t>
      </w:r>
      <w:r w:rsidRPr="000248D1">
        <w:rPr>
          <w:rFonts w:ascii="Times New Roman" w:hAnsi="Times New Roman" w:cs="Times New Roman"/>
          <w:i/>
          <w:sz w:val="28"/>
          <w:szCs w:val="28"/>
        </w:rPr>
        <w:t>statuta</w:t>
      </w:r>
      <w:r w:rsidRPr="000248D1">
        <w:rPr>
          <w:rStyle w:val="Rimandonotaapidipagina"/>
          <w:rFonts w:ascii="Times New Roman" w:hAnsi="Times New Roman" w:cs="Times New Roman"/>
          <w:i/>
          <w:sz w:val="28"/>
          <w:szCs w:val="28"/>
        </w:rPr>
        <w:footnoteReference w:id="404"/>
      </w:r>
      <w:r w:rsidRPr="000248D1">
        <w:rPr>
          <w:rFonts w:ascii="Times New Roman" w:hAnsi="Times New Roman" w:cs="Times New Roman"/>
          <w:sz w:val="28"/>
          <w:szCs w:val="28"/>
        </w:rPr>
        <w:t>.</w:t>
      </w:r>
    </w:p>
    <w:p w14:paraId="65DCD3E2"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Tra gli altri organi della Pia Unione vi era anche il Consiglio internazionale, direttamente dipendente da Propaganda fide, che aveva la sua sede presso lo stesso.</w:t>
      </w:r>
    </w:p>
    <w:p w14:paraId="63B9692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 compiti principali di tale Consiglio erano quelli di vigilare sulla corretta interpretazione degli statuti e sulla loro osservanza, elaborare e approvare i regolamenti dell’Unione, promuovere l’organizzazione dell’Unione nei diversi paesi, tramite l’attuazione delle varie attività della stessa e la promozione del coordinamento delle attività delle diverse direzioni nazionali ed infine convocare i congressi internazionali</w:t>
      </w:r>
      <w:r w:rsidRPr="000248D1">
        <w:rPr>
          <w:rStyle w:val="Rimandonotaapidipagina"/>
          <w:rFonts w:ascii="Times New Roman" w:hAnsi="Times New Roman" w:cs="Times New Roman"/>
          <w:sz w:val="28"/>
          <w:szCs w:val="28"/>
        </w:rPr>
        <w:footnoteReference w:id="405"/>
      </w:r>
      <w:r w:rsidRPr="000248D1">
        <w:rPr>
          <w:rFonts w:ascii="Times New Roman" w:hAnsi="Times New Roman" w:cs="Times New Roman"/>
          <w:sz w:val="28"/>
          <w:szCs w:val="28"/>
        </w:rPr>
        <w:t>. I membri di tale Consiglio venivano scelti per nomina e per diritto. I membri per diritto erano il segretario di Propaganda fide, che era anche il presidente del Consiglio, mentre quelli che venivano nominati erano alcuni ecclesiastici, residenti a Roma, che si erano distinti per zelo e competenza. I membri del Consiglio godevano di facoltà e privilegi</w:t>
      </w:r>
      <w:r w:rsidRPr="000248D1">
        <w:rPr>
          <w:rStyle w:val="Rimandonotaapidipagina"/>
          <w:rFonts w:ascii="Times New Roman" w:hAnsi="Times New Roman" w:cs="Times New Roman"/>
          <w:sz w:val="28"/>
          <w:szCs w:val="28"/>
        </w:rPr>
        <w:footnoteReference w:id="406"/>
      </w:r>
      <w:r w:rsidRPr="000248D1">
        <w:rPr>
          <w:rFonts w:ascii="Times New Roman" w:hAnsi="Times New Roman" w:cs="Times New Roman"/>
          <w:sz w:val="28"/>
          <w:szCs w:val="28"/>
        </w:rPr>
        <w:t>. Tale Consiglio si riuniva, con cadenza quinquennale e ogni qualvolta il presidente lo ritenesse opportuno. Le decisioni di tale Consiglio venivano prese a maggioranza di voti e quelle più importanti richiedevano la presenza del cardinale prefetto della S.C di Propaganda fide</w:t>
      </w:r>
      <w:r w:rsidRPr="000248D1">
        <w:rPr>
          <w:rStyle w:val="Rimandonotaapidipagina"/>
          <w:rFonts w:ascii="Times New Roman" w:hAnsi="Times New Roman" w:cs="Times New Roman"/>
          <w:sz w:val="28"/>
          <w:szCs w:val="28"/>
        </w:rPr>
        <w:footnoteReference w:id="407"/>
      </w:r>
      <w:r w:rsidRPr="000248D1">
        <w:rPr>
          <w:rFonts w:ascii="Times New Roman" w:hAnsi="Times New Roman" w:cs="Times New Roman"/>
          <w:sz w:val="28"/>
          <w:szCs w:val="28"/>
        </w:rPr>
        <w:t xml:space="preserve">. Inoltre tale Consiglio aveva delle commissioni interne, </w:t>
      </w:r>
      <w:r w:rsidRPr="000248D1">
        <w:rPr>
          <w:rFonts w:ascii="Times New Roman" w:hAnsi="Times New Roman" w:cs="Times New Roman"/>
          <w:sz w:val="28"/>
          <w:szCs w:val="28"/>
        </w:rPr>
        <w:lastRenderedPageBreak/>
        <w:t>come quella che si occupava delle attività da svolgersi durante i seminari, o quella che si occupava della redazione dei regolamenti</w:t>
      </w:r>
      <w:r w:rsidRPr="000248D1">
        <w:rPr>
          <w:rStyle w:val="Rimandonotaapidipagina"/>
          <w:rFonts w:ascii="Times New Roman" w:hAnsi="Times New Roman" w:cs="Times New Roman"/>
          <w:sz w:val="28"/>
          <w:szCs w:val="28"/>
        </w:rPr>
        <w:footnoteReference w:id="408"/>
      </w:r>
      <w:r w:rsidRPr="000248D1">
        <w:rPr>
          <w:rFonts w:ascii="Times New Roman" w:hAnsi="Times New Roman" w:cs="Times New Roman"/>
          <w:sz w:val="28"/>
          <w:szCs w:val="28"/>
        </w:rPr>
        <w:t>.</w:t>
      </w:r>
    </w:p>
    <w:p w14:paraId="00D36166"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Propaganda si impegnò anche per regolamentare le attività dei circoli e delle accademie missionarie, che erano gestite e approvate dal Consiglio internazionale della Pia Unione del Clero. </w:t>
      </w:r>
    </w:p>
    <w:p w14:paraId="484C32C9"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Difatti, a seguito della decisione di Propaganda di affidare al segretario internazionale lo svolgimento dell’attività missionaria nei collegi ecclesiastici e negli istituti religiosi il consiglio internazionale si impegnò a preparare uno statuto delle attività missionarie, contenente anche i regolamenti riguardanti i circoli missionari delle varie nazioni</w:t>
      </w:r>
      <w:r w:rsidRPr="000248D1">
        <w:rPr>
          <w:rStyle w:val="Rimandonotaapidipagina"/>
          <w:rFonts w:ascii="Times New Roman" w:hAnsi="Times New Roman" w:cs="Times New Roman"/>
          <w:sz w:val="28"/>
          <w:szCs w:val="28"/>
        </w:rPr>
        <w:footnoteReference w:id="409"/>
      </w:r>
      <w:r w:rsidRPr="000248D1">
        <w:rPr>
          <w:rFonts w:ascii="Times New Roman" w:hAnsi="Times New Roman" w:cs="Times New Roman"/>
          <w:sz w:val="28"/>
          <w:szCs w:val="28"/>
        </w:rPr>
        <w:t>. Ogni gruppo aderiva alla direzione nazionale, con l’obbligo di fornire al segretario della medesima, a fine anno una relazione sull’attività missionaria svolta</w:t>
      </w:r>
      <w:r w:rsidRPr="000248D1">
        <w:rPr>
          <w:rStyle w:val="Rimandonotaapidipagina"/>
          <w:rFonts w:ascii="Times New Roman" w:hAnsi="Times New Roman" w:cs="Times New Roman"/>
          <w:sz w:val="28"/>
          <w:szCs w:val="28"/>
        </w:rPr>
        <w:footnoteReference w:id="410"/>
      </w:r>
      <w:r w:rsidRPr="000248D1">
        <w:rPr>
          <w:rFonts w:ascii="Times New Roman" w:hAnsi="Times New Roman" w:cs="Times New Roman"/>
          <w:sz w:val="28"/>
          <w:szCs w:val="28"/>
        </w:rPr>
        <w:t>.</w:t>
      </w:r>
    </w:p>
    <w:p w14:paraId="70983538" w14:textId="6CCFE2E6" w:rsidR="00140247"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All’interno di questo statuto si metteva in luce l’esigenza che l’attività missionaria fosse organizzata dalle varie nazioni, secondo opportunità e necessità dell’ambiente e che non dovesse intralciare l’attività dei seminaristi. Ogni seminario svolgeva una triplice funzione: di formazione missionaria spirituale, di formazione missionaria culturale e di formazione alla cooperazione missionaria di attività pratiche</w:t>
      </w:r>
      <w:r w:rsidRPr="000248D1">
        <w:rPr>
          <w:rStyle w:val="Rimandonotaapidipagina"/>
          <w:rFonts w:ascii="Times New Roman" w:hAnsi="Times New Roman" w:cs="Times New Roman"/>
          <w:sz w:val="28"/>
          <w:szCs w:val="28"/>
        </w:rPr>
        <w:footnoteReference w:id="411"/>
      </w:r>
      <w:r w:rsidRPr="000248D1">
        <w:rPr>
          <w:rFonts w:ascii="Times New Roman" w:hAnsi="Times New Roman" w:cs="Times New Roman"/>
          <w:sz w:val="28"/>
          <w:szCs w:val="28"/>
        </w:rPr>
        <w:t>. Inoltre era compito dei dirigenti elaborare ogni anno un programma, in cui si doveva tenere in considerazione il problema del riavvicinamento dei dissidenti in seno alla Chiesa</w:t>
      </w:r>
      <w:r w:rsidRPr="000248D1">
        <w:rPr>
          <w:rStyle w:val="Rimandonotaapidipagina"/>
          <w:rFonts w:ascii="Times New Roman" w:hAnsi="Times New Roman" w:cs="Times New Roman"/>
          <w:sz w:val="28"/>
          <w:szCs w:val="28"/>
        </w:rPr>
        <w:footnoteReference w:id="412"/>
      </w:r>
      <w:r w:rsidRPr="000248D1">
        <w:rPr>
          <w:rFonts w:ascii="Times New Roman" w:hAnsi="Times New Roman" w:cs="Times New Roman"/>
          <w:sz w:val="28"/>
          <w:szCs w:val="28"/>
        </w:rPr>
        <w:t xml:space="preserve">. </w:t>
      </w:r>
    </w:p>
    <w:p w14:paraId="7E408E75" w14:textId="0C813146" w:rsidR="00484F9B" w:rsidRDefault="00484F9B" w:rsidP="00484F9B">
      <w:pPr>
        <w:spacing w:after="0" w:line="360" w:lineRule="auto"/>
        <w:ind w:left="680" w:right="340"/>
        <w:jc w:val="both"/>
        <w:rPr>
          <w:rFonts w:ascii="Times New Roman" w:hAnsi="Times New Roman" w:cs="Times New Roman"/>
          <w:sz w:val="28"/>
          <w:szCs w:val="28"/>
        </w:rPr>
      </w:pPr>
    </w:p>
    <w:p w14:paraId="534C0ACB" w14:textId="77777777" w:rsidR="00484F9B" w:rsidRDefault="00484F9B" w:rsidP="00484F9B">
      <w:pPr>
        <w:spacing w:after="0" w:line="360" w:lineRule="auto"/>
        <w:ind w:left="680" w:right="340"/>
        <w:jc w:val="both"/>
        <w:rPr>
          <w:rFonts w:ascii="Times New Roman" w:hAnsi="Times New Roman" w:cs="Times New Roman"/>
          <w:sz w:val="28"/>
          <w:szCs w:val="28"/>
        </w:rPr>
      </w:pPr>
    </w:p>
    <w:p w14:paraId="342A20EE" w14:textId="77777777" w:rsidR="00140247" w:rsidRDefault="00140247" w:rsidP="00484F9B">
      <w:pPr>
        <w:spacing w:after="0" w:line="360" w:lineRule="auto"/>
        <w:ind w:left="680" w:right="340"/>
        <w:jc w:val="both"/>
        <w:rPr>
          <w:rFonts w:ascii="Times New Roman" w:hAnsi="Times New Roman" w:cs="Times New Roman"/>
          <w:sz w:val="28"/>
          <w:szCs w:val="28"/>
        </w:rPr>
      </w:pPr>
    </w:p>
    <w:p w14:paraId="4F3E250C" w14:textId="2B733829" w:rsidR="00140247" w:rsidRPr="00484F9B" w:rsidRDefault="00140247" w:rsidP="00484F9B">
      <w:pPr>
        <w:pStyle w:val="Paragrafoelenco"/>
        <w:numPr>
          <w:ilvl w:val="2"/>
          <w:numId w:val="11"/>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lastRenderedPageBreak/>
        <w:t>L’organizzazione di Propaganda Fide e le strutture dipendenti</w:t>
      </w:r>
    </w:p>
    <w:p w14:paraId="7B2F450A" w14:textId="77777777" w:rsidR="00484F9B" w:rsidRPr="00484F9B" w:rsidRDefault="00484F9B" w:rsidP="00484F9B">
      <w:pPr>
        <w:spacing w:after="0" w:line="360" w:lineRule="auto"/>
        <w:ind w:left="680" w:right="340"/>
        <w:jc w:val="both"/>
        <w:rPr>
          <w:rFonts w:ascii="Times New Roman" w:hAnsi="Times New Roman" w:cs="Times New Roman"/>
          <w:sz w:val="28"/>
          <w:szCs w:val="28"/>
        </w:rPr>
      </w:pPr>
    </w:p>
    <w:p w14:paraId="539F093D" w14:textId="77777777" w:rsidR="00140247" w:rsidRPr="000248D1" w:rsidRDefault="00140247" w:rsidP="00484F9B">
      <w:pPr>
        <w:spacing w:after="0" w:line="360" w:lineRule="auto"/>
        <w:ind w:left="680" w:right="340"/>
        <w:jc w:val="both"/>
        <w:rPr>
          <w:sz w:val="28"/>
          <w:szCs w:val="28"/>
        </w:rPr>
      </w:pPr>
      <w:r w:rsidRPr="000248D1">
        <w:rPr>
          <w:rFonts w:ascii="Times New Roman" w:hAnsi="Times New Roman" w:cs="Times New Roman"/>
          <w:sz w:val="28"/>
          <w:szCs w:val="28"/>
        </w:rPr>
        <w:t>La direzione centrale delle missioni</w:t>
      </w:r>
      <w:r w:rsidRPr="000248D1">
        <w:rPr>
          <w:rStyle w:val="Rimandonotaapidipagina"/>
          <w:rFonts w:ascii="Times New Roman" w:hAnsi="Times New Roman" w:cs="Times New Roman"/>
          <w:sz w:val="28"/>
          <w:szCs w:val="28"/>
        </w:rPr>
        <w:footnoteReference w:id="413"/>
      </w:r>
      <w:r w:rsidRPr="000248D1">
        <w:rPr>
          <w:rFonts w:ascii="Times New Roman" w:hAnsi="Times New Roman" w:cs="Times New Roman"/>
          <w:sz w:val="28"/>
          <w:szCs w:val="28"/>
        </w:rPr>
        <w:t xml:space="preserve"> comprendeva tre grandi organi, residenti a Roma, ossia, la Congregazione di Propaganda Fide, la Congregazione per la Chiesa orientale e la Congregazione Concistoriale. </w:t>
      </w:r>
    </w:p>
    <w:p w14:paraId="7D13563F"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Tra queste Propaganda Fide per il numero delle attribuzioni (ancora molto grande, nonostante le riduzioni fatte nel corso degli anni, fino a Benedetto XV) e per l'importanza rispetto alle missioni, occupava di gran lunga il primo posto</w:t>
      </w:r>
      <w:r w:rsidRPr="000248D1">
        <w:rPr>
          <w:rStyle w:val="Rimandonotaapidipagina"/>
          <w:rFonts w:ascii="Times New Roman" w:hAnsi="Times New Roman" w:cs="Times New Roman"/>
          <w:sz w:val="28"/>
          <w:szCs w:val="28"/>
        </w:rPr>
        <w:footnoteReference w:id="414"/>
      </w:r>
      <w:r w:rsidRPr="000248D1">
        <w:rPr>
          <w:rFonts w:ascii="Times New Roman" w:hAnsi="Times New Roman" w:cs="Times New Roman"/>
          <w:sz w:val="28"/>
          <w:szCs w:val="28"/>
        </w:rPr>
        <w:t>.</w:t>
      </w:r>
      <w:r w:rsidRPr="000248D1">
        <w:rPr>
          <w:sz w:val="28"/>
          <w:szCs w:val="28"/>
        </w:rPr>
        <w:t xml:space="preserve"> </w:t>
      </w:r>
      <w:r w:rsidRPr="000248D1">
        <w:rPr>
          <w:rFonts w:ascii="Times New Roman" w:hAnsi="Times New Roman" w:cs="Times New Roman"/>
          <w:sz w:val="28"/>
          <w:szCs w:val="28"/>
        </w:rPr>
        <w:t>Le istituzioni dipendenti da Propaganda erano molte. Si trattava di una serie di organi centrali, tra i quali vi erano collegi (collegio Urbano, collegio di S. Francesco, collegio S. Lorenzo da Brindisi, collegio delle missioni di S. Tommaso D’Aquino, collegio internazionale del cuore immacolato di Maria) associazioni sia con che senza voti religiosi (la società dei missionari di Scheut in Belgio, il collegio internazionale delle missioni estere delle figlie di Sant’Anna a Roma)  e seminari (seminario delle missioni a Burgos, seminario portoghese per le missioni estere, seminario missioni di Montreal, in Canada)</w:t>
      </w:r>
      <w:r w:rsidRPr="000248D1">
        <w:rPr>
          <w:rStyle w:val="Rimandonotaapidipagina"/>
          <w:rFonts w:ascii="Times New Roman" w:hAnsi="Times New Roman" w:cs="Times New Roman"/>
          <w:sz w:val="28"/>
          <w:szCs w:val="28"/>
        </w:rPr>
        <w:footnoteReference w:id="415"/>
      </w:r>
      <w:r w:rsidRPr="000248D1">
        <w:rPr>
          <w:rFonts w:ascii="Times New Roman" w:hAnsi="Times New Roman" w:cs="Times New Roman"/>
          <w:sz w:val="28"/>
          <w:szCs w:val="28"/>
        </w:rPr>
        <w:t>.</w:t>
      </w:r>
    </w:p>
    <w:p w14:paraId="7159ABF3" w14:textId="77777777" w:rsidR="00140247" w:rsidRPr="000248D1" w:rsidRDefault="00140247" w:rsidP="00484F9B">
      <w:pPr>
        <w:spacing w:after="0" w:line="360" w:lineRule="auto"/>
        <w:ind w:left="680" w:right="340"/>
        <w:jc w:val="both"/>
        <w:rPr>
          <w:sz w:val="28"/>
          <w:szCs w:val="28"/>
        </w:rPr>
      </w:pPr>
      <w:r w:rsidRPr="000248D1">
        <w:rPr>
          <w:rFonts w:ascii="Times New Roman" w:hAnsi="Times New Roman" w:cs="Times New Roman"/>
          <w:sz w:val="28"/>
          <w:szCs w:val="28"/>
        </w:rPr>
        <w:t>Considero qui quelle relative alla formazione del clero missionario a Roma e fuori Roma. Propaganda aveva cura delle missioni, dell’organizzazione e la conferma dei Concili nei suoi territori</w:t>
      </w:r>
      <w:r w:rsidRPr="000248D1">
        <w:rPr>
          <w:rStyle w:val="Rimandonotaapidipagina"/>
          <w:rFonts w:ascii="Times New Roman" w:hAnsi="Times New Roman" w:cs="Times New Roman"/>
          <w:sz w:val="28"/>
          <w:szCs w:val="28"/>
        </w:rPr>
        <w:footnoteReference w:id="416"/>
      </w:r>
      <w:r w:rsidRPr="000248D1">
        <w:rPr>
          <w:rFonts w:ascii="Times New Roman" w:hAnsi="Times New Roman" w:cs="Times New Roman"/>
          <w:sz w:val="28"/>
          <w:szCs w:val="28"/>
        </w:rPr>
        <w:t>. Inoltre esercitava la propria giurisdizione dove non era costituita o era ancora accennata la gerarchia con tutte le dipendenze</w:t>
      </w:r>
      <w:r w:rsidRPr="000248D1">
        <w:rPr>
          <w:rStyle w:val="Rimandonotaapidipagina"/>
          <w:rFonts w:ascii="Times New Roman" w:hAnsi="Times New Roman" w:cs="Times New Roman"/>
          <w:sz w:val="28"/>
          <w:szCs w:val="28"/>
        </w:rPr>
        <w:footnoteReference w:id="417"/>
      </w:r>
      <w:r w:rsidRPr="000248D1">
        <w:rPr>
          <w:rFonts w:ascii="Times New Roman" w:hAnsi="Times New Roman" w:cs="Times New Roman"/>
          <w:sz w:val="28"/>
          <w:szCs w:val="28"/>
        </w:rPr>
        <w:t>. Rimetteva agli altri dicasteri le questioni non sue, e dirigeva e governava anche i religiosi in quanto missionari</w:t>
      </w:r>
      <w:r w:rsidRPr="000248D1">
        <w:rPr>
          <w:rStyle w:val="Rimandonotaapidipagina"/>
          <w:rFonts w:ascii="Times New Roman" w:hAnsi="Times New Roman" w:cs="Times New Roman"/>
          <w:sz w:val="28"/>
          <w:szCs w:val="28"/>
        </w:rPr>
        <w:footnoteReference w:id="418"/>
      </w:r>
      <w:r w:rsidRPr="000248D1">
        <w:rPr>
          <w:sz w:val="28"/>
          <w:szCs w:val="28"/>
        </w:rPr>
        <w:t xml:space="preserve">. </w:t>
      </w:r>
    </w:p>
    <w:p w14:paraId="2EF3B0F3"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55D82CB3"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lastRenderedPageBreak/>
        <w:t xml:space="preserve">A Roma tra queste vi era il Collegio Urbano o di Propaganda, che nel 1928 aveva già formato 3252 preti di tutti i paesi. Il Pontificio Collegio Urbano de Propaganda Fide nacque agli inizi del seicento dalle proposte ed iniziative di alcuni religiosi ed ecclesiastici, i quali, davanti alla nuova situazione missionaria dell’epoca, spinsero, per la creazione di un centro di formazione di missionari </w:t>
      </w:r>
      <w:r w:rsidRPr="000248D1">
        <w:rPr>
          <w:rFonts w:ascii="Times New Roman" w:hAnsi="Times New Roman" w:cs="Times New Roman"/>
          <w:i/>
          <w:sz w:val="28"/>
          <w:szCs w:val="28"/>
        </w:rPr>
        <w:t>Ad gentes</w:t>
      </w:r>
      <w:r w:rsidRPr="000248D1">
        <w:rPr>
          <w:rStyle w:val="Rimandonotaapidipagina"/>
          <w:rFonts w:ascii="Times New Roman" w:hAnsi="Times New Roman" w:cs="Times New Roman"/>
          <w:i/>
          <w:sz w:val="28"/>
          <w:szCs w:val="28"/>
        </w:rPr>
        <w:footnoteReference w:id="419"/>
      </w:r>
      <w:r w:rsidRPr="000248D1">
        <w:rPr>
          <w:rFonts w:ascii="Times New Roman" w:hAnsi="Times New Roman" w:cs="Times New Roman"/>
          <w:sz w:val="28"/>
          <w:szCs w:val="28"/>
        </w:rPr>
        <w:t xml:space="preserve">.Tale collegio venne posto inizialmente nel 1633 sotto le dipendenze della S. Congregazione di Propaganda fide </w:t>
      </w:r>
      <w:r w:rsidRPr="000248D1">
        <w:rPr>
          <w:rStyle w:val="Rimandonotaapidipagina"/>
          <w:rFonts w:ascii="Times New Roman" w:hAnsi="Times New Roman" w:cs="Times New Roman"/>
          <w:sz w:val="28"/>
          <w:szCs w:val="28"/>
        </w:rPr>
        <w:footnoteReference w:id="420"/>
      </w:r>
      <w:r w:rsidRPr="000248D1">
        <w:rPr>
          <w:rFonts w:ascii="Times New Roman" w:hAnsi="Times New Roman" w:cs="Times New Roman"/>
          <w:sz w:val="28"/>
          <w:szCs w:val="28"/>
        </w:rPr>
        <w:t>. Successivamente nel 1646 la direzione fu affidata ai preti secolari; passò poi verso la fine del XVII secolo ai Signori della missione, che la tennero per poco tempo (1711), per essere poi ripresa dal clero secolare quasi ininterrottamente fino al 1836, fino a che non passò ai Gesuiti (1836-48), per poi ritornare nuovamente nelle mani del clero secolare</w:t>
      </w:r>
      <w:r w:rsidRPr="000248D1">
        <w:rPr>
          <w:rStyle w:val="Rimandonotaapidipagina"/>
          <w:rFonts w:ascii="Times New Roman" w:hAnsi="Times New Roman" w:cs="Times New Roman"/>
          <w:sz w:val="28"/>
          <w:szCs w:val="28"/>
        </w:rPr>
        <w:footnoteReference w:id="421"/>
      </w:r>
      <w:r w:rsidRPr="000248D1">
        <w:rPr>
          <w:rFonts w:ascii="Times New Roman" w:hAnsi="Times New Roman" w:cs="Times New Roman"/>
          <w:sz w:val="28"/>
          <w:szCs w:val="28"/>
        </w:rPr>
        <w:t>.</w:t>
      </w:r>
      <w:r w:rsidRPr="000248D1">
        <w:rPr>
          <w:sz w:val="28"/>
          <w:szCs w:val="28"/>
        </w:rPr>
        <w:t xml:space="preserve"> </w:t>
      </w:r>
      <w:r w:rsidRPr="000248D1">
        <w:rPr>
          <w:rFonts w:ascii="Times New Roman" w:hAnsi="Times New Roman" w:cs="Times New Roman"/>
          <w:sz w:val="28"/>
          <w:szCs w:val="28"/>
        </w:rPr>
        <w:t>Dal 1803 al 1809 il collegio ebbe sede provvisoria nella casa dei Signori della missione a Montecitorio.</w:t>
      </w:r>
      <w:r w:rsidRPr="000248D1">
        <w:rPr>
          <w:rStyle w:val="Rimandonotaapidipagina"/>
          <w:rFonts w:ascii="Times New Roman" w:hAnsi="Times New Roman" w:cs="Times New Roman"/>
          <w:sz w:val="28"/>
          <w:szCs w:val="28"/>
        </w:rPr>
        <w:footnoteReference w:id="422"/>
      </w:r>
      <w:r w:rsidRPr="000248D1">
        <w:rPr>
          <w:rFonts w:ascii="Times New Roman" w:hAnsi="Times New Roman" w:cs="Times New Roman"/>
          <w:sz w:val="28"/>
          <w:szCs w:val="28"/>
        </w:rPr>
        <w:t xml:space="preserve"> Nel 1809 Napoleone lo soppresse. Nel 1817 fu riaperto definitivamente</w:t>
      </w:r>
      <w:r w:rsidRPr="000248D1">
        <w:rPr>
          <w:rStyle w:val="Rimandonotaapidipagina"/>
          <w:rFonts w:ascii="Times New Roman" w:hAnsi="Times New Roman" w:cs="Times New Roman"/>
          <w:sz w:val="28"/>
          <w:szCs w:val="28"/>
        </w:rPr>
        <w:footnoteReference w:id="423"/>
      </w:r>
      <w:r w:rsidRPr="000248D1">
        <w:rPr>
          <w:rFonts w:ascii="Times New Roman" w:hAnsi="Times New Roman" w:cs="Times New Roman"/>
          <w:sz w:val="28"/>
          <w:szCs w:val="28"/>
        </w:rPr>
        <w:t>.</w:t>
      </w:r>
    </w:p>
    <w:p w14:paraId="1AD846E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Nel 1924 vi furono dei cambiamenti sulle modalità di assegnazione dei posti vacanti all’interno del Collegio Urbano, che venivano assegnati nel mese di aprile. Infatti, onde evitare errori, nel 1924 vennero chiarite le modalità con cui doveva essere presentata l’istanza. Vi erano una serie di indicazioni da rispettare:  la domanda di ammissione per essere valida doveva essere presentata entro marzo e ad essa dovevano essere allegate le risposte ad un questionario, che serviva a certificare la buona salute, la vocazione </w:t>
      </w:r>
      <w:r w:rsidRPr="000248D1">
        <w:rPr>
          <w:rFonts w:ascii="Times New Roman" w:hAnsi="Times New Roman" w:cs="Times New Roman"/>
          <w:sz w:val="28"/>
          <w:szCs w:val="28"/>
        </w:rPr>
        <w:lastRenderedPageBreak/>
        <w:t>missionaria e l’ottima conoscenza della lingua latina</w:t>
      </w:r>
      <w:r w:rsidRPr="000248D1">
        <w:rPr>
          <w:rStyle w:val="Rimandonotaapidipagina"/>
          <w:rFonts w:ascii="Times New Roman" w:hAnsi="Times New Roman" w:cs="Times New Roman"/>
          <w:sz w:val="28"/>
          <w:szCs w:val="28"/>
        </w:rPr>
        <w:footnoteReference w:id="424"/>
      </w:r>
      <w:r w:rsidRPr="000248D1">
        <w:rPr>
          <w:rFonts w:ascii="Times New Roman" w:hAnsi="Times New Roman" w:cs="Times New Roman"/>
          <w:sz w:val="28"/>
          <w:szCs w:val="28"/>
        </w:rPr>
        <w:t>. Per le istanze accettate Propaganda avrebbe provveduto a scrivere nominalmente all’ordinario, così da poterlo inviare a Roma per la sua formazione tra ottobre e novembre</w:t>
      </w:r>
      <w:r w:rsidRPr="000248D1">
        <w:rPr>
          <w:rStyle w:val="Rimandonotaapidipagina"/>
          <w:rFonts w:ascii="Times New Roman" w:hAnsi="Times New Roman" w:cs="Times New Roman"/>
          <w:sz w:val="28"/>
          <w:szCs w:val="28"/>
        </w:rPr>
        <w:footnoteReference w:id="425"/>
      </w:r>
      <w:r w:rsidRPr="000248D1">
        <w:rPr>
          <w:rFonts w:ascii="Times New Roman" w:hAnsi="Times New Roman" w:cs="Times New Roman"/>
          <w:sz w:val="28"/>
          <w:szCs w:val="28"/>
        </w:rPr>
        <w:t xml:space="preserve">. </w:t>
      </w:r>
    </w:p>
    <w:p w14:paraId="4D4EF5C2"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Nel 1929 Propaganda sancì l’obbligo di presentazione da parte di questo collegio di una relazione quinquennale, da presentare all’inizio di dicembre, contenente informazioni sul numero degli alunni, degli insegnanti, sulle materie e sul resoconto economico dell’istituto dell’anno precedente e dell’anno corrente</w:t>
      </w:r>
      <w:r w:rsidRPr="000248D1">
        <w:rPr>
          <w:rStyle w:val="Rimandonotaapidipagina"/>
          <w:rFonts w:ascii="Times New Roman" w:hAnsi="Times New Roman" w:cs="Times New Roman"/>
          <w:sz w:val="28"/>
          <w:szCs w:val="28"/>
        </w:rPr>
        <w:footnoteReference w:id="426"/>
      </w:r>
      <w:r w:rsidRPr="000248D1">
        <w:rPr>
          <w:rFonts w:ascii="Times New Roman" w:hAnsi="Times New Roman" w:cs="Times New Roman"/>
          <w:sz w:val="28"/>
          <w:szCs w:val="28"/>
        </w:rPr>
        <w:t>.</w:t>
      </w:r>
      <w:r w:rsidRPr="000248D1">
        <w:rPr>
          <w:sz w:val="28"/>
          <w:szCs w:val="28"/>
        </w:rPr>
        <w:t xml:space="preserve"> </w:t>
      </w:r>
      <w:r w:rsidRPr="000248D1">
        <w:rPr>
          <w:rFonts w:ascii="Times New Roman" w:hAnsi="Times New Roman" w:cs="Times New Roman"/>
          <w:sz w:val="28"/>
          <w:szCs w:val="28"/>
        </w:rPr>
        <w:t>Inoltre allo scopo di dare al clero indigeno delle missioni la possibilità di perfezionarsi negli studi ecclesiastici, Propaganda istituì il 18 gennaio 1947 sul Gianicolo il collegio di S. Pietro Apostolo, che doveva essere il completamento del collegio Urbano di Propaganda Fide</w:t>
      </w:r>
      <w:r w:rsidRPr="000248D1">
        <w:rPr>
          <w:rStyle w:val="Rimandonotaapidipagina"/>
          <w:rFonts w:ascii="Times New Roman" w:hAnsi="Times New Roman" w:cs="Times New Roman"/>
          <w:sz w:val="28"/>
          <w:szCs w:val="28"/>
        </w:rPr>
        <w:footnoteReference w:id="427"/>
      </w:r>
      <w:r w:rsidRPr="000248D1">
        <w:rPr>
          <w:rFonts w:ascii="Times New Roman" w:hAnsi="Times New Roman" w:cs="Times New Roman"/>
          <w:sz w:val="28"/>
          <w:szCs w:val="28"/>
        </w:rPr>
        <w:t>. La direzione del collegio era affidata ai padri della Società del Verbo divino. I suoi alunni frequentavano le varie università romane</w:t>
      </w:r>
      <w:r w:rsidRPr="000248D1">
        <w:rPr>
          <w:rStyle w:val="Rimandonotaapidipagina"/>
          <w:rFonts w:ascii="Times New Roman" w:hAnsi="Times New Roman" w:cs="Times New Roman"/>
          <w:sz w:val="28"/>
          <w:szCs w:val="28"/>
        </w:rPr>
        <w:footnoteReference w:id="428"/>
      </w:r>
      <w:r w:rsidRPr="000248D1">
        <w:rPr>
          <w:rFonts w:ascii="Times New Roman" w:hAnsi="Times New Roman" w:cs="Times New Roman"/>
          <w:sz w:val="28"/>
          <w:szCs w:val="28"/>
        </w:rPr>
        <w:t>.</w:t>
      </w:r>
    </w:p>
    <w:p w14:paraId="0B05469E"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Sulla stessa tipologia di istituti di istruzione, papa Pio XI decise nel 1937 di fondare il Pontificio Collegio Pio Romeno, su richiesta dell'episcopato romeno unito, guidato dal vescovo Vasile Suciu</w:t>
      </w:r>
      <w:r w:rsidRPr="000248D1">
        <w:rPr>
          <w:rStyle w:val="Rimandonotaapidipagina"/>
          <w:rFonts w:ascii="Times New Roman" w:hAnsi="Times New Roman" w:cs="Times New Roman"/>
          <w:sz w:val="28"/>
          <w:szCs w:val="28"/>
        </w:rPr>
        <w:footnoteReference w:id="429"/>
      </w:r>
      <w:r w:rsidRPr="000248D1">
        <w:rPr>
          <w:rFonts w:ascii="Times New Roman" w:hAnsi="Times New Roman" w:cs="Times New Roman"/>
          <w:sz w:val="28"/>
          <w:szCs w:val="28"/>
        </w:rPr>
        <w:t>. Tale fondazione fu il risultato di istanze risalenti, all'epoca del pontificato di papa Benedetto XV (1914 -1922) e rafforzate dal desiderio di avere sacerdoti preparati intellettualmente e spiritualmente che potessero rispondere alle richieste del popolo rumeno nel periodo tra le due guerre</w:t>
      </w:r>
      <w:r w:rsidRPr="000248D1">
        <w:rPr>
          <w:rStyle w:val="Rimandonotaapidipagina"/>
          <w:rFonts w:ascii="Times New Roman" w:hAnsi="Times New Roman" w:cs="Times New Roman"/>
          <w:sz w:val="28"/>
          <w:szCs w:val="28"/>
        </w:rPr>
        <w:footnoteReference w:id="430"/>
      </w:r>
      <w:r w:rsidRPr="000248D1">
        <w:rPr>
          <w:rFonts w:ascii="Times New Roman" w:hAnsi="Times New Roman" w:cs="Times New Roman"/>
          <w:sz w:val="28"/>
          <w:szCs w:val="28"/>
        </w:rPr>
        <w:t>.</w:t>
      </w:r>
    </w:p>
    <w:p w14:paraId="61718F29"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lastRenderedPageBreak/>
        <w:t>L’obiettivo principale di questo istituto, la cui sede era a Roma, era formare il futuro clero della Chiesa Unita Romena, attraverso lo studio del patrimonio teologico e spirituale della Chiesa cattolica</w:t>
      </w:r>
      <w:r w:rsidRPr="000248D1">
        <w:rPr>
          <w:rStyle w:val="Rimandonotaapidipagina"/>
          <w:rFonts w:ascii="Times New Roman" w:hAnsi="Times New Roman" w:cs="Times New Roman"/>
          <w:sz w:val="28"/>
          <w:szCs w:val="28"/>
        </w:rPr>
        <w:footnoteReference w:id="431"/>
      </w:r>
      <w:r w:rsidRPr="000248D1">
        <w:rPr>
          <w:rFonts w:ascii="Times New Roman" w:hAnsi="Times New Roman" w:cs="Times New Roman"/>
          <w:sz w:val="28"/>
          <w:szCs w:val="28"/>
        </w:rPr>
        <w:t>.</w:t>
      </w:r>
    </w:p>
    <w:p w14:paraId="507EDCEE"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 Tra gli altri collegi, presenti a Roma, vi erano anche quelli di: S. Lorenzo da Brindisi (affidato ai cappuccini), S. Antonio da Padova ( gestito dai francescani), S. Francesco d'Assisi (affidato ai conventuali), San Crisogono (gestito dai trinitari), S. Alessio Falconieri (affidato aiserviti) ed il Collegio internazionale del Cuore immacolato di Maria</w:t>
      </w:r>
      <w:r w:rsidRPr="000248D1">
        <w:rPr>
          <w:rStyle w:val="Rimandonotaapidipagina"/>
          <w:rFonts w:ascii="Times New Roman" w:hAnsi="Times New Roman" w:cs="Times New Roman"/>
          <w:sz w:val="28"/>
          <w:szCs w:val="28"/>
        </w:rPr>
        <w:footnoteReference w:id="432"/>
      </w:r>
      <w:r w:rsidRPr="000248D1">
        <w:rPr>
          <w:rFonts w:ascii="Times New Roman" w:hAnsi="Times New Roman" w:cs="Times New Roman"/>
          <w:sz w:val="28"/>
          <w:szCs w:val="28"/>
        </w:rPr>
        <w:t>. Il collegio di S. Alessio de Falconeri venne eretto nel 1921 e prese tale denominazione da Alessio Falconeri, che era stato uno dei fondatori dell’ordine dei Servi di Maria. Tale collegio aveva l’obiettivo di creare un luogo dove formare studenti da inviare in spedizioni sacre, soprattutto verso l’America e l’Africa</w:t>
      </w:r>
      <w:r w:rsidRPr="000248D1">
        <w:rPr>
          <w:rStyle w:val="Rimandonotaapidipagina"/>
          <w:rFonts w:ascii="Times New Roman" w:hAnsi="Times New Roman" w:cs="Times New Roman"/>
          <w:sz w:val="28"/>
          <w:szCs w:val="28"/>
        </w:rPr>
        <w:footnoteReference w:id="433"/>
      </w:r>
      <w:r w:rsidRPr="000248D1">
        <w:rPr>
          <w:rFonts w:ascii="Times New Roman" w:hAnsi="Times New Roman" w:cs="Times New Roman"/>
          <w:sz w:val="28"/>
          <w:szCs w:val="28"/>
        </w:rPr>
        <w:t>.</w:t>
      </w:r>
    </w:p>
    <w:p w14:paraId="0247DAC0"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Mentre fuori dal territorio romano, ma sempre in Italia alcuni collegi erano: i collegi della Consolata (a Torino), quello di S. Francesco d'Assisi (gestito dai cappuccini a Milano), quello di Brignole-Sale (a Genova). Mentre, all’estero vi erano alcuni collegi, come quello di Betlemme, di Immensee (Svizzera), di Burgos (Spagna), di S. Tomaso (Portogallo), di Maynooth (Irlanda), d'Almonte e di Montreal (Canada)</w:t>
      </w:r>
      <w:r w:rsidRPr="000248D1">
        <w:rPr>
          <w:rStyle w:val="Rimandonotaapidipagina"/>
          <w:rFonts w:ascii="Times New Roman" w:hAnsi="Times New Roman" w:cs="Times New Roman"/>
          <w:sz w:val="28"/>
          <w:szCs w:val="28"/>
        </w:rPr>
        <w:footnoteReference w:id="434"/>
      </w:r>
      <w:r w:rsidRPr="000248D1">
        <w:rPr>
          <w:rFonts w:ascii="Times New Roman" w:hAnsi="Times New Roman" w:cs="Times New Roman"/>
          <w:sz w:val="28"/>
          <w:szCs w:val="28"/>
        </w:rPr>
        <w:t>.</w:t>
      </w:r>
    </w:p>
    <w:p w14:paraId="1AFA7E7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Inoltre nei paesi di missione vi erano seminari, necessari alla formazione dei religiosi, come ad esempio: il seminario pontificio di Kandy (Ceylon), il seminario delle missioni di Parigi a Pinang (Malacca) e poi numerosi seminari regionali più recenti, come l'Opera pontificia di San Pietro Apostolo per il clero indigeno</w:t>
      </w:r>
      <w:r w:rsidRPr="000248D1">
        <w:rPr>
          <w:rStyle w:val="Rimandonotaapidipagina"/>
          <w:rFonts w:ascii="Times New Roman" w:hAnsi="Times New Roman" w:cs="Times New Roman"/>
          <w:sz w:val="28"/>
          <w:szCs w:val="28"/>
        </w:rPr>
        <w:footnoteReference w:id="435"/>
      </w:r>
      <w:r w:rsidRPr="000248D1">
        <w:rPr>
          <w:rFonts w:ascii="Times New Roman" w:hAnsi="Times New Roman" w:cs="Times New Roman"/>
          <w:sz w:val="28"/>
          <w:szCs w:val="28"/>
        </w:rPr>
        <w:t>.</w:t>
      </w:r>
    </w:p>
    <w:p w14:paraId="3CC9A79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lastRenderedPageBreak/>
        <w:t>Da Propaganda Fide dipendevano inoltre numerose società per l’aiuto delle missioni. Alcune erano: le Missioni Estere di Milano, di Parma, di Mill-Hill, di Parigi, di Maryknoll, di Picpus, le missioni africane di Lione e i Padri Bianchi, i PP. di Scheut, di Mariannhill, di Maynooth, di Betlemme e i Figli del Sacro Cuore di Gesù (Verona)</w:t>
      </w:r>
      <w:r w:rsidRPr="000248D1">
        <w:rPr>
          <w:rStyle w:val="Rimandonotaapidipagina"/>
          <w:rFonts w:ascii="Times New Roman" w:hAnsi="Times New Roman" w:cs="Times New Roman"/>
          <w:sz w:val="28"/>
          <w:szCs w:val="28"/>
        </w:rPr>
        <w:footnoteReference w:id="436"/>
      </w:r>
      <w:r w:rsidRPr="000248D1">
        <w:rPr>
          <w:rFonts w:ascii="Times New Roman" w:hAnsi="Times New Roman" w:cs="Times New Roman"/>
          <w:sz w:val="28"/>
          <w:szCs w:val="28"/>
        </w:rPr>
        <w:t>. Tra le grandi associazioni di soccorso alle missioni, pure dipendenti da Propaganda vi erano: l'Opera della propagazione della fede, l'Opera della Santa Infanzia, di San Pietro Apostolo per il clero indigeno e di S. Pietro Claver per le missioni d'Africa</w:t>
      </w:r>
      <w:r w:rsidRPr="000248D1">
        <w:rPr>
          <w:rStyle w:val="Rimandonotaapidipagina"/>
          <w:rFonts w:ascii="Times New Roman" w:hAnsi="Times New Roman" w:cs="Times New Roman"/>
          <w:sz w:val="28"/>
          <w:szCs w:val="28"/>
        </w:rPr>
        <w:footnoteReference w:id="437"/>
      </w:r>
      <w:r w:rsidRPr="000248D1">
        <w:rPr>
          <w:rFonts w:ascii="Times New Roman" w:hAnsi="Times New Roman" w:cs="Times New Roman"/>
          <w:sz w:val="28"/>
          <w:szCs w:val="28"/>
        </w:rPr>
        <w:t>.</w:t>
      </w:r>
    </w:p>
    <w:p w14:paraId="5BEA6683"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4A6B8C33" w14:textId="1A4ED059" w:rsidR="00140247" w:rsidRDefault="00140247" w:rsidP="00484F9B">
      <w:pPr>
        <w:pStyle w:val="Paragrafoelenco"/>
        <w:numPr>
          <w:ilvl w:val="2"/>
          <w:numId w:val="11"/>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Le nuove associazioni e congregazioni religiose</w:t>
      </w:r>
    </w:p>
    <w:p w14:paraId="5C9BB322" w14:textId="77777777" w:rsidR="00484F9B" w:rsidRPr="00484F9B" w:rsidRDefault="00484F9B" w:rsidP="00484F9B">
      <w:pPr>
        <w:spacing w:after="0" w:line="360" w:lineRule="auto"/>
        <w:ind w:left="680" w:right="340"/>
        <w:jc w:val="both"/>
        <w:rPr>
          <w:rFonts w:ascii="Times New Roman" w:hAnsi="Times New Roman" w:cs="Times New Roman"/>
          <w:i/>
          <w:sz w:val="28"/>
          <w:szCs w:val="28"/>
        </w:rPr>
      </w:pPr>
    </w:p>
    <w:p w14:paraId="47F8F832"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Non era un'abitudine della S.C di Propaganda fide adattare il programma dell'apostolato alle esigenze dei diversi tempi e luoghi. Tuttavia diverse missioni avanzarono la necessità di utilizzare tutele più adeguate per l'incolumità delle madri e dei bambini, perché, soprattutto in Africa, alcune tribù diminuivano sempre di più, rischiando l’estinzione, a meno che la vita delle madri e dei bambini non fosse supportata in maniera più efficace. </w:t>
      </w:r>
    </w:p>
    <w:p w14:paraId="35567240"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Tale situazione spinse Propaganda fide a pubblicare nel 1936 una I</w:t>
      </w:r>
      <w:r w:rsidRPr="000248D1">
        <w:rPr>
          <w:rFonts w:ascii="Times New Roman" w:hAnsi="Times New Roman" w:cs="Times New Roman"/>
          <w:i/>
          <w:sz w:val="28"/>
          <w:szCs w:val="28"/>
        </w:rPr>
        <w:t>nstructio</w:t>
      </w:r>
      <w:r w:rsidRPr="000248D1">
        <w:rPr>
          <w:rFonts w:ascii="Times New Roman" w:hAnsi="Times New Roman" w:cs="Times New Roman"/>
          <w:sz w:val="28"/>
          <w:szCs w:val="28"/>
        </w:rPr>
        <w:t>, elaborata dopo aver sentito la S.C. degli affari religiosi</w:t>
      </w:r>
      <w:r w:rsidRPr="000248D1">
        <w:rPr>
          <w:rStyle w:val="Rimandonotaapidipagina"/>
          <w:rFonts w:ascii="Times New Roman" w:hAnsi="Times New Roman" w:cs="Times New Roman"/>
          <w:sz w:val="28"/>
          <w:szCs w:val="28"/>
        </w:rPr>
        <w:footnoteReference w:id="438"/>
      </w:r>
      <w:r w:rsidRPr="000248D1">
        <w:rPr>
          <w:rFonts w:ascii="Times New Roman" w:hAnsi="Times New Roman" w:cs="Times New Roman"/>
          <w:sz w:val="28"/>
          <w:szCs w:val="28"/>
        </w:rPr>
        <w:t xml:space="preserve">. Propaganda auspicava la creazione di nuove associazioni di suore, conformi al diritto comune e l’aggiunta di suore ad istituti religiosi già esistenti, con eventuali aggiustamenti dei regolamenti dei medesimi. </w:t>
      </w:r>
    </w:p>
    <w:p w14:paraId="0962A362"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Nella creazione delle nuove associazioni di suore, Propaganda forniva una serie di indicazioni da seguire. Nei nuovi istituti dove sarebbe stata prestata un'attenzione professionale alla salute delle madri e dei bambini non tutti i membri dell’associazione dovevano essere religiosi.  Le candidate dovevano </w:t>
      </w:r>
      <w:r w:rsidRPr="000248D1">
        <w:rPr>
          <w:rFonts w:ascii="Times New Roman" w:hAnsi="Times New Roman" w:cs="Times New Roman"/>
          <w:sz w:val="28"/>
          <w:szCs w:val="28"/>
        </w:rPr>
        <w:lastRenderedPageBreak/>
        <w:t>completare gli studi universitari prima della professione dei voti permanenti e vi era l’obbligo di frequentare solo ospedali o università cattoliche, mentre dietro l’autorizzazione di Propaganda era permesso anche lo studio nelle università laiche</w:t>
      </w:r>
      <w:r w:rsidRPr="000248D1">
        <w:rPr>
          <w:rStyle w:val="Rimandonotaapidipagina"/>
          <w:rFonts w:ascii="Times New Roman" w:hAnsi="Times New Roman" w:cs="Times New Roman"/>
          <w:sz w:val="28"/>
          <w:szCs w:val="28"/>
        </w:rPr>
        <w:footnoteReference w:id="439"/>
      </w:r>
      <w:r w:rsidRPr="000248D1">
        <w:rPr>
          <w:rFonts w:ascii="Times New Roman" w:hAnsi="Times New Roman" w:cs="Times New Roman"/>
          <w:sz w:val="28"/>
          <w:szCs w:val="28"/>
        </w:rPr>
        <w:t xml:space="preserve">. </w:t>
      </w:r>
    </w:p>
    <w:p w14:paraId="526F639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Inoltre Propaganda nel 1937 fornì una serie di istruzioni precise per l’erezione di congregazioni religiose autoctone, ribadendo la necessità di seguire le regole già elaborate dalla S.C. degli affari religiosi. Con queste misure si voleva razionalizzare l’attività evangelizzatrice ed evitare conflitti o sovrapposizioni fra le diverse giurisdizioni ecclesiastiche. Queste istruzioni si concretizzavano nell’obbligo, da parte dell’ordinario, di controllare prima dell’erezione di una congregazione se ve ne fosse già una con finalità simili presente sul territorio, nella necessità che la denominazione della congregazione fosse approvata dalla Santa Sede e nell’obbligo di rispettare quanto stabilito dal can. 492</w:t>
      </w:r>
      <w:r w:rsidRPr="000248D1">
        <w:rPr>
          <w:rStyle w:val="Rimandonotaapidipagina"/>
          <w:rFonts w:ascii="Times New Roman" w:hAnsi="Times New Roman" w:cs="Times New Roman"/>
          <w:sz w:val="28"/>
          <w:szCs w:val="28"/>
        </w:rPr>
        <w:footnoteReference w:id="440"/>
      </w:r>
      <w:r w:rsidRPr="000248D1">
        <w:rPr>
          <w:rFonts w:ascii="Times New Roman" w:hAnsi="Times New Roman" w:cs="Times New Roman"/>
          <w:sz w:val="28"/>
          <w:szCs w:val="28"/>
        </w:rPr>
        <w:t>,</w:t>
      </w:r>
      <w:r w:rsidRPr="000248D1">
        <w:rPr>
          <w:sz w:val="28"/>
          <w:szCs w:val="28"/>
        </w:rPr>
        <w:t xml:space="preserve"> </w:t>
      </w:r>
      <w:r w:rsidRPr="000248D1">
        <w:rPr>
          <w:rFonts w:ascii="Times New Roman" w:hAnsi="Times New Roman" w:cs="Times New Roman"/>
          <w:sz w:val="28"/>
          <w:szCs w:val="28"/>
        </w:rPr>
        <w:t>il quale sanciva che i vescovi e i soggetti a loro equiparati potessero erigere congregazioni diocesane, ma solo con il nulla osta della S.C dei religiosi</w:t>
      </w:r>
      <w:r w:rsidRPr="000248D1">
        <w:rPr>
          <w:rStyle w:val="Rimandonotaapidipagina"/>
          <w:rFonts w:ascii="Times New Roman" w:hAnsi="Times New Roman" w:cs="Times New Roman"/>
          <w:sz w:val="28"/>
          <w:szCs w:val="28"/>
        </w:rPr>
        <w:footnoteReference w:id="441"/>
      </w:r>
      <w:r w:rsidRPr="000248D1">
        <w:rPr>
          <w:rFonts w:ascii="Times New Roman" w:hAnsi="Times New Roman" w:cs="Times New Roman"/>
          <w:sz w:val="28"/>
          <w:szCs w:val="28"/>
        </w:rPr>
        <w:t xml:space="preserve">. </w:t>
      </w:r>
    </w:p>
    <w:p w14:paraId="5BEDF02E"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Per ottenere l’autorizzazione l’ordinario doveva fornire alla S.C. dei religiosi una serie di informazioni, come le finalità perseguite dalla congregazione, il nome della stessa, le tipologie di attività che deciderà di intraprendere e le risorse che utilizzerà per mantenersi</w:t>
      </w:r>
      <w:r w:rsidRPr="000248D1">
        <w:rPr>
          <w:rStyle w:val="Rimandonotaapidipagina"/>
          <w:rFonts w:ascii="Times New Roman" w:hAnsi="Times New Roman" w:cs="Times New Roman"/>
          <w:sz w:val="28"/>
          <w:szCs w:val="28"/>
        </w:rPr>
        <w:footnoteReference w:id="442"/>
      </w:r>
      <w:r w:rsidRPr="000248D1">
        <w:rPr>
          <w:rFonts w:ascii="Times New Roman" w:hAnsi="Times New Roman" w:cs="Times New Roman"/>
          <w:sz w:val="28"/>
          <w:szCs w:val="28"/>
        </w:rPr>
        <w:t xml:space="preserve">. Una volta ottenuta l’autorizzazione l’ordinario poteva erigere la congregazione (elaborare le sue costituzioni) che sarebbe stata di diritto diocesano, finché la stessa, raggiungendo una crescita significativa, grazie alla sua estensione ad altre missioni, consentiva all’ordinario di recarsi presso il Consiglio superiore delle Opere Pontificie </w:t>
      </w:r>
      <w:r w:rsidRPr="000248D1">
        <w:rPr>
          <w:rFonts w:ascii="Times New Roman" w:hAnsi="Times New Roman" w:cs="Times New Roman"/>
          <w:sz w:val="28"/>
          <w:szCs w:val="28"/>
        </w:rPr>
        <w:lastRenderedPageBreak/>
        <w:t>(con una lettera di esecuzione per il papa) chiedendo il suo passaggio in una congregazione di diritto pontificio</w:t>
      </w:r>
      <w:r w:rsidRPr="000248D1">
        <w:rPr>
          <w:rStyle w:val="Rimandonotaapidipagina"/>
          <w:rFonts w:ascii="Times New Roman" w:hAnsi="Times New Roman" w:cs="Times New Roman"/>
          <w:sz w:val="28"/>
          <w:szCs w:val="28"/>
        </w:rPr>
        <w:footnoteReference w:id="443"/>
      </w:r>
      <w:r w:rsidRPr="000248D1">
        <w:rPr>
          <w:rFonts w:ascii="Times New Roman" w:hAnsi="Times New Roman" w:cs="Times New Roman"/>
          <w:sz w:val="28"/>
          <w:szCs w:val="28"/>
        </w:rPr>
        <w:t>.</w:t>
      </w:r>
    </w:p>
    <w:p w14:paraId="19049C6F" w14:textId="77777777" w:rsidR="00B3403A"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Vi fu inoltre un chiarimento da parte della S. Congregazione nel 1937 anche rispetto all’uso del calendario per la celebrazione della messa. Difatti si sanciva che la messa dovesse essere celebrata, secondo il calendario dell’ordine religioso di riferimento anche per quelle chiese che non erano subordinate all’ordine, ma gestite dallo stesso</w:t>
      </w:r>
      <w:r w:rsidRPr="000248D1">
        <w:rPr>
          <w:rStyle w:val="Rimandonotaapidipagina"/>
          <w:rFonts w:ascii="Times New Roman" w:hAnsi="Times New Roman" w:cs="Times New Roman"/>
          <w:sz w:val="28"/>
          <w:szCs w:val="28"/>
        </w:rPr>
        <w:footnoteReference w:id="444"/>
      </w:r>
      <w:r w:rsidR="00B3403A">
        <w:rPr>
          <w:rFonts w:ascii="Times New Roman" w:hAnsi="Times New Roman" w:cs="Times New Roman"/>
          <w:sz w:val="28"/>
          <w:szCs w:val="28"/>
        </w:rPr>
        <w:t>.</w:t>
      </w:r>
    </w:p>
    <w:p w14:paraId="41107211" w14:textId="77777777" w:rsidR="00B3403A" w:rsidRDefault="00B3403A" w:rsidP="00484F9B">
      <w:pPr>
        <w:spacing w:after="0" w:line="360" w:lineRule="auto"/>
        <w:ind w:left="680" w:right="340"/>
        <w:jc w:val="both"/>
        <w:rPr>
          <w:rFonts w:ascii="Times New Roman" w:hAnsi="Times New Roman" w:cs="Times New Roman"/>
          <w:sz w:val="28"/>
          <w:szCs w:val="28"/>
        </w:rPr>
      </w:pPr>
    </w:p>
    <w:p w14:paraId="2EF4BC03" w14:textId="77777777" w:rsidR="00B3403A" w:rsidRDefault="00B3403A" w:rsidP="00484F9B">
      <w:pPr>
        <w:spacing w:after="0" w:line="360" w:lineRule="auto"/>
        <w:ind w:left="680" w:right="340"/>
        <w:jc w:val="both"/>
        <w:rPr>
          <w:rFonts w:ascii="Times New Roman" w:hAnsi="Times New Roman" w:cs="Times New Roman"/>
          <w:sz w:val="28"/>
          <w:szCs w:val="28"/>
        </w:rPr>
      </w:pPr>
    </w:p>
    <w:p w14:paraId="7DDD7DA7" w14:textId="5945ED78" w:rsidR="00140247" w:rsidRPr="00484F9B" w:rsidRDefault="00DB4CD9" w:rsidP="00484F9B">
      <w:pPr>
        <w:pStyle w:val="Paragrafoelenco"/>
        <w:numPr>
          <w:ilvl w:val="2"/>
          <w:numId w:val="11"/>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L</w:t>
      </w:r>
      <w:r w:rsidR="00140247" w:rsidRPr="00484F9B">
        <w:rPr>
          <w:rFonts w:ascii="Times New Roman" w:hAnsi="Times New Roman" w:cs="Times New Roman"/>
          <w:i/>
          <w:sz w:val="28"/>
          <w:szCs w:val="28"/>
        </w:rPr>
        <w:t>e iniziative per la raccolta di fondi per le missioni</w:t>
      </w:r>
    </w:p>
    <w:p w14:paraId="6AB79683" w14:textId="77777777" w:rsidR="00484F9B" w:rsidRPr="00484F9B" w:rsidRDefault="00484F9B" w:rsidP="00484F9B">
      <w:pPr>
        <w:spacing w:after="0" w:line="360" w:lineRule="auto"/>
        <w:ind w:left="680" w:right="340"/>
        <w:jc w:val="both"/>
        <w:rPr>
          <w:rFonts w:ascii="Times New Roman" w:hAnsi="Times New Roman" w:cs="Times New Roman"/>
          <w:sz w:val="28"/>
          <w:szCs w:val="28"/>
        </w:rPr>
      </w:pPr>
    </w:p>
    <w:p w14:paraId="6EA8DE2E"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Vi furono anche iniziative volte a rafforzare gli aiuti materiali necessari alle missioni. Difatti nel 1922 vennero chiarite le modalità con cui i vescovi superiori di missione, i vicari e i prefetti avrebbero dovuto chiedere risorse per le missioni. Avevano l’obbligo di presentare una relazione con l’indicazione di una serie di informazioni, ovvero l'età e/o la condizione dei viaggiatori, l’indicazione dei luoghi in cui si sarebbero recati, aggiungendo anche se fosse la prima volta o meno che si portava avanti l’attività di evangelizzazione in quei territori, l’indicazione del tipo di spese da sostenere per il veicolo, per l'itinerario e per il cibo. Tale relazione doveva essere esposta, a marzo, durante l’assemblea generale che si teneva a Roma e coinvolgeva i Consigli nazionali. La decisione finale spettava al Consiglio superiore delle Opere Pontificie che faceva capo direttamente al papa.</w:t>
      </w:r>
    </w:p>
    <w:p w14:paraId="5F608478"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Tra gli altri chiarimenti forniti da Propaganda sulle missioni vi furono anche documenti concernenti la gestione, la raccolta e l’organizzazione dei fondi per le missioni.</w:t>
      </w:r>
    </w:p>
    <w:p w14:paraId="14C6CFE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lastRenderedPageBreak/>
        <w:t>Difatti, l’esposizione missionaria vaticana del 1925 aveva come scopo quello di far conoscere la realtà delle missioni, per favorire donazioni da destinare a Propaganda fide, a favore di istituti e associazioni che si occupavano dell’apostolato</w:t>
      </w:r>
      <w:r w:rsidRPr="000248D1">
        <w:rPr>
          <w:rStyle w:val="Rimandonotaapidipagina"/>
          <w:rFonts w:ascii="Times New Roman" w:hAnsi="Times New Roman" w:cs="Times New Roman"/>
          <w:sz w:val="28"/>
          <w:szCs w:val="28"/>
        </w:rPr>
        <w:footnoteReference w:id="445"/>
      </w:r>
      <w:r w:rsidRPr="000248D1">
        <w:rPr>
          <w:rFonts w:ascii="Times New Roman" w:hAnsi="Times New Roman" w:cs="Times New Roman"/>
          <w:sz w:val="28"/>
          <w:szCs w:val="28"/>
        </w:rPr>
        <w:t>.</w:t>
      </w:r>
    </w:p>
    <w:p w14:paraId="69183A9F"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Propaganda chiarì, in un documento del 1932, rispetto ad una questione posta dai francescani che le donazioni fatte agli istituti e alle associazioni religiose non dovevano essere utilizzate dal vicario a capo dell’istituto o dell’associazione, ma dovevano essere impiegate per lo scopo per cui erano state fatte, come per esempio la costruzione di una scuola o di una chiesa</w:t>
      </w:r>
      <w:r w:rsidRPr="000248D1">
        <w:rPr>
          <w:rStyle w:val="Rimandonotaapidipagina"/>
          <w:rFonts w:ascii="Times New Roman" w:hAnsi="Times New Roman" w:cs="Times New Roman"/>
          <w:sz w:val="28"/>
          <w:szCs w:val="28"/>
        </w:rPr>
        <w:footnoteReference w:id="446"/>
      </w:r>
      <w:r w:rsidRPr="000248D1">
        <w:rPr>
          <w:rFonts w:ascii="Times New Roman" w:hAnsi="Times New Roman" w:cs="Times New Roman"/>
          <w:sz w:val="28"/>
          <w:szCs w:val="28"/>
        </w:rPr>
        <w:t>. Inoltre il compito del vicario era di vigilanza ed era regolato dal can. 296, con il quale si ribadiva la subordinazione dei missionari ordinari ai vicari o prefetti apostolici e il can. 533, che sottolineava come ogni spostamento di denaro dovesse essere approvato dal superiore di missione</w:t>
      </w:r>
      <w:r w:rsidRPr="000248D1">
        <w:rPr>
          <w:rStyle w:val="Rimandonotaapidipagina"/>
          <w:rFonts w:ascii="Times New Roman" w:hAnsi="Times New Roman" w:cs="Times New Roman"/>
          <w:sz w:val="28"/>
          <w:szCs w:val="28"/>
        </w:rPr>
        <w:footnoteReference w:id="447"/>
      </w:r>
      <w:r w:rsidRPr="000248D1">
        <w:rPr>
          <w:rFonts w:ascii="Times New Roman" w:hAnsi="Times New Roman" w:cs="Times New Roman"/>
          <w:sz w:val="28"/>
          <w:szCs w:val="28"/>
        </w:rPr>
        <w:t xml:space="preserve">. </w:t>
      </w:r>
    </w:p>
    <w:p w14:paraId="001E6EB9"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2A8A715F"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1C2C0BE7" w14:textId="77777777" w:rsidR="00B3403A" w:rsidRDefault="00B3403A" w:rsidP="00484F9B">
      <w:pPr>
        <w:spacing w:after="0" w:line="360" w:lineRule="auto"/>
        <w:ind w:left="680" w:right="340"/>
        <w:jc w:val="both"/>
        <w:rPr>
          <w:rFonts w:ascii="Times New Roman" w:hAnsi="Times New Roman" w:cs="Times New Roman"/>
          <w:sz w:val="28"/>
          <w:szCs w:val="28"/>
        </w:rPr>
      </w:pPr>
    </w:p>
    <w:p w14:paraId="60D15C3B" w14:textId="7A7B7203" w:rsidR="00140247" w:rsidRDefault="00484F9B" w:rsidP="00484F9B">
      <w:pPr>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t xml:space="preserve">         </w:t>
      </w:r>
      <w:r w:rsidR="00140247" w:rsidRPr="000248D1">
        <w:rPr>
          <w:rFonts w:ascii="Times New Roman" w:hAnsi="Times New Roman" w:cs="Times New Roman"/>
          <w:sz w:val="28"/>
          <w:szCs w:val="28"/>
        </w:rPr>
        <w:t xml:space="preserve">2.1 </w:t>
      </w:r>
      <w:r w:rsidR="00140247" w:rsidRPr="00484F9B">
        <w:rPr>
          <w:rFonts w:ascii="Times New Roman" w:hAnsi="Times New Roman" w:cs="Times New Roman"/>
          <w:i/>
          <w:sz w:val="28"/>
          <w:szCs w:val="28"/>
        </w:rPr>
        <w:t>Legislazione missionaria</w:t>
      </w:r>
    </w:p>
    <w:p w14:paraId="5AA06D28" w14:textId="77777777" w:rsidR="00484F9B" w:rsidRDefault="00484F9B" w:rsidP="00484F9B">
      <w:pPr>
        <w:spacing w:after="0" w:line="360" w:lineRule="auto"/>
        <w:ind w:left="680" w:right="340"/>
        <w:jc w:val="both"/>
        <w:rPr>
          <w:rFonts w:ascii="Times New Roman" w:hAnsi="Times New Roman" w:cs="Times New Roman"/>
          <w:sz w:val="28"/>
          <w:szCs w:val="28"/>
        </w:rPr>
      </w:pPr>
    </w:p>
    <w:p w14:paraId="496B359C" w14:textId="77777777" w:rsidR="00140247"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La giurisdizione missionaria aveva</w:t>
      </w:r>
      <w:r>
        <w:rPr>
          <w:rFonts w:ascii="Times New Roman" w:hAnsi="Times New Roman" w:cs="Times New Roman"/>
          <w:sz w:val="28"/>
          <w:szCs w:val="28"/>
        </w:rPr>
        <w:t>,</w:t>
      </w:r>
      <w:r w:rsidRPr="000248D1">
        <w:rPr>
          <w:rFonts w:ascii="Times New Roman" w:hAnsi="Times New Roman" w:cs="Times New Roman"/>
          <w:sz w:val="28"/>
          <w:szCs w:val="28"/>
        </w:rPr>
        <w:t xml:space="preserve"> rispetto al </w:t>
      </w:r>
      <w:r>
        <w:rPr>
          <w:rFonts w:ascii="Times New Roman" w:hAnsi="Times New Roman" w:cs="Times New Roman"/>
          <w:sz w:val="28"/>
          <w:szCs w:val="28"/>
        </w:rPr>
        <w:t>Codice,</w:t>
      </w:r>
      <w:r w:rsidRPr="000248D1">
        <w:rPr>
          <w:rFonts w:ascii="Times New Roman" w:hAnsi="Times New Roman" w:cs="Times New Roman"/>
          <w:sz w:val="28"/>
          <w:szCs w:val="28"/>
        </w:rPr>
        <w:t xml:space="preserve"> un carattere speciale ed eccezionale, perché consentiva una serie di adeguamenti al diritto comune</w:t>
      </w:r>
      <w:r w:rsidRPr="000248D1">
        <w:rPr>
          <w:rStyle w:val="Rimandonotaapidipagina"/>
          <w:rFonts w:ascii="Times New Roman" w:hAnsi="Times New Roman" w:cs="Times New Roman"/>
          <w:sz w:val="28"/>
          <w:szCs w:val="28"/>
        </w:rPr>
        <w:footnoteReference w:id="448"/>
      </w:r>
      <w:r w:rsidRPr="000248D1">
        <w:rPr>
          <w:rFonts w:ascii="Times New Roman" w:hAnsi="Times New Roman" w:cs="Times New Roman"/>
          <w:sz w:val="28"/>
          <w:szCs w:val="28"/>
        </w:rPr>
        <w:t>. Il carattere speciale del diritto missionario lo si spiega, facendo riferimento all’esigenza di garantire il pieno successo dell’apostolato, ricorrendo a metodi ed istituti che potessero trovare, anche tramite adattamenti di tempo e luogo, il consenso di diverse popolazioni situate nelle terre di missione</w:t>
      </w:r>
      <w:r w:rsidRPr="000248D1">
        <w:rPr>
          <w:rStyle w:val="Rimandonotaapidipagina"/>
          <w:rFonts w:ascii="Times New Roman" w:hAnsi="Times New Roman" w:cs="Times New Roman"/>
          <w:sz w:val="28"/>
          <w:szCs w:val="28"/>
        </w:rPr>
        <w:footnoteReference w:id="449"/>
      </w:r>
      <w:r w:rsidRPr="000248D1">
        <w:rPr>
          <w:rFonts w:ascii="Times New Roman" w:hAnsi="Times New Roman" w:cs="Times New Roman"/>
          <w:sz w:val="28"/>
          <w:szCs w:val="28"/>
        </w:rPr>
        <w:t xml:space="preserve">. Mentre il carattere eccezionale di tale diritto è </w:t>
      </w:r>
      <w:r w:rsidRPr="000248D1">
        <w:rPr>
          <w:rFonts w:ascii="Times New Roman" w:hAnsi="Times New Roman" w:cs="Times New Roman"/>
          <w:sz w:val="28"/>
          <w:szCs w:val="28"/>
        </w:rPr>
        <w:lastRenderedPageBreak/>
        <w:t>rintracciabile nella sua flessibilità, ossia nella sua capacità di creare istituti, leggi, suggerimenti, privi di rigidità, in quanto volti a perseguire un fine che è la massimizzazione dell’evangelizzazione, considerando anche tutte le difficoltà tipiche dell’apostolato</w:t>
      </w:r>
      <w:r w:rsidRPr="000248D1">
        <w:rPr>
          <w:rStyle w:val="Rimandonotaapidipagina"/>
          <w:rFonts w:ascii="Times New Roman" w:hAnsi="Times New Roman" w:cs="Times New Roman"/>
          <w:sz w:val="28"/>
          <w:szCs w:val="28"/>
        </w:rPr>
        <w:footnoteReference w:id="450"/>
      </w:r>
      <w:r w:rsidRPr="000248D1">
        <w:rPr>
          <w:rFonts w:ascii="Times New Roman" w:hAnsi="Times New Roman" w:cs="Times New Roman"/>
          <w:sz w:val="28"/>
          <w:szCs w:val="28"/>
        </w:rPr>
        <w:t>.</w:t>
      </w:r>
    </w:p>
    <w:p w14:paraId="1617AA8B" w14:textId="77777777" w:rsidR="00140247" w:rsidRDefault="00140247" w:rsidP="00484F9B">
      <w:pPr>
        <w:spacing w:after="0" w:line="360" w:lineRule="auto"/>
        <w:ind w:left="680" w:right="340"/>
        <w:jc w:val="both"/>
        <w:rPr>
          <w:rFonts w:ascii="Times New Roman" w:hAnsi="Times New Roman" w:cs="Times New Roman"/>
          <w:sz w:val="28"/>
          <w:szCs w:val="28"/>
        </w:rPr>
      </w:pPr>
    </w:p>
    <w:p w14:paraId="24F66001" w14:textId="090DEDD9" w:rsidR="00140247" w:rsidRDefault="00140247" w:rsidP="00484F9B">
      <w:pPr>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t xml:space="preserve">2.1.1 </w:t>
      </w:r>
      <w:r w:rsidRPr="00484F9B">
        <w:rPr>
          <w:rFonts w:ascii="Times New Roman" w:hAnsi="Times New Roman" w:cs="Times New Roman"/>
          <w:i/>
          <w:sz w:val="28"/>
          <w:szCs w:val="28"/>
        </w:rPr>
        <w:t>Organizzazione ecclesiastica delle missioni</w:t>
      </w:r>
    </w:p>
    <w:p w14:paraId="766A46F7" w14:textId="77777777" w:rsidR="00484F9B" w:rsidRDefault="00484F9B" w:rsidP="00484F9B">
      <w:pPr>
        <w:spacing w:after="0" w:line="360" w:lineRule="auto"/>
        <w:ind w:left="680" w:right="340"/>
        <w:jc w:val="both"/>
        <w:rPr>
          <w:rFonts w:ascii="Times New Roman" w:hAnsi="Times New Roman" w:cs="Times New Roman"/>
          <w:sz w:val="28"/>
          <w:szCs w:val="28"/>
        </w:rPr>
      </w:pPr>
    </w:p>
    <w:p w14:paraId="6276123B"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Propaganda fide forniva istruzioni rispetto ad alcune strutture tipiche della propria organizzazione periferica. Difatti è necessario ricordare che i territori di quelle circoscrizioni ecclesiastiche, dipendenti dalla S. C di Propaganda Fide dovevano essere divisi in distinte</w:t>
      </w:r>
      <w:r>
        <w:rPr>
          <w:rFonts w:ascii="Times New Roman" w:hAnsi="Times New Roman" w:cs="Times New Roman"/>
          <w:sz w:val="28"/>
          <w:szCs w:val="28"/>
        </w:rPr>
        <w:t xml:space="preserve"> frazioni, almeno</w:t>
      </w:r>
      <w:r w:rsidRPr="000248D1">
        <w:rPr>
          <w:rFonts w:ascii="Times New Roman" w:hAnsi="Times New Roman" w:cs="Times New Roman"/>
          <w:sz w:val="28"/>
          <w:szCs w:val="28"/>
        </w:rPr>
        <w:t xml:space="preserve"> dove ciò era possibile</w:t>
      </w:r>
      <w:r w:rsidRPr="000248D1">
        <w:rPr>
          <w:rStyle w:val="Rimandonotaapidipagina"/>
          <w:rFonts w:ascii="Times New Roman" w:hAnsi="Times New Roman" w:cs="Times New Roman"/>
          <w:sz w:val="28"/>
          <w:szCs w:val="28"/>
        </w:rPr>
        <w:footnoteReference w:id="451"/>
      </w:r>
      <w:r w:rsidRPr="000248D1">
        <w:rPr>
          <w:rFonts w:ascii="Times New Roman" w:hAnsi="Times New Roman" w:cs="Times New Roman"/>
          <w:sz w:val="28"/>
          <w:szCs w:val="28"/>
        </w:rPr>
        <w:t xml:space="preserve">. A ciascuna di queste suddivisioni veniva assegnata una particolare </w:t>
      </w:r>
      <w:r>
        <w:rPr>
          <w:rFonts w:ascii="Times New Roman" w:hAnsi="Times New Roman" w:cs="Times New Roman"/>
          <w:sz w:val="28"/>
          <w:szCs w:val="28"/>
        </w:rPr>
        <w:t>C</w:t>
      </w:r>
      <w:r w:rsidRPr="000248D1">
        <w:rPr>
          <w:rFonts w:ascii="Times New Roman" w:hAnsi="Times New Roman" w:cs="Times New Roman"/>
          <w:sz w:val="28"/>
          <w:szCs w:val="28"/>
        </w:rPr>
        <w:t>hiesa con un gruppo di fedeli, a cui presiedeva un proprio rettore. Tale</w:t>
      </w:r>
      <w:r>
        <w:rPr>
          <w:rFonts w:ascii="Times New Roman" w:hAnsi="Times New Roman" w:cs="Times New Roman"/>
          <w:sz w:val="28"/>
          <w:szCs w:val="28"/>
        </w:rPr>
        <w:t xml:space="preserve"> porzione di territorio prendeva</w:t>
      </w:r>
      <w:r w:rsidRPr="000248D1">
        <w:rPr>
          <w:rFonts w:ascii="Times New Roman" w:hAnsi="Times New Roman" w:cs="Times New Roman"/>
          <w:sz w:val="28"/>
          <w:szCs w:val="28"/>
        </w:rPr>
        <w:t xml:space="preserve"> il nome di quasi parrocchia</w:t>
      </w:r>
      <w:r w:rsidRPr="000248D1">
        <w:rPr>
          <w:rStyle w:val="Rimandonotaapidipagina"/>
          <w:rFonts w:ascii="Times New Roman" w:hAnsi="Times New Roman" w:cs="Times New Roman"/>
          <w:sz w:val="28"/>
          <w:szCs w:val="28"/>
        </w:rPr>
        <w:footnoteReference w:id="452"/>
      </w:r>
      <w:r w:rsidRPr="000248D1">
        <w:rPr>
          <w:rFonts w:ascii="Times New Roman" w:hAnsi="Times New Roman" w:cs="Times New Roman"/>
          <w:sz w:val="28"/>
          <w:szCs w:val="28"/>
        </w:rPr>
        <w:t>.</w:t>
      </w:r>
    </w:p>
    <w:p w14:paraId="1960230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L'istruzione  di Propaganda Fide del 25 luglio 1920 riconfermava l’obbligo di dividere il territorio in quasi parrocchie e dava norme precise circa l'erezione delle medesime, permettendo però che parte della quasi </w:t>
      </w:r>
      <w:r>
        <w:rPr>
          <w:rFonts w:ascii="Times New Roman" w:hAnsi="Times New Roman" w:cs="Times New Roman"/>
          <w:sz w:val="28"/>
          <w:szCs w:val="28"/>
        </w:rPr>
        <w:t xml:space="preserve">parrocchia </w:t>
      </w:r>
      <w:r w:rsidRPr="000248D1">
        <w:rPr>
          <w:rFonts w:ascii="Times New Roman" w:hAnsi="Times New Roman" w:cs="Times New Roman"/>
          <w:sz w:val="28"/>
          <w:szCs w:val="28"/>
        </w:rPr>
        <w:t>rimanesse indivisa e retta sotto forma di stazioni missionarie da vicari cooperatori</w:t>
      </w:r>
      <w:r w:rsidRPr="000248D1">
        <w:rPr>
          <w:rStyle w:val="Rimandonotaapidipagina"/>
          <w:rFonts w:ascii="Times New Roman" w:hAnsi="Times New Roman" w:cs="Times New Roman"/>
          <w:sz w:val="28"/>
          <w:szCs w:val="28"/>
        </w:rPr>
        <w:footnoteReference w:id="453"/>
      </w:r>
      <w:r w:rsidRPr="000248D1">
        <w:rPr>
          <w:rFonts w:ascii="Times New Roman" w:hAnsi="Times New Roman" w:cs="Times New Roman"/>
          <w:sz w:val="28"/>
          <w:szCs w:val="28"/>
        </w:rPr>
        <w:t>. Eguale facoltà veniva concessa anche per le diocesi missionarie con l’istruzione del 9 dicembre 1920, la quale dava la facoltà ai vescovi di nominare religiosi alla direzione delle parrocchie, laddove fossero mancati idonei sacerdoti secolari.</w:t>
      </w:r>
    </w:p>
    <w:p w14:paraId="7478AD39"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All’interno di tale istruzione Propaganda sottoline</w:t>
      </w:r>
      <w:r>
        <w:rPr>
          <w:rFonts w:ascii="Times New Roman" w:hAnsi="Times New Roman" w:cs="Times New Roman"/>
          <w:sz w:val="28"/>
          <w:szCs w:val="28"/>
        </w:rPr>
        <w:t>ò come i territori</w:t>
      </w:r>
      <w:r w:rsidRPr="000248D1">
        <w:rPr>
          <w:rFonts w:ascii="Times New Roman" w:hAnsi="Times New Roman" w:cs="Times New Roman"/>
          <w:sz w:val="28"/>
          <w:szCs w:val="28"/>
        </w:rPr>
        <w:t xml:space="preserve"> di ogni vicariato o prefettura apostolica dovesse</w:t>
      </w:r>
      <w:r>
        <w:rPr>
          <w:rFonts w:ascii="Times New Roman" w:hAnsi="Times New Roman" w:cs="Times New Roman"/>
          <w:sz w:val="28"/>
          <w:szCs w:val="28"/>
        </w:rPr>
        <w:t>ro essere divisi</w:t>
      </w:r>
      <w:r w:rsidRPr="000248D1">
        <w:rPr>
          <w:rFonts w:ascii="Times New Roman" w:hAnsi="Times New Roman" w:cs="Times New Roman"/>
          <w:sz w:val="28"/>
          <w:szCs w:val="28"/>
        </w:rPr>
        <w:t xml:space="preserve"> in parti distinte, </w:t>
      </w:r>
      <w:r w:rsidRPr="000248D1">
        <w:rPr>
          <w:rFonts w:ascii="Times New Roman" w:hAnsi="Times New Roman" w:cs="Times New Roman"/>
          <w:sz w:val="28"/>
          <w:szCs w:val="28"/>
        </w:rPr>
        <w:lastRenderedPageBreak/>
        <w:t>ciascuna delle quali avrebbe avuto un popolo determinato, con una propria Chiesa e un parroco particolare (can. 216, § 2 )</w:t>
      </w:r>
      <w:r w:rsidRPr="000248D1">
        <w:rPr>
          <w:rStyle w:val="Rimandonotaapidipagina"/>
          <w:rFonts w:ascii="Times New Roman" w:hAnsi="Times New Roman" w:cs="Times New Roman"/>
          <w:sz w:val="28"/>
          <w:szCs w:val="28"/>
        </w:rPr>
        <w:footnoteReference w:id="454"/>
      </w:r>
      <w:r w:rsidRPr="000248D1">
        <w:rPr>
          <w:rFonts w:ascii="Times New Roman" w:hAnsi="Times New Roman" w:cs="Times New Roman"/>
          <w:sz w:val="28"/>
          <w:szCs w:val="28"/>
        </w:rPr>
        <w:t xml:space="preserve">. </w:t>
      </w:r>
    </w:p>
    <w:p w14:paraId="3E2C1F1B"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Tale divisione doveva rispettare le condizioni sancite dal C</w:t>
      </w:r>
      <w:r>
        <w:rPr>
          <w:rFonts w:ascii="Times New Roman" w:hAnsi="Times New Roman" w:cs="Times New Roman"/>
          <w:sz w:val="28"/>
          <w:szCs w:val="28"/>
        </w:rPr>
        <w:t>odice</w:t>
      </w:r>
      <w:r w:rsidRPr="000248D1">
        <w:rPr>
          <w:rFonts w:ascii="Times New Roman" w:hAnsi="Times New Roman" w:cs="Times New Roman"/>
          <w:sz w:val="28"/>
          <w:szCs w:val="28"/>
        </w:rPr>
        <w:t>(can. 1415, § 3) ed i vicari e prefetti si sarebbero dovuti impegnare per garantirne la realizzazione, laddove avesse rispettato tutte le condizioni previste</w:t>
      </w:r>
      <w:r w:rsidRPr="000248D1">
        <w:rPr>
          <w:rStyle w:val="Rimandonotaapidipagina"/>
          <w:rFonts w:ascii="Times New Roman" w:hAnsi="Times New Roman" w:cs="Times New Roman"/>
          <w:sz w:val="28"/>
          <w:szCs w:val="28"/>
        </w:rPr>
        <w:footnoteReference w:id="455"/>
      </w:r>
      <w:r w:rsidRPr="000248D1">
        <w:rPr>
          <w:rFonts w:ascii="Times New Roman" w:hAnsi="Times New Roman" w:cs="Times New Roman"/>
          <w:sz w:val="28"/>
          <w:szCs w:val="28"/>
        </w:rPr>
        <w:t>.</w:t>
      </w:r>
    </w:p>
    <w:p w14:paraId="73CEBC8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Inoltre vicari e prefetti</w:t>
      </w:r>
      <w:r>
        <w:rPr>
          <w:rFonts w:ascii="Times New Roman" w:hAnsi="Times New Roman" w:cs="Times New Roman"/>
          <w:sz w:val="28"/>
          <w:szCs w:val="28"/>
        </w:rPr>
        <w:t>,</w:t>
      </w:r>
      <w:r w:rsidRPr="000248D1">
        <w:rPr>
          <w:rFonts w:ascii="Times New Roman" w:hAnsi="Times New Roman" w:cs="Times New Roman"/>
          <w:sz w:val="28"/>
          <w:szCs w:val="28"/>
        </w:rPr>
        <w:t xml:space="preserve"> in caso di erezione di una quasi parrocchia</w:t>
      </w:r>
      <w:r>
        <w:rPr>
          <w:rFonts w:ascii="Times New Roman" w:hAnsi="Times New Roman" w:cs="Times New Roman"/>
          <w:sz w:val="28"/>
          <w:szCs w:val="28"/>
        </w:rPr>
        <w:t>,</w:t>
      </w:r>
      <w:r w:rsidRPr="000248D1">
        <w:rPr>
          <w:rFonts w:ascii="Times New Roman" w:hAnsi="Times New Roman" w:cs="Times New Roman"/>
          <w:sz w:val="28"/>
          <w:szCs w:val="28"/>
        </w:rPr>
        <w:t xml:space="preserve"> dovevano considerare alcuni fattori, come il benessere delle anime e la crescita della causa cattolica nelle loro regioni e rispettare il parere dei consiglieri e dei missionari, riuniti in congresso, ai sensi dei cann. 302-303</w:t>
      </w:r>
      <w:r w:rsidRPr="000248D1">
        <w:rPr>
          <w:rStyle w:val="Rimandonotaapidipagina"/>
          <w:rFonts w:ascii="Times New Roman" w:hAnsi="Times New Roman" w:cs="Times New Roman"/>
          <w:sz w:val="28"/>
          <w:szCs w:val="28"/>
        </w:rPr>
        <w:footnoteReference w:id="456"/>
      </w:r>
      <w:r w:rsidRPr="000248D1">
        <w:rPr>
          <w:rFonts w:ascii="Times New Roman" w:hAnsi="Times New Roman" w:cs="Times New Roman"/>
          <w:sz w:val="28"/>
          <w:szCs w:val="28"/>
        </w:rPr>
        <w:t xml:space="preserve">. </w:t>
      </w:r>
    </w:p>
    <w:p w14:paraId="12A410DB" w14:textId="77777777" w:rsidR="00140247"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L’ erezione </w:t>
      </w:r>
      <w:r w:rsidRPr="000248D1">
        <w:rPr>
          <w:sz w:val="28"/>
          <w:szCs w:val="28"/>
        </w:rPr>
        <w:t xml:space="preserve">  </w:t>
      </w:r>
      <w:r w:rsidRPr="000248D1">
        <w:rPr>
          <w:rFonts w:ascii="Times New Roman" w:hAnsi="Times New Roman" w:cs="Times New Roman"/>
          <w:sz w:val="28"/>
          <w:szCs w:val="28"/>
        </w:rPr>
        <w:t xml:space="preserve">di una quasi-parrocchia doveva essere fatta con decreto dell'ordinario, con il quale si dovevano indicare anche i limiti del territorio. Inoltre la costituzione di una quasi-parrocchia, implicava il sorgere di diritti </w:t>
      </w:r>
      <w:r>
        <w:rPr>
          <w:rFonts w:ascii="Times New Roman" w:hAnsi="Times New Roman" w:cs="Times New Roman"/>
          <w:sz w:val="28"/>
          <w:szCs w:val="28"/>
        </w:rPr>
        <w:t xml:space="preserve">e </w:t>
      </w:r>
      <w:r w:rsidRPr="000248D1">
        <w:rPr>
          <w:rFonts w:ascii="Times New Roman" w:hAnsi="Times New Roman" w:cs="Times New Roman"/>
          <w:sz w:val="28"/>
          <w:szCs w:val="28"/>
        </w:rPr>
        <w:t>obblighi sanciti dal CIC (cfr. in particolare i cann. 451, § 2,1; 454, § 4; 456; 456 ; 459; 461; 1356; 306; 462 e segg.)</w:t>
      </w:r>
      <w:r w:rsidRPr="000248D1">
        <w:rPr>
          <w:rStyle w:val="Rimandonotaapidipagina"/>
          <w:rFonts w:ascii="Times New Roman" w:hAnsi="Times New Roman" w:cs="Times New Roman"/>
          <w:sz w:val="28"/>
          <w:szCs w:val="28"/>
        </w:rPr>
        <w:footnoteReference w:id="457"/>
      </w:r>
      <w:r w:rsidRPr="000248D1">
        <w:rPr>
          <w:rFonts w:ascii="Times New Roman" w:hAnsi="Times New Roman" w:cs="Times New Roman"/>
          <w:sz w:val="28"/>
          <w:szCs w:val="28"/>
        </w:rPr>
        <w:t>.</w:t>
      </w:r>
      <w:r>
        <w:rPr>
          <w:rFonts w:ascii="Times New Roman" w:hAnsi="Times New Roman" w:cs="Times New Roman"/>
          <w:sz w:val="28"/>
          <w:szCs w:val="28"/>
        </w:rPr>
        <w:t>Tra l’altro</w:t>
      </w:r>
      <w:r w:rsidRPr="000248D1">
        <w:rPr>
          <w:rFonts w:ascii="Times New Roman" w:hAnsi="Times New Roman" w:cs="Times New Roman"/>
          <w:sz w:val="28"/>
          <w:szCs w:val="28"/>
        </w:rPr>
        <w:t>, dall'istituzione di una quasi-parrocchia, ne conseguiva che tutte le chiese, cappelle o oratori, ubicati entro i confini del territorio della quasi-parrocchia, sarebbero rimasti sotto dipendenza della stessa fino a quando non sarebbero diventati quasi parrocchie a loro volta</w:t>
      </w:r>
      <w:r w:rsidRPr="000248D1">
        <w:rPr>
          <w:rStyle w:val="Rimandonotaapidipagina"/>
          <w:rFonts w:ascii="Times New Roman" w:hAnsi="Times New Roman" w:cs="Times New Roman"/>
          <w:sz w:val="28"/>
          <w:szCs w:val="28"/>
        </w:rPr>
        <w:footnoteReference w:id="458"/>
      </w:r>
      <w:r w:rsidRPr="000248D1">
        <w:rPr>
          <w:rFonts w:ascii="Times New Roman" w:hAnsi="Times New Roman" w:cs="Times New Roman"/>
          <w:sz w:val="28"/>
          <w:szCs w:val="28"/>
        </w:rPr>
        <w:t>.</w:t>
      </w:r>
    </w:p>
    <w:p w14:paraId="71013E9D" w14:textId="77777777" w:rsidR="00140247" w:rsidRDefault="00140247" w:rsidP="00484F9B">
      <w:pPr>
        <w:spacing w:after="0" w:line="360" w:lineRule="auto"/>
        <w:ind w:left="680" w:right="340"/>
        <w:jc w:val="both"/>
        <w:rPr>
          <w:rFonts w:ascii="Times New Roman" w:hAnsi="Times New Roman" w:cs="Times New Roman"/>
          <w:sz w:val="28"/>
          <w:szCs w:val="28"/>
        </w:rPr>
      </w:pPr>
    </w:p>
    <w:p w14:paraId="57CC069B" w14:textId="35DC4696" w:rsidR="00140247" w:rsidRDefault="00484F9B" w:rsidP="00484F9B">
      <w:pPr>
        <w:pStyle w:val="Paragrafoelenco"/>
        <w:numPr>
          <w:ilvl w:val="1"/>
          <w:numId w:val="25"/>
        </w:num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 </w:t>
      </w:r>
      <w:r w:rsidR="00140247" w:rsidRPr="00B3403A">
        <w:rPr>
          <w:rFonts w:ascii="Times New Roman" w:hAnsi="Times New Roman" w:cs="Times New Roman"/>
          <w:sz w:val="28"/>
          <w:szCs w:val="28"/>
        </w:rPr>
        <w:t>L</w:t>
      </w:r>
      <w:r w:rsidR="00140247" w:rsidRPr="00484F9B">
        <w:rPr>
          <w:rFonts w:ascii="Times New Roman" w:hAnsi="Times New Roman" w:cs="Times New Roman"/>
          <w:i/>
          <w:sz w:val="28"/>
          <w:szCs w:val="28"/>
        </w:rPr>
        <w:t>e relazioni quinquennali sullo stato delle missioni</w:t>
      </w:r>
    </w:p>
    <w:p w14:paraId="1B32460C" w14:textId="77777777" w:rsidR="00484F9B" w:rsidRPr="00484F9B" w:rsidRDefault="00484F9B" w:rsidP="00484F9B">
      <w:pPr>
        <w:spacing w:after="0" w:line="360" w:lineRule="auto"/>
        <w:ind w:left="680" w:right="340"/>
        <w:jc w:val="both"/>
        <w:rPr>
          <w:rFonts w:ascii="Times New Roman" w:hAnsi="Times New Roman" w:cs="Times New Roman"/>
          <w:sz w:val="28"/>
          <w:szCs w:val="28"/>
        </w:rPr>
      </w:pPr>
    </w:p>
    <w:p w14:paraId="5D00AF40"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Propaganda inoltre forniva indicazioni ai vicari e ai prefetti apostolici, rispetto alle modalità con cui compilare il rapporto in missione, che doveva essere aggiornato ogni 5 anni</w:t>
      </w:r>
      <w:r>
        <w:rPr>
          <w:rFonts w:ascii="Times New Roman" w:hAnsi="Times New Roman" w:cs="Times New Roman"/>
          <w:sz w:val="28"/>
          <w:szCs w:val="28"/>
        </w:rPr>
        <w:t>, mentre annualmente doveva essere mandata una relazione per monitorare l’andamento della missione</w:t>
      </w:r>
      <w:r w:rsidRPr="000248D1">
        <w:rPr>
          <w:rFonts w:ascii="Times New Roman" w:hAnsi="Times New Roman" w:cs="Times New Roman"/>
          <w:sz w:val="28"/>
          <w:szCs w:val="28"/>
        </w:rPr>
        <w:t xml:space="preserve">. All’interno di una </w:t>
      </w:r>
      <w:r w:rsidRPr="000248D1">
        <w:rPr>
          <w:rFonts w:ascii="Times New Roman" w:hAnsi="Times New Roman" w:cs="Times New Roman"/>
          <w:sz w:val="28"/>
          <w:szCs w:val="28"/>
        </w:rPr>
        <w:lastRenderedPageBreak/>
        <w:t>lettera del 1920 Propaganda ribadiva l’obbligo di elaborare tale relazione in latino, con la firma dall'ordinario stesso e di almeno uno dei canonici o consultori (nelle diocesi) o dei consiglieri della missione e con l’aggiunta della data, mese e anno in cui era stata fatta</w:t>
      </w:r>
      <w:r w:rsidRPr="000248D1">
        <w:rPr>
          <w:rStyle w:val="Rimandonotaapidipagina"/>
          <w:rFonts w:ascii="Times New Roman" w:hAnsi="Times New Roman" w:cs="Times New Roman"/>
          <w:sz w:val="28"/>
          <w:szCs w:val="28"/>
        </w:rPr>
        <w:footnoteReference w:id="459"/>
      </w:r>
      <w:r w:rsidRPr="000248D1">
        <w:rPr>
          <w:rFonts w:ascii="Times New Roman" w:hAnsi="Times New Roman" w:cs="Times New Roman"/>
          <w:sz w:val="28"/>
          <w:szCs w:val="28"/>
        </w:rPr>
        <w:t>. Nelle relazioni che seguiranno alla prima, gli ordinari potranno omettere tutto ciò riguardante la parte storica e altre informazioni generali della missione, purché queste rimangano invariate.</w:t>
      </w:r>
    </w:p>
    <w:p w14:paraId="5FB6ACA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Nel primo capitolo di tale epistola Propaganda indicava gli avvisi generali da seguire per l’inizio della missione, ovvero una serie di informazioni che dovevano essere fornite con tale relazione: un breve riassunto storico circa l'origine, l'andamento e i mutamenti della diocesi, del vicariato o della prefettura o della missione e un abbozzo anche della storia religiosa della stessa, specialmente delle persecuzioni, e dei martiri più illustri, informazioni sulla natura del luogo, sui costumi dei suoi abitanti e sulla forma di governo</w:t>
      </w:r>
      <w:r w:rsidRPr="000248D1">
        <w:rPr>
          <w:rStyle w:val="Rimandonotaapidipagina"/>
          <w:rFonts w:ascii="Times New Roman" w:hAnsi="Times New Roman" w:cs="Times New Roman"/>
          <w:sz w:val="28"/>
          <w:szCs w:val="28"/>
        </w:rPr>
        <w:footnoteReference w:id="460"/>
      </w:r>
      <w:r w:rsidRPr="000248D1">
        <w:rPr>
          <w:rFonts w:ascii="Times New Roman" w:hAnsi="Times New Roman" w:cs="Times New Roman"/>
          <w:sz w:val="28"/>
          <w:szCs w:val="28"/>
        </w:rPr>
        <w:t>.</w:t>
      </w:r>
    </w:p>
    <w:p w14:paraId="662599A2" w14:textId="77777777" w:rsidR="00140247"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Nel secondo e terzo capitolo invece si fornivano indicazioni necessarie per la costituzione della missione e la sua divisione ecclesiastica, nonché informazioni sugli ordinari e sul governo di missione</w:t>
      </w:r>
      <w:r w:rsidRPr="000248D1">
        <w:rPr>
          <w:rStyle w:val="Rimandonotaapidipagina"/>
          <w:rFonts w:ascii="Times New Roman" w:hAnsi="Times New Roman" w:cs="Times New Roman"/>
          <w:sz w:val="28"/>
          <w:szCs w:val="28"/>
        </w:rPr>
        <w:footnoteReference w:id="461"/>
      </w:r>
      <w:r w:rsidRPr="000248D1">
        <w:rPr>
          <w:rFonts w:ascii="Times New Roman" w:hAnsi="Times New Roman" w:cs="Times New Roman"/>
          <w:sz w:val="28"/>
          <w:szCs w:val="28"/>
        </w:rPr>
        <w:t>. Si doveva indicare all’interno della relazione:</w:t>
      </w:r>
      <w:r w:rsidRPr="000248D1">
        <w:rPr>
          <w:sz w:val="28"/>
          <w:szCs w:val="28"/>
        </w:rPr>
        <w:t xml:space="preserve"> </w:t>
      </w:r>
      <w:r w:rsidRPr="000248D1">
        <w:rPr>
          <w:rFonts w:ascii="Times New Roman" w:hAnsi="Times New Roman" w:cs="Times New Roman"/>
          <w:sz w:val="28"/>
          <w:szCs w:val="28"/>
        </w:rPr>
        <w:t xml:space="preserve">il luogo di residenza dell'ordinario, in quante sezioni o distretti e altre circoscrizioni era divisa la missione, se e quanti erano presenti nelle diocesi parrocchiali o in altre missioni quasi-parrocchiali con una propria chiesa, un determinato territorio e un direttore particolare, se vi era la possibilità in futuro di dividere la missione in più diocesi o vicariati o prefetture e come l'ordinario si sarebbe dovuto preparare a questa divisione, organizzando in ogni parte le opere necessarie affinché la missione potesse </w:t>
      </w:r>
      <w:r w:rsidRPr="000248D1">
        <w:rPr>
          <w:rFonts w:ascii="Times New Roman" w:hAnsi="Times New Roman" w:cs="Times New Roman"/>
          <w:sz w:val="28"/>
          <w:szCs w:val="28"/>
        </w:rPr>
        <w:lastRenderedPageBreak/>
        <w:t>es</w:t>
      </w:r>
      <w:r>
        <w:rPr>
          <w:rFonts w:ascii="Times New Roman" w:hAnsi="Times New Roman" w:cs="Times New Roman"/>
          <w:sz w:val="28"/>
          <w:szCs w:val="28"/>
        </w:rPr>
        <w:t>sere considerata indipendente, l’indicazione del</w:t>
      </w:r>
      <w:r w:rsidRPr="000248D1">
        <w:rPr>
          <w:rFonts w:ascii="Times New Roman" w:hAnsi="Times New Roman" w:cs="Times New Roman"/>
          <w:sz w:val="28"/>
          <w:szCs w:val="28"/>
        </w:rPr>
        <w:t>le parti della missione non ancora evangelizzate e delle modalità con cui procedere all’evangelizzazione</w:t>
      </w:r>
      <w:r w:rsidRPr="000248D1">
        <w:rPr>
          <w:rStyle w:val="Rimandonotaapidipagina"/>
          <w:rFonts w:ascii="Times New Roman" w:hAnsi="Times New Roman" w:cs="Times New Roman"/>
          <w:sz w:val="28"/>
          <w:szCs w:val="28"/>
        </w:rPr>
        <w:footnoteReference w:id="462"/>
      </w:r>
      <w:r w:rsidRPr="000248D1">
        <w:rPr>
          <w:rFonts w:ascii="Times New Roman" w:hAnsi="Times New Roman" w:cs="Times New Roman"/>
          <w:sz w:val="28"/>
          <w:szCs w:val="28"/>
        </w:rPr>
        <w:t>. Mentre per quanto riguarda le informazioni sugli ordinari vi era l’obbligo di indicare: nome e cognome, età, luogo di origine e istituto religioso dell’ordinario e l’indicazione dei privilegi eventual</w:t>
      </w:r>
      <w:r>
        <w:rPr>
          <w:rFonts w:ascii="Times New Roman" w:hAnsi="Times New Roman" w:cs="Times New Roman"/>
          <w:sz w:val="28"/>
          <w:szCs w:val="28"/>
        </w:rPr>
        <w:t>mente ricevuti dalla Santa Sede</w:t>
      </w:r>
      <w:r w:rsidRPr="000248D1">
        <w:rPr>
          <w:rFonts w:ascii="Times New Roman" w:hAnsi="Times New Roman" w:cs="Times New Roman"/>
          <w:sz w:val="28"/>
          <w:szCs w:val="28"/>
        </w:rPr>
        <w:t>. Inoltre l’ordinario doveva specificare anche l’eventuale presenza di suffraganee della diocesi, indicare le no</w:t>
      </w:r>
      <w:r>
        <w:rPr>
          <w:rFonts w:ascii="Times New Roman" w:hAnsi="Times New Roman" w:cs="Times New Roman"/>
          <w:sz w:val="28"/>
          <w:szCs w:val="28"/>
        </w:rPr>
        <w:t xml:space="preserve">mine di vescovi ausiliari, di </w:t>
      </w:r>
      <w:r w:rsidRPr="000248D1">
        <w:rPr>
          <w:rFonts w:ascii="Times New Roman" w:hAnsi="Times New Roman" w:cs="Times New Roman"/>
          <w:sz w:val="28"/>
          <w:szCs w:val="28"/>
        </w:rPr>
        <w:t xml:space="preserve"> pro-vicari</w:t>
      </w:r>
      <w:r>
        <w:rPr>
          <w:rFonts w:ascii="Times New Roman" w:hAnsi="Times New Roman" w:cs="Times New Roman"/>
          <w:sz w:val="28"/>
          <w:szCs w:val="28"/>
        </w:rPr>
        <w:t xml:space="preserve"> o di</w:t>
      </w:r>
      <w:r w:rsidRPr="000248D1">
        <w:rPr>
          <w:rFonts w:ascii="Times New Roman" w:hAnsi="Times New Roman" w:cs="Times New Roman"/>
          <w:sz w:val="28"/>
          <w:szCs w:val="28"/>
        </w:rPr>
        <w:t xml:space="preserve"> pro-prefetti, fornendo indicazioni sull’età, la condizione di salute e l’eventuale istituto religioso di appartenenza dei medesimi</w:t>
      </w:r>
      <w:r w:rsidRPr="000248D1">
        <w:rPr>
          <w:rStyle w:val="Rimandonotaapidipagina"/>
          <w:rFonts w:ascii="Times New Roman" w:hAnsi="Times New Roman" w:cs="Times New Roman"/>
          <w:sz w:val="28"/>
          <w:szCs w:val="28"/>
        </w:rPr>
        <w:footnoteReference w:id="463"/>
      </w:r>
      <w:r w:rsidRPr="000248D1">
        <w:rPr>
          <w:rFonts w:ascii="Times New Roman" w:hAnsi="Times New Roman" w:cs="Times New Roman"/>
          <w:sz w:val="28"/>
          <w:szCs w:val="28"/>
        </w:rPr>
        <w:t>. Infine si doveva indicare anche l’eventuale presenza di capitoli con i loro statuti e le caratteristiche del consiglio di missione (cann. 302-303), che l’ordinario doveva convocare almeno una volta all’anno con i capi sacerdoti indigeni e stranieri, in quanto i consigli e l’esperienza di ciascuno potevano garantire una migliore organizzazione alla missione</w:t>
      </w:r>
      <w:r w:rsidRPr="000248D1">
        <w:rPr>
          <w:rStyle w:val="Rimandonotaapidipagina"/>
          <w:rFonts w:ascii="Times New Roman" w:hAnsi="Times New Roman" w:cs="Times New Roman"/>
          <w:sz w:val="28"/>
          <w:szCs w:val="28"/>
        </w:rPr>
        <w:footnoteReference w:id="464"/>
      </w:r>
      <w:r w:rsidRPr="000248D1">
        <w:rPr>
          <w:rFonts w:ascii="Times New Roman" w:hAnsi="Times New Roman" w:cs="Times New Roman"/>
          <w:sz w:val="28"/>
          <w:szCs w:val="28"/>
        </w:rPr>
        <w:t xml:space="preserve">. </w:t>
      </w:r>
      <w:r>
        <w:rPr>
          <w:rFonts w:ascii="Times New Roman" w:hAnsi="Times New Roman" w:cs="Times New Roman"/>
          <w:sz w:val="28"/>
          <w:szCs w:val="28"/>
        </w:rPr>
        <w:t>Successivamente nel 1930 Propaganda modificò il contenuto della relazione annua sulle missioni, dando la possibilità di inserire tabelle in cui poter mettere dati statistici di un anno di missione (che andava dal primo giorno di luglio al trentesimo giorno di giugno dell’anno successivo)</w:t>
      </w:r>
      <w:r>
        <w:rPr>
          <w:rStyle w:val="Rimandonotaapidipagina"/>
          <w:rFonts w:ascii="Times New Roman" w:hAnsi="Times New Roman" w:cs="Times New Roman"/>
          <w:sz w:val="28"/>
          <w:szCs w:val="28"/>
        </w:rPr>
        <w:footnoteReference w:id="465"/>
      </w:r>
      <w:r>
        <w:rPr>
          <w:rFonts w:ascii="Times New Roman" w:hAnsi="Times New Roman" w:cs="Times New Roman"/>
          <w:sz w:val="28"/>
          <w:szCs w:val="28"/>
        </w:rPr>
        <w:t>. Tale relazione doveva essere inviata sia alla sezione archivio, sia alla sezione dedicata alla pubblicazione delle statistiche di Propaganda fide</w:t>
      </w:r>
      <w:r>
        <w:rPr>
          <w:rStyle w:val="Rimandonotaapidipagina"/>
          <w:rFonts w:ascii="Times New Roman" w:hAnsi="Times New Roman" w:cs="Times New Roman"/>
          <w:sz w:val="28"/>
          <w:szCs w:val="28"/>
        </w:rPr>
        <w:footnoteReference w:id="466"/>
      </w:r>
      <w:r>
        <w:rPr>
          <w:rFonts w:ascii="Times New Roman" w:hAnsi="Times New Roman" w:cs="Times New Roman"/>
          <w:sz w:val="28"/>
          <w:szCs w:val="28"/>
        </w:rPr>
        <w:t>. Inoltre vi era la necessità di aggiornare frequentemente tali dati statistici</w:t>
      </w:r>
      <w:r>
        <w:rPr>
          <w:rStyle w:val="Rimandonotaapidipagina"/>
          <w:rFonts w:ascii="Times New Roman" w:hAnsi="Times New Roman" w:cs="Times New Roman"/>
          <w:sz w:val="28"/>
          <w:szCs w:val="28"/>
        </w:rPr>
        <w:footnoteReference w:id="467"/>
      </w:r>
      <w:r>
        <w:rPr>
          <w:rFonts w:ascii="Times New Roman" w:hAnsi="Times New Roman" w:cs="Times New Roman"/>
          <w:sz w:val="28"/>
          <w:szCs w:val="28"/>
        </w:rPr>
        <w:t xml:space="preserve">. </w:t>
      </w:r>
    </w:p>
    <w:p w14:paraId="7D1C5621" w14:textId="7C20183D"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Successivamente nel 1934 l’obbligo di presentazione della relazione annua fu questionato, perché il can. 300 del CIC (1917) sembrava riferirsi solo ai vicariati e alle prefetture apostoliche, senza citare le diocesi</w:t>
      </w:r>
      <w:r>
        <w:rPr>
          <w:rStyle w:val="Rimandonotaapidipagina"/>
          <w:rFonts w:ascii="Times New Roman" w:hAnsi="Times New Roman" w:cs="Times New Roman"/>
          <w:sz w:val="28"/>
          <w:szCs w:val="28"/>
        </w:rPr>
        <w:footnoteReference w:id="468"/>
      </w:r>
      <w:r>
        <w:rPr>
          <w:rFonts w:ascii="Times New Roman" w:hAnsi="Times New Roman" w:cs="Times New Roman"/>
          <w:sz w:val="28"/>
          <w:szCs w:val="28"/>
        </w:rPr>
        <w:t xml:space="preserve">. Propaganda </w:t>
      </w:r>
      <w:r>
        <w:rPr>
          <w:rFonts w:ascii="Times New Roman" w:hAnsi="Times New Roman" w:cs="Times New Roman"/>
          <w:sz w:val="28"/>
          <w:szCs w:val="28"/>
        </w:rPr>
        <w:lastRenderedPageBreak/>
        <w:t>fide, in realtà chiarì come tale obbligo dovesse essere esteso anche alle diocesi e più in generale a tutti i territori ecclesiastici con carattere missionario, dipendenti dalla Sacra Congregazione, poiché i dati statistici contenuti all’interno della relazione annua erano fondamentali per poter organizzare l’opera di evangelizzazione</w:t>
      </w:r>
      <w:r>
        <w:rPr>
          <w:rStyle w:val="Rimandonotaapidipagina"/>
          <w:rFonts w:ascii="Times New Roman" w:hAnsi="Times New Roman" w:cs="Times New Roman"/>
          <w:sz w:val="28"/>
          <w:szCs w:val="28"/>
        </w:rPr>
        <w:footnoteReference w:id="469"/>
      </w:r>
      <w:r>
        <w:rPr>
          <w:rFonts w:ascii="Times New Roman" w:hAnsi="Times New Roman" w:cs="Times New Roman"/>
          <w:sz w:val="28"/>
          <w:szCs w:val="28"/>
        </w:rPr>
        <w:t>.</w:t>
      </w:r>
    </w:p>
    <w:p w14:paraId="764ED803" w14:textId="77777777" w:rsidR="00484F9B" w:rsidRDefault="00484F9B" w:rsidP="00484F9B">
      <w:pPr>
        <w:spacing w:after="0" w:line="360" w:lineRule="auto"/>
        <w:ind w:left="680" w:right="340"/>
        <w:jc w:val="both"/>
        <w:rPr>
          <w:rFonts w:ascii="Times New Roman" w:hAnsi="Times New Roman" w:cs="Times New Roman"/>
          <w:sz w:val="28"/>
          <w:szCs w:val="28"/>
        </w:rPr>
      </w:pPr>
    </w:p>
    <w:p w14:paraId="271E007A" w14:textId="77777777" w:rsidR="00140247" w:rsidRDefault="00140247" w:rsidP="00484F9B">
      <w:pPr>
        <w:spacing w:after="0" w:line="360" w:lineRule="auto"/>
        <w:ind w:left="680" w:right="340"/>
        <w:jc w:val="both"/>
        <w:rPr>
          <w:rFonts w:ascii="Times New Roman" w:hAnsi="Times New Roman" w:cs="Times New Roman"/>
          <w:sz w:val="28"/>
          <w:szCs w:val="28"/>
        </w:rPr>
      </w:pPr>
    </w:p>
    <w:p w14:paraId="45051798" w14:textId="2569EF1A" w:rsidR="00140247" w:rsidRDefault="00140247" w:rsidP="00484F9B">
      <w:pPr>
        <w:pStyle w:val="Paragrafoelenco"/>
        <w:numPr>
          <w:ilvl w:val="2"/>
          <w:numId w:val="26"/>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Creazione di una nuova missione</w:t>
      </w:r>
    </w:p>
    <w:p w14:paraId="07A49414" w14:textId="77777777" w:rsidR="00484F9B" w:rsidRPr="00484F9B" w:rsidRDefault="00484F9B" w:rsidP="00484F9B">
      <w:pPr>
        <w:pStyle w:val="Paragrafoelenco"/>
        <w:spacing w:after="0" w:line="360" w:lineRule="auto"/>
        <w:ind w:left="680" w:right="340"/>
        <w:jc w:val="both"/>
        <w:rPr>
          <w:rFonts w:ascii="Times New Roman" w:hAnsi="Times New Roman" w:cs="Times New Roman"/>
          <w:i/>
          <w:sz w:val="28"/>
          <w:szCs w:val="28"/>
        </w:rPr>
      </w:pPr>
    </w:p>
    <w:p w14:paraId="5DE3517B"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Propaganda successivamente</w:t>
      </w:r>
      <w:r w:rsidRPr="00452448">
        <w:rPr>
          <w:rFonts w:ascii="Times New Roman" w:hAnsi="Times New Roman" w:cs="Times New Roman"/>
          <w:sz w:val="28"/>
          <w:szCs w:val="28"/>
        </w:rPr>
        <w:t xml:space="preserve"> </w:t>
      </w:r>
      <w:r>
        <w:rPr>
          <w:rFonts w:ascii="Times New Roman" w:hAnsi="Times New Roman" w:cs="Times New Roman"/>
          <w:sz w:val="28"/>
          <w:szCs w:val="28"/>
        </w:rPr>
        <w:t>nel 1942 evidenziò i criteri che dovevano essere seguiti per la creazione di una nuova missione, così da poter assicurare il successo dell’opera di evangelizzazione.</w:t>
      </w:r>
      <w:r w:rsidRPr="00452448">
        <w:t xml:space="preserve"> </w:t>
      </w:r>
      <w:r w:rsidRPr="00053C47">
        <w:rPr>
          <w:rFonts w:ascii="Times New Roman" w:hAnsi="Times New Roman" w:cs="Times New Roman"/>
          <w:sz w:val="28"/>
          <w:szCs w:val="28"/>
        </w:rPr>
        <w:t>All’interno di tale documento del 1942 Propaganda evidenziava</w:t>
      </w:r>
      <w:r>
        <w:t xml:space="preserve"> </w:t>
      </w:r>
      <w:r>
        <w:rPr>
          <w:rFonts w:ascii="Times New Roman" w:hAnsi="Times New Roman" w:cs="Times New Roman"/>
          <w:sz w:val="28"/>
          <w:szCs w:val="28"/>
        </w:rPr>
        <w:t xml:space="preserve">l’obbligo di spiegare brevemente </w:t>
      </w:r>
      <w:r w:rsidRPr="00452448">
        <w:rPr>
          <w:rFonts w:ascii="Times New Roman" w:hAnsi="Times New Roman" w:cs="Times New Roman"/>
          <w:sz w:val="28"/>
          <w:szCs w:val="28"/>
        </w:rPr>
        <w:t xml:space="preserve">le ragioni </w:t>
      </w:r>
      <w:r>
        <w:rPr>
          <w:rFonts w:ascii="Times New Roman" w:hAnsi="Times New Roman" w:cs="Times New Roman"/>
          <w:sz w:val="28"/>
          <w:szCs w:val="28"/>
        </w:rPr>
        <w:t>che giustificavano la creazione di nuovo insediamento ed il suo collegamento con la storia delle missioni cattoliche</w:t>
      </w:r>
      <w:r>
        <w:rPr>
          <w:rStyle w:val="Rimandonotaapidipagina"/>
          <w:rFonts w:ascii="Times New Roman" w:hAnsi="Times New Roman" w:cs="Times New Roman"/>
          <w:sz w:val="28"/>
          <w:szCs w:val="28"/>
        </w:rPr>
        <w:footnoteReference w:id="470"/>
      </w:r>
      <w:r>
        <w:rPr>
          <w:rFonts w:ascii="Times New Roman" w:hAnsi="Times New Roman" w:cs="Times New Roman"/>
          <w:sz w:val="28"/>
          <w:szCs w:val="28"/>
        </w:rPr>
        <w:t xml:space="preserve">. Si doveva indicare il nome della nuova missione, il livello (prefettura, vicariato, diocesi), </w:t>
      </w:r>
      <w:r w:rsidRPr="00452448">
        <w:rPr>
          <w:rFonts w:ascii="Times New Roman" w:hAnsi="Times New Roman" w:cs="Times New Roman"/>
          <w:sz w:val="28"/>
          <w:szCs w:val="28"/>
        </w:rPr>
        <w:t>la supe</w:t>
      </w:r>
      <w:r>
        <w:rPr>
          <w:rFonts w:ascii="Times New Roman" w:hAnsi="Times New Roman" w:cs="Times New Roman"/>
          <w:sz w:val="28"/>
          <w:szCs w:val="28"/>
        </w:rPr>
        <w:t>rficie,</w:t>
      </w:r>
      <w:r w:rsidRPr="00452448">
        <w:rPr>
          <w:rFonts w:ascii="Times New Roman" w:hAnsi="Times New Roman" w:cs="Times New Roman"/>
          <w:sz w:val="28"/>
          <w:szCs w:val="28"/>
        </w:rPr>
        <w:t xml:space="preserve"> le dimen</w:t>
      </w:r>
      <w:r>
        <w:rPr>
          <w:rFonts w:ascii="Times New Roman" w:hAnsi="Times New Roman" w:cs="Times New Roman"/>
          <w:sz w:val="28"/>
          <w:szCs w:val="28"/>
        </w:rPr>
        <w:t>sioni del territorio in cui doveva</w:t>
      </w:r>
      <w:r w:rsidRPr="00452448">
        <w:rPr>
          <w:rFonts w:ascii="Times New Roman" w:hAnsi="Times New Roman" w:cs="Times New Roman"/>
          <w:sz w:val="28"/>
          <w:szCs w:val="28"/>
        </w:rPr>
        <w:t xml:space="preserve"> esse</w:t>
      </w:r>
      <w:r>
        <w:rPr>
          <w:rFonts w:ascii="Times New Roman" w:hAnsi="Times New Roman" w:cs="Times New Roman"/>
          <w:sz w:val="28"/>
          <w:szCs w:val="28"/>
        </w:rPr>
        <w:t>re contenuta la nuova missione e i confini, facendo in modo che questi coincidessero con i confini dello stato o della provincia in cui questa era situata</w:t>
      </w:r>
      <w:r>
        <w:rPr>
          <w:rStyle w:val="Rimandonotaapidipagina"/>
          <w:rFonts w:ascii="Times New Roman" w:hAnsi="Times New Roman" w:cs="Times New Roman"/>
          <w:sz w:val="28"/>
          <w:szCs w:val="28"/>
        </w:rPr>
        <w:footnoteReference w:id="471"/>
      </w:r>
      <w:r>
        <w:rPr>
          <w:rFonts w:ascii="Times New Roman" w:hAnsi="Times New Roman" w:cs="Times New Roman"/>
          <w:sz w:val="28"/>
          <w:szCs w:val="28"/>
        </w:rPr>
        <w:t>.</w:t>
      </w:r>
      <w:r w:rsidRPr="00C02FD5">
        <w:t xml:space="preserve"> </w:t>
      </w:r>
      <w:r>
        <w:rPr>
          <w:rFonts w:ascii="Times New Roman" w:hAnsi="Times New Roman" w:cs="Times New Roman"/>
          <w:sz w:val="28"/>
          <w:szCs w:val="28"/>
        </w:rPr>
        <w:t xml:space="preserve">Tra le altre informazioni che dovevano essere fornite vi erano quelle riguardanti il </w:t>
      </w:r>
      <w:r w:rsidRPr="00C02FD5">
        <w:rPr>
          <w:rFonts w:ascii="Times New Roman" w:hAnsi="Times New Roman" w:cs="Times New Roman"/>
          <w:sz w:val="28"/>
          <w:szCs w:val="28"/>
        </w:rPr>
        <w:t>governo civile</w:t>
      </w:r>
      <w:r>
        <w:rPr>
          <w:rFonts w:ascii="Times New Roman" w:hAnsi="Times New Roman" w:cs="Times New Roman"/>
          <w:sz w:val="28"/>
          <w:szCs w:val="28"/>
        </w:rPr>
        <w:t xml:space="preserve"> dell’area, in cui si intendeva instaurare la missione. Tra queste informazioni si richiedevano:</w:t>
      </w:r>
      <w:r w:rsidRPr="00C02FD5">
        <w:rPr>
          <w:rFonts w:ascii="Times New Roman" w:hAnsi="Times New Roman" w:cs="Times New Roman"/>
          <w:sz w:val="28"/>
          <w:szCs w:val="28"/>
        </w:rPr>
        <w:t xml:space="preserve"> le d</w:t>
      </w:r>
      <w:r>
        <w:rPr>
          <w:rFonts w:ascii="Times New Roman" w:hAnsi="Times New Roman" w:cs="Times New Roman"/>
          <w:sz w:val="28"/>
          <w:szCs w:val="28"/>
        </w:rPr>
        <w:t>ivisioni civili del territorio,</w:t>
      </w:r>
      <w:r w:rsidRPr="00C02FD5">
        <w:rPr>
          <w:rFonts w:ascii="Times New Roman" w:hAnsi="Times New Roman" w:cs="Times New Roman"/>
          <w:sz w:val="28"/>
          <w:szCs w:val="28"/>
        </w:rPr>
        <w:t xml:space="preserve"> il numero dei princ</w:t>
      </w:r>
      <w:r>
        <w:rPr>
          <w:rFonts w:ascii="Times New Roman" w:hAnsi="Times New Roman" w:cs="Times New Roman"/>
          <w:sz w:val="28"/>
          <w:szCs w:val="28"/>
        </w:rPr>
        <w:t>ipali stati della regione, il numero degli abitanti, le loro tribù, le loro lingue e se il governo civile fosse disposto a fornire aiuti materiali (sussidi) alle missioni</w:t>
      </w:r>
      <w:r>
        <w:rPr>
          <w:rStyle w:val="Rimandonotaapidipagina"/>
          <w:rFonts w:ascii="Times New Roman" w:hAnsi="Times New Roman" w:cs="Times New Roman"/>
          <w:sz w:val="28"/>
          <w:szCs w:val="28"/>
        </w:rPr>
        <w:footnoteReference w:id="472"/>
      </w:r>
      <w:r>
        <w:rPr>
          <w:rFonts w:ascii="Times New Roman" w:hAnsi="Times New Roman" w:cs="Times New Roman"/>
          <w:sz w:val="28"/>
          <w:szCs w:val="28"/>
        </w:rPr>
        <w:t xml:space="preserve">. Inoltre vi dovevano essere informazioni riguardanti l’attività religiosa. Difatti vi era il dovere di </w:t>
      </w:r>
      <w:r>
        <w:rPr>
          <w:rFonts w:ascii="Times New Roman" w:hAnsi="Times New Roman" w:cs="Times New Roman"/>
          <w:sz w:val="28"/>
          <w:szCs w:val="28"/>
        </w:rPr>
        <w:lastRenderedPageBreak/>
        <w:t xml:space="preserve">indicare: il numero dei cattolici, il numero di </w:t>
      </w:r>
      <w:r w:rsidRPr="00C02FD5">
        <w:rPr>
          <w:rFonts w:ascii="Times New Roman" w:hAnsi="Times New Roman" w:cs="Times New Roman"/>
          <w:sz w:val="28"/>
          <w:szCs w:val="28"/>
        </w:rPr>
        <w:t>missionari disponibili nel territorio</w:t>
      </w:r>
      <w:r>
        <w:rPr>
          <w:rFonts w:ascii="Times New Roman" w:hAnsi="Times New Roman" w:cs="Times New Roman"/>
          <w:sz w:val="28"/>
          <w:szCs w:val="28"/>
        </w:rPr>
        <w:t>, la presenza di eretici o scismatici sul territorio, se vi fosse o meno libertà nella professione della fede cattolica, l’individuazione di chiese, cappelle, di istituti religiosi, di seminari, di scuole, di ospedali, l’individuazione del luogo di residenza dell’ordinario e l’indicazione delle case religiose</w:t>
      </w:r>
      <w:r>
        <w:rPr>
          <w:rStyle w:val="Rimandonotaapidipagina"/>
          <w:rFonts w:ascii="Times New Roman" w:hAnsi="Times New Roman" w:cs="Times New Roman"/>
          <w:sz w:val="28"/>
          <w:szCs w:val="28"/>
        </w:rPr>
        <w:footnoteReference w:id="473"/>
      </w:r>
      <w:r>
        <w:rPr>
          <w:rFonts w:ascii="Times New Roman" w:hAnsi="Times New Roman" w:cs="Times New Roman"/>
          <w:sz w:val="28"/>
          <w:szCs w:val="28"/>
        </w:rPr>
        <w:t xml:space="preserve">. </w:t>
      </w:r>
    </w:p>
    <w:p w14:paraId="43513765"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Rispetto a queste ultime Propaganda chiarì nel 1956 il divieto di erigere nuove case, senza il consenso dell’ordinario (il quale non può negarlo se non per un giusto motivo, can. 497)</w:t>
      </w:r>
      <w:r>
        <w:rPr>
          <w:rStyle w:val="Rimandonotaapidipagina"/>
          <w:rFonts w:ascii="Times New Roman" w:hAnsi="Times New Roman" w:cs="Times New Roman"/>
          <w:sz w:val="28"/>
          <w:szCs w:val="28"/>
        </w:rPr>
        <w:footnoteReference w:id="474"/>
      </w:r>
      <w:r>
        <w:rPr>
          <w:rFonts w:ascii="Times New Roman" w:hAnsi="Times New Roman" w:cs="Times New Roman"/>
          <w:sz w:val="28"/>
          <w:szCs w:val="28"/>
        </w:rPr>
        <w:t>. Per quelle case, situate in territori posti sotto la giurisdizione di Propaganda, oltre al consenso dell’ordinario serviva anche il beneplacito apostolico</w:t>
      </w:r>
      <w:r>
        <w:rPr>
          <w:rStyle w:val="Rimandonotaapidipagina"/>
          <w:rFonts w:ascii="Times New Roman" w:hAnsi="Times New Roman" w:cs="Times New Roman"/>
          <w:sz w:val="28"/>
          <w:szCs w:val="28"/>
        </w:rPr>
        <w:footnoteReference w:id="475"/>
      </w:r>
      <w:r>
        <w:rPr>
          <w:rFonts w:ascii="Times New Roman" w:hAnsi="Times New Roman" w:cs="Times New Roman"/>
          <w:sz w:val="28"/>
          <w:szCs w:val="28"/>
        </w:rPr>
        <w:t>. Il beneplacito apostolico era il con</w:t>
      </w:r>
      <w:r w:rsidRPr="003204FE">
        <w:rPr>
          <w:rFonts w:ascii="Times New Roman" w:hAnsi="Times New Roman" w:cs="Times New Roman"/>
          <w:sz w:val="28"/>
          <w:szCs w:val="28"/>
        </w:rPr>
        <w:t xml:space="preserve">senso o l’approvazione della S. Sede, </w:t>
      </w:r>
      <w:r>
        <w:rPr>
          <w:rFonts w:ascii="Times New Roman" w:hAnsi="Times New Roman" w:cs="Times New Roman"/>
          <w:sz w:val="28"/>
          <w:szCs w:val="28"/>
        </w:rPr>
        <w:t>necessaria a garantire</w:t>
      </w:r>
      <w:r w:rsidRPr="003204FE">
        <w:rPr>
          <w:rFonts w:ascii="Times New Roman" w:hAnsi="Times New Roman" w:cs="Times New Roman"/>
          <w:sz w:val="28"/>
          <w:szCs w:val="28"/>
        </w:rPr>
        <w:t xml:space="preserve"> la validità di alcuni atti </w:t>
      </w:r>
      <w:r>
        <w:rPr>
          <w:rFonts w:ascii="Times New Roman" w:hAnsi="Times New Roman" w:cs="Times New Roman"/>
          <w:sz w:val="28"/>
          <w:szCs w:val="28"/>
        </w:rPr>
        <w:t>presenti nel CIC</w:t>
      </w:r>
      <w:r>
        <w:rPr>
          <w:rStyle w:val="Rimandonotaapidipagina"/>
          <w:rFonts w:ascii="Times New Roman" w:hAnsi="Times New Roman" w:cs="Times New Roman"/>
          <w:sz w:val="28"/>
          <w:szCs w:val="28"/>
        </w:rPr>
        <w:footnoteReference w:id="476"/>
      </w:r>
      <w:r>
        <w:rPr>
          <w:rFonts w:ascii="Times New Roman" w:hAnsi="Times New Roman" w:cs="Times New Roman"/>
          <w:sz w:val="28"/>
          <w:szCs w:val="28"/>
        </w:rPr>
        <w:t>.</w:t>
      </w:r>
    </w:p>
    <w:p w14:paraId="6F41B4FF"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Nel 1959 venne chiesta a Propaganda una sanatoria per l’istituzione di alcune case religiose da parte dell’ordine religioso di riferimento che avevano ricevuto solo il consenso della S.C dei religiosi, ma non il beneplacito di Propaganda fide</w:t>
      </w:r>
      <w:r>
        <w:rPr>
          <w:rStyle w:val="Rimandonotaapidipagina"/>
          <w:rFonts w:ascii="Times New Roman" w:hAnsi="Times New Roman" w:cs="Times New Roman"/>
          <w:sz w:val="28"/>
          <w:szCs w:val="28"/>
        </w:rPr>
        <w:footnoteReference w:id="477"/>
      </w:r>
      <w:r>
        <w:rPr>
          <w:rFonts w:ascii="Times New Roman" w:hAnsi="Times New Roman" w:cs="Times New Roman"/>
          <w:sz w:val="28"/>
          <w:szCs w:val="28"/>
        </w:rPr>
        <w:t>.</w:t>
      </w:r>
    </w:p>
    <w:p w14:paraId="3FD89555" w14:textId="77777777" w:rsidR="00B3403A" w:rsidRDefault="00B3403A" w:rsidP="00484F9B">
      <w:pPr>
        <w:spacing w:after="0" w:line="360" w:lineRule="auto"/>
        <w:ind w:left="680" w:right="340"/>
        <w:jc w:val="both"/>
        <w:rPr>
          <w:rFonts w:ascii="Times New Roman" w:hAnsi="Times New Roman" w:cs="Times New Roman"/>
          <w:sz w:val="28"/>
          <w:szCs w:val="28"/>
        </w:rPr>
      </w:pPr>
    </w:p>
    <w:p w14:paraId="72E5B2D8" w14:textId="77777777" w:rsidR="00140247" w:rsidRDefault="00140247" w:rsidP="00484F9B">
      <w:pPr>
        <w:spacing w:after="0" w:line="360" w:lineRule="auto"/>
        <w:ind w:left="680" w:right="340"/>
        <w:jc w:val="both"/>
        <w:rPr>
          <w:rFonts w:ascii="Times New Roman" w:hAnsi="Times New Roman" w:cs="Times New Roman"/>
          <w:sz w:val="28"/>
          <w:szCs w:val="28"/>
        </w:rPr>
      </w:pPr>
    </w:p>
    <w:p w14:paraId="710B07EB" w14:textId="58E81CB8" w:rsidR="00140247" w:rsidRPr="00484F9B" w:rsidRDefault="00140247" w:rsidP="00484F9B">
      <w:pPr>
        <w:pStyle w:val="Paragrafoelenco"/>
        <w:numPr>
          <w:ilvl w:val="1"/>
          <w:numId w:val="26"/>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Legislazione sui missionari</w:t>
      </w:r>
    </w:p>
    <w:p w14:paraId="750B9663" w14:textId="77777777" w:rsidR="00484F9B" w:rsidRPr="00484F9B" w:rsidRDefault="00484F9B" w:rsidP="00484F9B">
      <w:pPr>
        <w:pStyle w:val="Paragrafoelenco"/>
        <w:spacing w:after="0" w:line="360" w:lineRule="auto"/>
        <w:ind w:left="680" w:right="340"/>
        <w:jc w:val="both"/>
        <w:rPr>
          <w:rFonts w:ascii="Times New Roman" w:hAnsi="Times New Roman" w:cs="Times New Roman"/>
          <w:i/>
          <w:sz w:val="28"/>
          <w:szCs w:val="28"/>
        </w:rPr>
      </w:pPr>
    </w:p>
    <w:p w14:paraId="427C14F6" w14:textId="77777777" w:rsidR="00B3403A"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Come detto già in precedenza lo scopo principale di Propaganda fide era garantire il pieno successo dell’apostolato e proprio per questo nel 1923 elaborò una lettera i cui destinatari erano i superiori generali o maggiori degli ordini, degli istituti e delle congregazioni religiose che si occupavano delle </w:t>
      </w:r>
      <w:r w:rsidRPr="000248D1">
        <w:rPr>
          <w:rFonts w:ascii="Times New Roman" w:hAnsi="Times New Roman" w:cs="Times New Roman"/>
          <w:sz w:val="28"/>
          <w:szCs w:val="28"/>
        </w:rPr>
        <w:lastRenderedPageBreak/>
        <w:t>missioni.</w:t>
      </w:r>
      <w:r w:rsidRPr="000248D1">
        <w:rPr>
          <w:sz w:val="28"/>
          <w:szCs w:val="28"/>
        </w:rPr>
        <w:t xml:space="preserve"> </w:t>
      </w:r>
      <w:r w:rsidRPr="000248D1">
        <w:rPr>
          <w:rFonts w:ascii="Times New Roman" w:hAnsi="Times New Roman" w:cs="Times New Roman"/>
          <w:sz w:val="28"/>
          <w:szCs w:val="28"/>
        </w:rPr>
        <w:t xml:space="preserve">I superiori delle missioni autonome o </w:t>
      </w:r>
      <w:r w:rsidRPr="000248D1">
        <w:rPr>
          <w:rFonts w:ascii="Times New Roman" w:hAnsi="Times New Roman" w:cs="Times New Roman"/>
          <w:i/>
          <w:sz w:val="28"/>
          <w:szCs w:val="28"/>
        </w:rPr>
        <w:t>sui iuris</w:t>
      </w:r>
      <w:r w:rsidRPr="000248D1">
        <w:rPr>
          <w:rFonts w:ascii="Times New Roman" w:hAnsi="Times New Roman" w:cs="Times New Roman"/>
          <w:sz w:val="28"/>
          <w:szCs w:val="28"/>
        </w:rPr>
        <w:t>, le quali rappresentavano il primo stadio della organizzazione ecclesiastica nelle missioni</w:t>
      </w:r>
      <w:r>
        <w:rPr>
          <w:rFonts w:ascii="Times New Roman" w:hAnsi="Times New Roman" w:cs="Times New Roman"/>
          <w:sz w:val="28"/>
          <w:szCs w:val="28"/>
        </w:rPr>
        <w:t xml:space="preserve"> e che esistevano già prima del CIC e con la codificazione vennero solo regolamentate</w:t>
      </w:r>
      <w:r w:rsidRPr="000248D1">
        <w:rPr>
          <w:rFonts w:ascii="Times New Roman" w:hAnsi="Times New Roman" w:cs="Times New Roman"/>
          <w:sz w:val="28"/>
          <w:szCs w:val="28"/>
        </w:rPr>
        <w:t>, venivano nominati con decreto da Propaganda, come i prefetti apostolici, ed alla pari di questi avevano eguali diritti e facoltà e godevano della stessa giurisdizione ordinaria e quindi erano dei veri e propri ordinari di luogo</w:t>
      </w:r>
      <w:r w:rsidRPr="000248D1">
        <w:rPr>
          <w:rStyle w:val="Rimandonotaapidipagina"/>
          <w:rFonts w:ascii="Times New Roman" w:hAnsi="Times New Roman" w:cs="Times New Roman"/>
          <w:sz w:val="28"/>
          <w:szCs w:val="28"/>
        </w:rPr>
        <w:footnoteReference w:id="478"/>
      </w:r>
      <w:r w:rsidRPr="000248D1">
        <w:rPr>
          <w:rFonts w:ascii="Times New Roman" w:hAnsi="Times New Roman" w:cs="Times New Roman"/>
          <w:sz w:val="28"/>
          <w:szCs w:val="28"/>
        </w:rPr>
        <w:t xml:space="preserve">. </w:t>
      </w:r>
      <w:r>
        <w:rPr>
          <w:rFonts w:ascii="Times New Roman" w:hAnsi="Times New Roman" w:cs="Times New Roman"/>
          <w:sz w:val="28"/>
          <w:szCs w:val="28"/>
        </w:rPr>
        <w:t xml:space="preserve">L’equiparazione tra il superiore di una missione </w:t>
      </w:r>
      <w:r w:rsidRPr="00176BC5">
        <w:rPr>
          <w:rFonts w:ascii="Times New Roman" w:hAnsi="Times New Roman" w:cs="Times New Roman"/>
          <w:i/>
          <w:sz w:val="28"/>
          <w:szCs w:val="28"/>
        </w:rPr>
        <w:t>sui iuris</w:t>
      </w:r>
      <w:r>
        <w:rPr>
          <w:rFonts w:ascii="Times New Roman" w:hAnsi="Times New Roman" w:cs="Times New Roman"/>
          <w:sz w:val="28"/>
          <w:szCs w:val="28"/>
        </w:rPr>
        <w:t xml:space="preserve"> e un ordinario era evidente anche nella possibilità che veniva data al superiore di celebrare la messa </w:t>
      </w:r>
      <w:r w:rsidRPr="009C70D2">
        <w:rPr>
          <w:rFonts w:ascii="Times New Roman" w:hAnsi="Times New Roman" w:cs="Times New Roman"/>
          <w:i/>
          <w:sz w:val="28"/>
          <w:szCs w:val="28"/>
        </w:rPr>
        <w:t>pro populo</w:t>
      </w:r>
      <w:r>
        <w:rPr>
          <w:rFonts w:ascii="Times New Roman" w:hAnsi="Times New Roman" w:cs="Times New Roman"/>
          <w:sz w:val="28"/>
          <w:szCs w:val="28"/>
        </w:rPr>
        <w:t>, nonostante quanto sancito dal can.308 del CIC, che faceva rientrare tale potere tra i privilegi dei vescovi titolari</w:t>
      </w:r>
      <w:r>
        <w:rPr>
          <w:rStyle w:val="Rimandonotaapidipagina"/>
          <w:rFonts w:ascii="Times New Roman" w:hAnsi="Times New Roman" w:cs="Times New Roman"/>
          <w:sz w:val="28"/>
          <w:szCs w:val="28"/>
        </w:rPr>
        <w:footnoteReference w:id="479"/>
      </w:r>
      <w:r>
        <w:rPr>
          <w:rFonts w:ascii="Times New Roman" w:hAnsi="Times New Roman" w:cs="Times New Roman"/>
          <w:sz w:val="28"/>
          <w:szCs w:val="28"/>
        </w:rPr>
        <w:t xml:space="preserve">. Propaganda chiarì nuovamente tale questione nel 1954, sancendo che </w:t>
      </w:r>
      <w:r w:rsidRPr="00277FBC">
        <w:rPr>
          <w:rFonts w:ascii="Times New Roman" w:hAnsi="Times New Roman" w:cs="Times New Roman"/>
          <w:sz w:val="28"/>
          <w:szCs w:val="28"/>
        </w:rPr>
        <w:t xml:space="preserve">i vescovi residenziali nei luoghi di missione </w:t>
      </w:r>
      <w:r>
        <w:rPr>
          <w:rFonts w:ascii="Times New Roman" w:hAnsi="Times New Roman" w:cs="Times New Roman"/>
          <w:sz w:val="28"/>
          <w:szCs w:val="28"/>
        </w:rPr>
        <w:t xml:space="preserve">potevano </w:t>
      </w:r>
      <w:r w:rsidRPr="00277FBC">
        <w:rPr>
          <w:rFonts w:ascii="Times New Roman" w:hAnsi="Times New Roman" w:cs="Times New Roman"/>
          <w:sz w:val="28"/>
          <w:szCs w:val="28"/>
        </w:rPr>
        <w:t xml:space="preserve">celebrare messe </w:t>
      </w:r>
      <w:r w:rsidRPr="00277FBC">
        <w:rPr>
          <w:rFonts w:ascii="Times New Roman" w:hAnsi="Times New Roman" w:cs="Times New Roman"/>
          <w:i/>
          <w:sz w:val="28"/>
          <w:szCs w:val="28"/>
        </w:rPr>
        <w:t>pro populo</w:t>
      </w:r>
      <w:r>
        <w:rPr>
          <w:rFonts w:ascii="Times New Roman" w:hAnsi="Times New Roman" w:cs="Times New Roman"/>
          <w:sz w:val="28"/>
          <w:szCs w:val="28"/>
        </w:rPr>
        <w:t xml:space="preserve"> (</w:t>
      </w:r>
      <w:r w:rsidRPr="00277FBC">
        <w:rPr>
          <w:rFonts w:ascii="Times New Roman" w:hAnsi="Times New Roman" w:cs="Times New Roman"/>
          <w:sz w:val="28"/>
          <w:szCs w:val="28"/>
        </w:rPr>
        <w:t>a norma del can. 306</w:t>
      </w:r>
      <w:r>
        <w:rPr>
          <w:rFonts w:ascii="Times New Roman" w:hAnsi="Times New Roman" w:cs="Times New Roman"/>
          <w:sz w:val="28"/>
          <w:szCs w:val="28"/>
        </w:rPr>
        <w:t>), allo stesso modo anche</w:t>
      </w:r>
      <w:r w:rsidRPr="00277FBC">
        <w:rPr>
          <w:rFonts w:ascii="Times New Roman" w:hAnsi="Times New Roman" w:cs="Times New Roman"/>
          <w:sz w:val="28"/>
          <w:szCs w:val="28"/>
        </w:rPr>
        <w:t xml:space="preserve"> i parroc</w:t>
      </w:r>
      <w:r>
        <w:rPr>
          <w:rFonts w:ascii="Times New Roman" w:hAnsi="Times New Roman" w:cs="Times New Roman"/>
          <w:sz w:val="28"/>
          <w:szCs w:val="28"/>
        </w:rPr>
        <w:t>i nelle aree di missione potevano</w:t>
      </w:r>
      <w:r w:rsidRPr="00277FBC">
        <w:rPr>
          <w:rFonts w:ascii="Times New Roman" w:hAnsi="Times New Roman" w:cs="Times New Roman"/>
          <w:sz w:val="28"/>
          <w:szCs w:val="28"/>
        </w:rPr>
        <w:t xml:space="preserve"> celebrare messe </w:t>
      </w:r>
      <w:r w:rsidRPr="00277FBC">
        <w:rPr>
          <w:rFonts w:ascii="Times New Roman" w:hAnsi="Times New Roman" w:cs="Times New Roman"/>
          <w:i/>
          <w:sz w:val="28"/>
          <w:szCs w:val="28"/>
        </w:rPr>
        <w:t>pro populo</w:t>
      </w:r>
      <w:r>
        <w:rPr>
          <w:rFonts w:ascii="Times New Roman" w:hAnsi="Times New Roman" w:cs="Times New Roman"/>
          <w:sz w:val="28"/>
          <w:szCs w:val="28"/>
        </w:rPr>
        <w:t xml:space="preserve"> </w:t>
      </w:r>
      <w:r w:rsidRPr="00277FBC">
        <w:rPr>
          <w:rFonts w:ascii="Times New Roman" w:hAnsi="Times New Roman" w:cs="Times New Roman"/>
          <w:sz w:val="28"/>
          <w:szCs w:val="28"/>
        </w:rPr>
        <w:t>come quasi parroci</w:t>
      </w:r>
      <w:r>
        <w:rPr>
          <w:rStyle w:val="Rimandonotaapidipagina"/>
          <w:rFonts w:ascii="Times New Roman" w:hAnsi="Times New Roman" w:cs="Times New Roman"/>
          <w:sz w:val="28"/>
          <w:szCs w:val="28"/>
        </w:rPr>
        <w:footnoteReference w:id="480"/>
      </w:r>
      <w:r w:rsidR="00B3403A">
        <w:rPr>
          <w:rFonts w:ascii="Times New Roman" w:hAnsi="Times New Roman" w:cs="Times New Roman"/>
          <w:sz w:val="28"/>
          <w:szCs w:val="28"/>
        </w:rPr>
        <w:t>.</w:t>
      </w:r>
    </w:p>
    <w:p w14:paraId="3E633958" w14:textId="77777777" w:rsidR="00B3403A" w:rsidRDefault="00B3403A" w:rsidP="00484F9B">
      <w:pPr>
        <w:spacing w:after="0" w:line="360" w:lineRule="auto"/>
        <w:ind w:left="680" w:right="340"/>
        <w:jc w:val="both"/>
        <w:rPr>
          <w:rFonts w:ascii="Times New Roman" w:hAnsi="Times New Roman" w:cs="Times New Roman"/>
          <w:sz w:val="28"/>
          <w:szCs w:val="28"/>
        </w:rPr>
      </w:pPr>
    </w:p>
    <w:p w14:paraId="7F9BCBB1" w14:textId="22493585" w:rsidR="00140247" w:rsidRPr="00484F9B" w:rsidRDefault="00140247" w:rsidP="00484F9B">
      <w:pPr>
        <w:pStyle w:val="Paragrafoelenco"/>
        <w:numPr>
          <w:ilvl w:val="2"/>
          <w:numId w:val="8"/>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Elezione dei vicari generali</w:t>
      </w:r>
    </w:p>
    <w:p w14:paraId="37DEF8A9" w14:textId="77777777" w:rsidR="00484F9B" w:rsidRPr="00484F9B" w:rsidRDefault="00484F9B" w:rsidP="00484F9B">
      <w:pPr>
        <w:pStyle w:val="Paragrafoelenco"/>
        <w:spacing w:after="0" w:line="360" w:lineRule="auto"/>
        <w:ind w:left="680" w:right="340"/>
        <w:jc w:val="both"/>
        <w:rPr>
          <w:rFonts w:ascii="Times New Roman" w:hAnsi="Times New Roman" w:cs="Times New Roman"/>
          <w:sz w:val="28"/>
          <w:szCs w:val="28"/>
        </w:rPr>
      </w:pPr>
    </w:p>
    <w:p w14:paraId="01BC55C0"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Connessa all’equiparazione dei superiori di una missione agli ordinari, era anche la questione dell’elezione dei vicari generali. </w:t>
      </w:r>
      <w:r w:rsidRPr="000248D1">
        <w:rPr>
          <w:rFonts w:ascii="Times New Roman" w:hAnsi="Times New Roman" w:cs="Times New Roman"/>
          <w:sz w:val="28"/>
          <w:szCs w:val="28"/>
        </w:rPr>
        <w:t xml:space="preserve">Propaganda </w:t>
      </w:r>
      <w:r>
        <w:rPr>
          <w:rFonts w:ascii="Times New Roman" w:hAnsi="Times New Roman" w:cs="Times New Roman"/>
          <w:sz w:val="28"/>
          <w:szCs w:val="28"/>
        </w:rPr>
        <w:t xml:space="preserve">Fide </w:t>
      </w:r>
      <w:r w:rsidRPr="000248D1">
        <w:rPr>
          <w:rFonts w:ascii="Times New Roman" w:hAnsi="Times New Roman" w:cs="Times New Roman"/>
          <w:sz w:val="28"/>
          <w:szCs w:val="28"/>
        </w:rPr>
        <w:t>in un’</w:t>
      </w:r>
      <w:r w:rsidRPr="000248D1">
        <w:rPr>
          <w:rFonts w:ascii="Times New Roman" w:hAnsi="Times New Roman" w:cs="Times New Roman"/>
          <w:i/>
          <w:sz w:val="28"/>
          <w:szCs w:val="28"/>
        </w:rPr>
        <w:t>epistola</w:t>
      </w:r>
      <w:r w:rsidRPr="000248D1">
        <w:rPr>
          <w:rFonts w:ascii="Times New Roman" w:hAnsi="Times New Roman" w:cs="Times New Roman"/>
          <w:sz w:val="28"/>
          <w:szCs w:val="28"/>
        </w:rPr>
        <w:t xml:space="preserve"> del 1919 sottolineò come, secondo quanto sancito dal can. 198</w:t>
      </w:r>
      <w:r>
        <w:rPr>
          <w:rFonts w:ascii="Times New Roman" w:hAnsi="Times New Roman" w:cs="Times New Roman"/>
          <w:sz w:val="28"/>
          <w:szCs w:val="28"/>
        </w:rPr>
        <w:t xml:space="preserve"> del Codice canonico</w:t>
      </w:r>
      <w:r w:rsidRPr="000248D1">
        <w:rPr>
          <w:rFonts w:ascii="Times New Roman" w:hAnsi="Times New Roman" w:cs="Times New Roman"/>
          <w:sz w:val="28"/>
          <w:szCs w:val="28"/>
        </w:rPr>
        <w:t>, vicari e prefetti apostolici non avessero il diritto di eleggere un vicario generale come avveniva per i vescovi residenti</w:t>
      </w:r>
      <w:r w:rsidRPr="000248D1">
        <w:rPr>
          <w:rStyle w:val="Rimandonotaapidipagina"/>
          <w:rFonts w:ascii="Times New Roman" w:hAnsi="Times New Roman" w:cs="Times New Roman"/>
          <w:sz w:val="28"/>
          <w:szCs w:val="28"/>
        </w:rPr>
        <w:footnoteReference w:id="481"/>
      </w:r>
      <w:r w:rsidRPr="000248D1">
        <w:rPr>
          <w:rFonts w:ascii="Times New Roman" w:hAnsi="Times New Roman" w:cs="Times New Roman"/>
          <w:sz w:val="28"/>
          <w:szCs w:val="28"/>
        </w:rPr>
        <w:t>. Questi, invece avevano solo il potere di nominare, con le funzioni da determinarsi caso per caso, un delegato che poteva anche essere una persona diversa dal procuratore, di cui nel can. 309</w:t>
      </w:r>
      <w:r w:rsidRPr="000248D1">
        <w:rPr>
          <w:rStyle w:val="Rimandonotaapidipagina"/>
          <w:rFonts w:ascii="Times New Roman" w:hAnsi="Times New Roman" w:cs="Times New Roman"/>
          <w:sz w:val="28"/>
          <w:szCs w:val="28"/>
        </w:rPr>
        <w:footnoteReference w:id="482"/>
      </w:r>
      <w:r w:rsidRPr="000248D1">
        <w:rPr>
          <w:rFonts w:ascii="Times New Roman" w:hAnsi="Times New Roman" w:cs="Times New Roman"/>
          <w:sz w:val="28"/>
          <w:szCs w:val="28"/>
        </w:rPr>
        <w:t>.</w:t>
      </w:r>
    </w:p>
    <w:p w14:paraId="4BAB49F5"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lastRenderedPageBreak/>
        <w:t>Nonostante ciò, Benedetto XV concesse</w:t>
      </w:r>
      <w:r>
        <w:rPr>
          <w:rFonts w:ascii="Times New Roman" w:hAnsi="Times New Roman" w:cs="Times New Roman"/>
          <w:sz w:val="28"/>
          <w:szCs w:val="28"/>
        </w:rPr>
        <w:t>,</w:t>
      </w:r>
      <w:r w:rsidRPr="000248D1">
        <w:rPr>
          <w:rFonts w:ascii="Times New Roman" w:hAnsi="Times New Roman" w:cs="Times New Roman"/>
          <w:sz w:val="28"/>
          <w:szCs w:val="28"/>
        </w:rPr>
        <w:t xml:space="preserve"> per il bene delle missioni</w:t>
      </w:r>
      <w:r>
        <w:rPr>
          <w:rFonts w:ascii="Times New Roman" w:hAnsi="Times New Roman" w:cs="Times New Roman"/>
          <w:sz w:val="28"/>
          <w:szCs w:val="28"/>
        </w:rPr>
        <w:t>,</w:t>
      </w:r>
      <w:r w:rsidRPr="000248D1">
        <w:rPr>
          <w:rFonts w:ascii="Times New Roman" w:hAnsi="Times New Roman" w:cs="Times New Roman"/>
          <w:sz w:val="28"/>
          <w:szCs w:val="28"/>
        </w:rPr>
        <w:t xml:space="preserve"> la validità degli atti di giurisdizione posti in essere da quei missionari, nel caso in cui questi si fossero comportati come dei vicari generali. Inoltre diede agli ordinari delle missioni il potere di nominare un vicario delegato, laddove ne avessero avuto bisogno, il quale poteva esercitare tutta la giurisdizione in materia spirituale e temporale, tipica del vicario generale nella diocesi secondo quanto sancito dal CIC (can. 368, § 10)</w:t>
      </w:r>
      <w:r w:rsidRPr="000248D1">
        <w:rPr>
          <w:rStyle w:val="Rimandonotaapidipagina"/>
          <w:rFonts w:ascii="Times New Roman" w:hAnsi="Times New Roman" w:cs="Times New Roman"/>
          <w:sz w:val="28"/>
          <w:szCs w:val="28"/>
        </w:rPr>
        <w:footnoteReference w:id="483"/>
      </w:r>
      <w:r w:rsidRPr="000248D1">
        <w:rPr>
          <w:rFonts w:ascii="Times New Roman" w:hAnsi="Times New Roman" w:cs="Times New Roman"/>
          <w:sz w:val="28"/>
          <w:szCs w:val="28"/>
        </w:rPr>
        <w:t xml:space="preserve">. </w:t>
      </w:r>
    </w:p>
    <w:p w14:paraId="2DE14647" w14:textId="77777777" w:rsidR="00140247" w:rsidRPr="00331A11"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I</w:t>
      </w:r>
      <w:r w:rsidRPr="000248D1">
        <w:rPr>
          <w:rFonts w:ascii="Times New Roman" w:hAnsi="Times New Roman" w:cs="Times New Roman"/>
          <w:sz w:val="28"/>
          <w:szCs w:val="28"/>
        </w:rPr>
        <w:t xml:space="preserve">l termine superiore ecclesiastico </w:t>
      </w:r>
      <w:r>
        <w:rPr>
          <w:rFonts w:ascii="Times New Roman" w:hAnsi="Times New Roman" w:cs="Times New Roman"/>
          <w:sz w:val="28"/>
          <w:szCs w:val="28"/>
        </w:rPr>
        <w:t xml:space="preserve">poteva essere usato </w:t>
      </w:r>
      <w:r w:rsidRPr="000248D1">
        <w:rPr>
          <w:rFonts w:ascii="Times New Roman" w:hAnsi="Times New Roman" w:cs="Times New Roman"/>
          <w:sz w:val="28"/>
          <w:szCs w:val="28"/>
        </w:rPr>
        <w:t>anche</w:t>
      </w:r>
      <w:r>
        <w:rPr>
          <w:rFonts w:ascii="Times New Roman" w:hAnsi="Times New Roman" w:cs="Times New Roman"/>
          <w:sz w:val="28"/>
          <w:szCs w:val="28"/>
        </w:rPr>
        <w:t xml:space="preserve"> per indicare</w:t>
      </w:r>
      <w:r w:rsidRPr="000248D1">
        <w:rPr>
          <w:rFonts w:ascii="Times New Roman" w:hAnsi="Times New Roman" w:cs="Times New Roman"/>
          <w:sz w:val="28"/>
          <w:szCs w:val="28"/>
        </w:rPr>
        <w:t xml:space="preserve"> l’ordinario di luogo in </w:t>
      </w:r>
      <w:r>
        <w:rPr>
          <w:rFonts w:ascii="Times New Roman" w:hAnsi="Times New Roman" w:cs="Times New Roman"/>
          <w:sz w:val="28"/>
          <w:szCs w:val="28"/>
        </w:rPr>
        <w:t xml:space="preserve">relazione </w:t>
      </w:r>
      <w:r w:rsidRPr="000248D1">
        <w:rPr>
          <w:rFonts w:ascii="Times New Roman" w:hAnsi="Times New Roman" w:cs="Times New Roman"/>
          <w:sz w:val="28"/>
          <w:szCs w:val="28"/>
        </w:rPr>
        <w:t>al superiore religioso o regolare di un ordine o congregazione religiosa</w:t>
      </w:r>
      <w:r w:rsidRPr="000248D1">
        <w:rPr>
          <w:rStyle w:val="Rimandonotaapidipagina"/>
          <w:rFonts w:ascii="Times New Roman" w:hAnsi="Times New Roman" w:cs="Times New Roman"/>
          <w:sz w:val="28"/>
          <w:szCs w:val="28"/>
        </w:rPr>
        <w:footnoteReference w:id="484"/>
      </w:r>
      <w:r w:rsidRPr="000248D1">
        <w:rPr>
          <w:rFonts w:ascii="Times New Roman" w:hAnsi="Times New Roman" w:cs="Times New Roman"/>
          <w:sz w:val="28"/>
          <w:szCs w:val="28"/>
        </w:rPr>
        <w:t xml:space="preserve">. Questi due termini, così contrapposti, erano particolarmente in uso nel diritto missionario per determinare i diritti ed i doveri dell’ordinario di luogo nelle missioni e del superiore </w:t>
      </w:r>
      <w:r>
        <w:rPr>
          <w:rFonts w:ascii="Times New Roman" w:hAnsi="Times New Roman" w:cs="Times New Roman"/>
          <w:sz w:val="28"/>
          <w:szCs w:val="28"/>
        </w:rPr>
        <w:t xml:space="preserve">religioso, che </w:t>
      </w:r>
      <w:r w:rsidRPr="000248D1">
        <w:rPr>
          <w:rFonts w:ascii="Times New Roman" w:hAnsi="Times New Roman" w:cs="Times New Roman"/>
          <w:sz w:val="28"/>
          <w:szCs w:val="28"/>
        </w:rPr>
        <w:t>lavoravano</w:t>
      </w:r>
      <w:r>
        <w:rPr>
          <w:rFonts w:ascii="Times New Roman" w:hAnsi="Times New Roman" w:cs="Times New Roman"/>
          <w:sz w:val="28"/>
          <w:szCs w:val="28"/>
        </w:rPr>
        <w:t xml:space="preserve"> entrambi nella missione</w:t>
      </w:r>
      <w:r w:rsidRPr="000248D1">
        <w:rPr>
          <w:rStyle w:val="Rimandonotaapidipagina"/>
          <w:rFonts w:ascii="Times New Roman" w:hAnsi="Times New Roman" w:cs="Times New Roman"/>
          <w:sz w:val="28"/>
          <w:szCs w:val="28"/>
        </w:rPr>
        <w:footnoteReference w:id="485"/>
      </w:r>
      <w:r w:rsidRPr="000248D1">
        <w:rPr>
          <w:rFonts w:ascii="Times New Roman" w:hAnsi="Times New Roman" w:cs="Times New Roman"/>
          <w:sz w:val="28"/>
          <w:szCs w:val="28"/>
        </w:rPr>
        <w:t>. Nella prassi delle società missionarie senza voti il superiore dei missionari era chiamato superiore regionale</w:t>
      </w:r>
      <w:r w:rsidRPr="000248D1">
        <w:rPr>
          <w:rStyle w:val="Rimandonotaapidipagina"/>
          <w:rFonts w:ascii="Times New Roman" w:hAnsi="Times New Roman" w:cs="Times New Roman"/>
          <w:sz w:val="28"/>
          <w:szCs w:val="28"/>
        </w:rPr>
        <w:footnoteReference w:id="486"/>
      </w:r>
      <w:r w:rsidRPr="000248D1">
        <w:rPr>
          <w:rFonts w:ascii="Times New Roman" w:hAnsi="Times New Roman" w:cs="Times New Roman"/>
          <w:sz w:val="28"/>
          <w:szCs w:val="28"/>
        </w:rPr>
        <w:t>. I superiori di missione agivano in nome della Chiesa e con l’autorità conferitagli dalla stessa, ai sensi del can. 1350 del CIC. Questi venivano nominati dalla Santa Sede da una lista di candidati con qualità eccezionali, presentati dall’istituto religioso di appartenenza e una volta nominati avevano il dovere di mantenere un buon rapporto con l’istituto di provenienza</w:t>
      </w:r>
      <w:r w:rsidRPr="000248D1">
        <w:rPr>
          <w:rStyle w:val="Rimandonotaapidipagina"/>
          <w:rFonts w:ascii="Times New Roman" w:hAnsi="Times New Roman" w:cs="Times New Roman"/>
          <w:sz w:val="28"/>
          <w:szCs w:val="28"/>
        </w:rPr>
        <w:footnoteReference w:id="487"/>
      </w:r>
      <w:r w:rsidRPr="000248D1">
        <w:rPr>
          <w:rFonts w:ascii="Times New Roman" w:hAnsi="Times New Roman" w:cs="Times New Roman"/>
          <w:sz w:val="28"/>
          <w:szCs w:val="28"/>
        </w:rPr>
        <w:t>.</w:t>
      </w:r>
      <w:r w:rsidRPr="000248D1">
        <w:rPr>
          <w:sz w:val="28"/>
          <w:szCs w:val="28"/>
        </w:rPr>
        <w:t xml:space="preserve"> </w:t>
      </w:r>
      <w:r>
        <w:rPr>
          <w:rFonts w:ascii="Times New Roman" w:hAnsi="Times New Roman" w:cs="Times New Roman"/>
          <w:sz w:val="28"/>
          <w:szCs w:val="28"/>
        </w:rPr>
        <w:t xml:space="preserve">Questo perché il missionario, in quanto tale </w:t>
      </w:r>
      <w:r w:rsidRPr="00360C18">
        <w:rPr>
          <w:rFonts w:ascii="Times New Roman" w:hAnsi="Times New Roman" w:cs="Times New Roman"/>
          <w:sz w:val="28"/>
          <w:szCs w:val="28"/>
        </w:rPr>
        <w:t>dipende</w:t>
      </w:r>
      <w:r>
        <w:rPr>
          <w:rFonts w:ascii="Times New Roman" w:hAnsi="Times New Roman" w:cs="Times New Roman"/>
          <w:sz w:val="28"/>
          <w:szCs w:val="28"/>
        </w:rPr>
        <w:t xml:space="preserve">va dell’ordinario del luogo, mentre in </w:t>
      </w:r>
      <w:r w:rsidRPr="00360C18">
        <w:rPr>
          <w:rFonts w:ascii="Times New Roman" w:hAnsi="Times New Roman" w:cs="Times New Roman"/>
          <w:sz w:val="28"/>
          <w:szCs w:val="28"/>
        </w:rPr>
        <w:t xml:space="preserve">quanto religioso </w:t>
      </w:r>
      <w:r>
        <w:rPr>
          <w:rFonts w:ascii="Times New Roman" w:hAnsi="Times New Roman" w:cs="Times New Roman"/>
          <w:sz w:val="28"/>
          <w:szCs w:val="28"/>
        </w:rPr>
        <w:t xml:space="preserve">dipendeva </w:t>
      </w:r>
      <w:r w:rsidRPr="00360C18">
        <w:rPr>
          <w:rFonts w:ascii="Times New Roman" w:hAnsi="Times New Roman" w:cs="Times New Roman"/>
          <w:sz w:val="28"/>
          <w:szCs w:val="28"/>
        </w:rPr>
        <w:t>dal proprio superiore di religione</w:t>
      </w:r>
      <w:r>
        <w:rPr>
          <w:rStyle w:val="Rimandonotaapidipagina"/>
          <w:rFonts w:ascii="Times New Roman" w:hAnsi="Times New Roman" w:cs="Times New Roman"/>
          <w:sz w:val="28"/>
          <w:szCs w:val="28"/>
        </w:rPr>
        <w:footnoteReference w:id="488"/>
      </w:r>
      <w:r w:rsidRPr="00360C18">
        <w:rPr>
          <w:sz w:val="28"/>
          <w:szCs w:val="28"/>
        </w:rPr>
        <w:t xml:space="preserve">. </w:t>
      </w:r>
      <w:r w:rsidRPr="00331A11">
        <w:rPr>
          <w:rFonts w:ascii="Times New Roman" w:hAnsi="Times New Roman" w:cs="Times New Roman"/>
          <w:sz w:val="28"/>
          <w:szCs w:val="28"/>
        </w:rPr>
        <w:t xml:space="preserve">Alcuni missionari </w:t>
      </w:r>
      <w:r>
        <w:rPr>
          <w:rFonts w:ascii="Times New Roman" w:hAnsi="Times New Roman" w:cs="Times New Roman"/>
          <w:sz w:val="28"/>
          <w:szCs w:val="28"/>
        </w:rPr>
        <w:t xml:space="preserve">erano definiti apostolici. Tale titolo veniva concesso </w:t>
      </w:r>
      <w:r w:rsidRPr="00331A11">
        <w:rPr>
          <w:rFonts w:ascii="Times New Roman" w:hAnsi="Times New Roman" w:cs="Times New Roman"/>
          <w:sz w:val="28"/>
          <w:szCs w:val="28"/>
        </w:rPr>
        <w:t>da Propaganda</w:t>
      </w:r>
      <w:r>
        <w:rPr>
          <w:rFonts w:ascii="Times New Roman" w:hAnsi="Times New Roman" w:cs="Times New Roman"/>
          <w:sz w:val="28"/>
          <w:szCs w:val="28"/>
        </w:rPr>
        <w:t xml:space="preserve"> con decreto ai missionari approvati dalla Santa Sede e comportava speciali privilegi e doveri per i destinatari. Però Propaganda </w:t>
      </w:r>
      <w:r>
        <w:rPr>
          <w:rFonts w:ascii="Times New Roman" w:hAnsi="Times New Roman" w:cs="Times New Roman"/>
          <w:sz w:val="28"/>
          <w:szCs w:val="28"/>
        </w:rPr>
        <w:lastRenderedPageBreak/>
        <w:t xml:space="preserve">(dopo la costituzione </w:t>
      </w:r>
      <w:r w:rsidRPr="000E5AB2">
        <w:rPr>
          <w:rFonts w:ascii="Times New Roman" w:hAnsi="Times New Roman" w:cs="Times New Roman"/>
          <w:i/>
          <w:sz w:val="28"/>
          <w:szCs w:val="28"/>
        </w:rPr>
        <w:t>Sapientii consilio</w:t>
      </w:r>
      <w:r>
        <w:rPr>
          <w:rFonts w:ascii="Times New Roman" w:hAnsi="Times New Roman" w:cs="Times New Roman"/>
          <w:sz w:val="28"/>
          <w:szCs w:val="28"/>
        </w:rPr>
        <w:t xml:space="preserve"> 1909 tale titolo veniva concesso dalla S. Penitenzieria) poteva decidere di concedere tale titolo solo con valore onorifico, ossia come una certificazione ufficiale dei propri meriti</w:t>
      </w:r>
      <w:r>
        <w:rPr>
          <w:rStyle w:val="Rimandonotaapidipagina"/>
          <w:rFonts w:ascii="Times New Roman" w:hAnsi="Times New Roman" w:cs="Times New Roman"/>
          <w:sz w:val="28"/>
          <w:szCs w:val="28"/>
        </w:rPr>
        <w:footnoteReference w:id="489"/>
      </w:r>
      <w:r w:rsidRPr="00331A11">
        <w:rPr>
          <w:rFonts w:ascii="Times New Roman" w:hAnsi="Times New Roman" w:cs="Times New Roman"/>
          <w:sz w:val="28"/>
          <w:szCs w:val="28"/>
        </w:rPr>
        <w:t>.</w:t>
      </w:r>
      <w:r>
        <w:rPr>
          <w:rFonts w:ascii="Times New Roman" w:hAnsi="Times New Roman" w:cs="Times New Roman"/>
          <w:sz w:val="28"/>
          <w:szCs w:val="28"/>
        </w:rPr>
        <w:t xml:space="preserve"> Nel 1940 Propaganda approvò la richiesta di estendere l’utilizzo di tale titolo anche per i sacerdoti indigeni, che poiché venivano selezionati ed inviati dal vescovo e non dalla Santa Sede venivano definiti missionari diocesani</w:t>
      </w:r>
      <w:r>
        <w:rPr>
          <w:rStyle w:val="Rimandonotaapidipagina"/>
          <w:rFonts w:ascii="Times New Roman" w:hAnsi="Times New Roman" w:cs="Times New Roman"/>
          <w:sz w:val="28"/>
          <w:szCs w:val="28"/>
        </w:rPr>
        <w:footnoteReference w:id="490"/>
      </w:r>
      <w:r>
        <w:rPr>
          <w:rFonts w:ascii="Times New Roman" w:hAnsi="Times New Roman" w:cs="Times New Roman"/>
          <w:sz w:val="28"/>
          <w:szCs w:val="28"/>
        </w:rPr>
        <w:t>.</w:t>
      </w:r>
    </w:p>
    <w:p w14:paraId="7575E22C"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La figura del superiore </w:t>
      </w:r>
      <w:r w:rsidRPr="000248D1">
        <w:rPr>
          <w:rFonts w:ascii="Times New Roman" w:hAnsi="Times New Roman" w:cs="Times New Roman"/>
          <w:sz w:val="28"/>
          <w:szCs w:val="28"/>
        </w:rPr>
        <w:t xml:space="preserve">di missione </w:t>
      </w:r>
      <w:r>
        <w:rPr>
          <w:rFonts w:ascii="Times New Roman" w:hAnsi="Times New Roman" w:cs="Times New Roman"/>
          <w:sz w:val="28"/>
          <w:szCs w:val="28"/>
        </w:rPr>
        <w:t xml:space="preserve">aveva numerosi doveri. Tra questi </w:t>
      </w:r>
      <w:r w:rsidRPr="000248D1">
        <w:rPr>
          <w:rFonts w:ascii="Times New Roman" w:hAnsi="Times New Roman" w:cs="Times New Roman"/>
          <w:sz w:val="28"/>
          <w:szCs w:val="28"/>
        </w:rPr>
        <w:t>vi erano la creazione delle stazioni missionarie, l’eventuale apertura di scuole, orfanotrofi, ospedali, dispensari e altre opere di carità cristiana, l’erezione di cappelle e chiese</w:t>
      </w:r>
      <w:r w:rsidRPr="000248D1">
        <w:rPr>
          <w:rStyle w:val="Rimandonotaapidipagina"/>
          <w:rFonts w:ascii="Times New Roman" w:hAnsi="Times New Roman" w:cs="Times New Roman"/>
          <w:sz w:val="28"/>
          <w:szCs w:val="28"/>
        </w:rPr>
        <w:footnoteReference w:id="491"/>
      </w:r>
      <w:r w:rsidRPr="000248D1">
        <w:rPr>
          <w:rFonts w:ascii="Times New Roman" w:hAnsi="Times New Roman" w:cs="Times New Roman"/>
          <w:sz w:val="28"/>
          <w:szCs w:val="28"/>
        </w:rPr>
        <w:t xml:space="preserve">. </w:t>
      </w:r>
      <w:r>
        <w:rPr>
          <w:rFonts w:ascii="Times New Roman" w:hAnsi="Times New Roman" w:cs="Times New Roman"/>
          <w:sz w:val="28"/>
          <w:szCs w:val="28"/>
        </w:rPr>
        <w:t>R</w:t>
      </w:r>
      <w:r w:rsidRPr="000248D1">
        <w:rPr>
          <w:rFonts w:ascii="Times New Roman" w:hAnsi="Times New Roman" w:cs="Times New Roman"/>
          <w:sz w:val="28"/>
          <w:szCs w:val="28"/>
        </w:rPr>
        <w:t>ientrava tra i compiti del superiore giudicare il modo, il tempo, il corso dei catecumeni, le conoscenze necessarie e l'idoneità dei catechisti a formarsi, nonché autorizzare qualsiasi attività realizzata in territorio di missione da autorità terze</w:t>
      </w:r>
      <w:r w:rsidRPr="000248D1">
        <w:rPr>
          <w:rStyle w:val="Rimandonotaapidipagina"/>
          <w:rFonts w:ascii="Times New Roman" w:hAnsi="Times New Roman" w:cs="Times New Roman"/>
          <w:sz w:val="28"/>
          <w:szCs w:val="28"/>
        </w:rPr>
        <w:footnoteReference w:id="492"/>
      </w:r>
      <w:r w:rsidRPr="000248D1">
        <w:rPr>
          <w:rFonts w:ascii="Times New Roman" w:hAnsi="Times New Roman" w:cs="Times New Roman"/>
          <w:sz w:val="28"/>
          <w:szCs w:val="28"/>
        </w:rPr>
        <w:t>.</w:t>
      </w:r>
      <w:r w:rsidRPr="000248D1">
        <w:rPr>
          <w:sz w:val="28"/>
          <w:szCs w:val="28"/>
        </w:rPr>
        <w:t xml:space="preserve"> </w:t>
      </w:r>
      <w:r w:rsidRPr="000248D1">
        <w:rPr>
          <w:rFonts w:ascii="Times New Roman" w:hAnsi="Times New Roman" w:cs="Times New Roman"/>
          <w:sz w:val="28"/>
          <w:szCs w:val="28"/>
        </w:rPr>
        <w:t>Inoltre il superiore di missione doveva nominare i superiori delle stazioni missionarie, cambiarli, trasferirli da un luogo all'altro, u</w:t>
      </w:r>
      <w:r>
        <w:rPr>
          <w:rFonts w:ascii="Times New Roman" w:hAnsi="Times New Roman" w:cs="Times New Roman"/>
          <w:sz w:val="28"/>
          <w:szCs w:val="28"/>
        </w:rPr>
        <w:t xml:space="preserve">sarli per soddisfare i bisogni </w:t>
      </w:r>
      <w:r w:rsidRPr="000248D1">
        <w:rPr>
          <w:rFonts w:ascii="Times New Roman" w:hAnsi="Times New Roman" w:cs="Times New Roman"/>
          <w:sz w:val="28"/>
          <w:szCs w:val="28"/>
        </w:rPr>
        <w:t>della missione in diversi uffici o ruoli</w:t>
      </w:r>
      <w:r w:rsidRPr="000248D1">
        <w:rPr>
          <w:rStyle w:val="Rimandonotaapidipagina"/>
          <w:rFonts w:ascii="Times New Roman" w:hAnsi="Times New Roman" w:cs="Times New Roman"/>
          <w:sz w:val="28"/>
          <w:szCs w:val="28"/>
        </w:rPr>
        <w:footnoteReference w:id="493"/>
      </w:r>
      <w:r>
        <w:rPr>
          <w:rFonts w:ascii="Times New Roman" w:hAnsi="Times New Roman" w:cs="Times New Roman"/>
          <w:sz w:val="28"/>
          <w:szCs w:val="28"/>
        </w:rPr>
        <w:t xml:space="preserve">. </w:t>
      </w:r>
    </w:p>
    <w:p w14:paraId="643EE437"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Tutti i </w:t>
      </w:r>
      <w:r w:rsidRPr="000248D1">
        <w:rPr>
          <w:rFonts w:ascii="Times New Roman" w:hAnsi="Times New Roman" w:cs="Times New Roman"/>
          <w:sz w:val="28"/>
          <w:szCs w:val="28"/>
        </w:rPr>
        <w:t xml:space="preserve">missionari erano </w:t>
      </w:r>
      <w:r>
        <w:rPr>
          <w:rFonts w:ascii="Times New Roman" w:hAnsi="Times New Roman" w:cs="Times New Roman"/>
          <w:sz w:val="28"/>
          <w:szCs w:val="28"/>
        </w:rPr>
        <w:t>soggetti alla sua giurisdizione. Difatti questi dovevano subire la</w:t>
      </w:r>
      <w:r w:rsidRPr="000248D1">
        <w:rPr>
          <w:rFonts w:ascii="Times New Roman" w:hAnsi="Times New Roman" w:cs="Times New Roman"/>
          <w:sz w:val="28"/>
          <w:szCs w:val="28"/>
        </w:rPr>
        <w:t xml:space="preserve"> visita e </w:t>
      </w:r>
      <w:r>
        <w:rPr>
          <w:rFonts w:ascii="Times New Roman" w:hAnsi="Times New Roman" w:cs="Times New Roman"/>
          <w:sz w:val="28"/>
          <w:szCs w:val="28"/>
        </w:rPr>
        <w:t xml:space="preserve">la </w:t>
      </w:r>
      <w:r w:rsidRPr="000248D1">
        <w:rPr>
          <w:rFonts w:ascii="Times New Roman" w:hAnsi="Times New Roman" w:cs="Times New Roman"/>
          <w:sz w:val="28"/>
          <w:szCs w:val="28"/>
        </w:rPr>
        <w:t xml:space="preserve">correzione </w:t>
      </w:r>
      <w:r>
        <w:rPr>
          <w:rFonts w:ascii="Times New Roman" w:hAnsi="Times New Roman" w:cs="Times New Roman"/>
          <w:sz w:val="28"/>
          <w:szCs w:val="28"/>
        </w:rPr>
        <w:t xml:space="preserve">del superiore </w:t>
      </w:r>
      <w:r w:rsidRPr="000248D1">
        <w:rPr>
          <w:rFonts w:ascii="Times New Roman" w:hAnsi="Times New Roman" w:cs="Times New Roman"/>
          <w:sz w:val="28"/>
          <w:szCs w:val="28"/>
        </w:rPr>
        <w:t>nelle cose che riguardavano il governo delle stazioni, il ministero sacro, la cura delle anime, la disciplina del popolo, l'osservanza delle feste, l'amministrazione dei sacramenti, la direzione delle scuole, l'istituzione di seminari e nella formazione del clero autoctono.</w:t>
      </w:r>
      <w:r w:rsidRPr="000248D1">
        <w:rPr>
          <w:rStyle w:val="Rimandonotaapidipagina"/>
          <w:rFonts w:ascii="Times New Roman" w:hAnsi="Times New Roman" w:cs="Times New Roman"/>
          <w:sz w:val="28"/>
          <w:szCs w:val="28"/>
        </w:rPr>
        <w:footnoteReference w:id="494"/>
      </w:r>
      <w:r w:rsidRPr="00334441">
        <w:t xml:space="preserve"> </w:t>
      </w:r>
      <w:r>
        <w:rPr>
          <w:rFonts w:ascii="Times New Roman" w:hAnsi="Times New Roman" w:cs="Times New Roman"/>
          <w:sz w:val="28"/>
          <w:szCs w:val="28"/>
        </w:rPr>
        <w:t xml:space="preserve"> </w:t>
      </w:r>
    </w:p>
    <w:p w14:paraId="56BD5D61"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Inoltre p</w:t>
      </w:r>
      <w:r w:rsidRPr="00334441">
        <w:rPr>
          <w:rFonts w:ascii="Times New Roman" w:hAnsi="Times New Roman" w:cs="Times New Roman"/>
          <w:sz w:val="28"/>
          <w:szCs w:val="28"/>
        </w:rPr>
        <w:t xml:space="preserve">er le ragioni più gravi, sia un superiore ecclesiastico che un superiore </w:t>
      </w:r>
      <w:r>
        <w:rPr>
          <w:rFonts w:ascii="Times New Roman" w:hAnsi="Times New Roman" w:cs="Times New Roman"/>
          <w:sz w:val="28"/>
          <w:szCs w:val="28"/>
        </w:rPr>
        <w:t>religioso potevano</w:t>
      </w:r>
      <w:r w:rsidRPr="00334441">
        <w:rPr>
          <w:rFonts w:ascii="Times New Roman" w:hAnsi="Times New Roman" w:cs="Times New Roman"/>
          <w:sz w:val="28"/>
          <w:szCs w:val="28"/>
        </w:rPr>
        <w:t xml:space="preserve">, con pari diritto, rimuovere qualcuno dalla propria </w:t>
      </w:r>
      <w:r w:rsidRPr="00334441">
        <w:rPr>
          <w:rFonts w:ascii="Times New Roman" w:hAnsi="Times New Roman" w:cs="Times New Roman"/>
          <w:sz w:val="28"/>
          <w:szCs w:val="28"/>
        </w:rPr>
        <w:lastRenderedPageBreak/>
        <w:t>posizione o ufficio, senza ri</w:t>
      </w:r>
      <w:r>
        <w:rPr>
          <w:rFonts w:ascii="Times New Roman" w:hAnsi="Times New Roman" w:cs="Times New Roman"/>
          <w:sz w:val="28"/>
          <w:szCs w:val="28"/>
        </w:rPr>
        <w:t xml:space="preserve">chiedere il consenso dell'altro. Difatti né l'uno era </w:t>
      </w:r>
      <w:r w:rsidRPr="00334441">
        <w:rPr>
          <w:rFonts w:ascii="Times New Roman" w:hAnsi="Times New Roman" w:cs="Times New Roman"/>
          <w:sz w:val="28"/>
          <w:szCs w:val="28"/>
        </w:rPr>
        <w:t>tenuto a rivelare all'altro la causa del suo giudizio, e tanto meno a provarla, se non mediante il ri</w:t>
      </w:r>
      <w:r>
        <w:rPr>
          <w:rFonts w:ascii="Times New Roman" w:hAnsi="Times New Roman" w:cs="Times New Roman"/>
          <w:sz w:val="28"/>
          <w:szCs w:val="28"/>
        </w:rPr>
        <w:t>corso in devoluzione alla sede a</w:t>
      </w:r>
      <w:r w:rsidRPr="00334441">
        <w:rPr>
          <w:rFonts w:ascii="Times New Roman" w:hAnsi="Times New Roman" w:cs="Times New Roman"/>
          <w:sz w:val="28"/>
          <w:szCs w:val="28"/>
        </w:rPr>
        <w:t>postolica (can. 454 § 5).</w:t>
      </w:r>
    </w:p>
    <w:p w14:paraId="39B423E9" w14:textId="77777777" w:rsidR="00B3403A"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 xml:space="preserve">Il superiore della missione per ottenere il successo dell’opera di evangelizzazione doveva poter disporre delle risorse date alla missione, provenienti dalle opere missionarie della Propagazione della Fede, della Sacra Infanzia, di S. Pietro Apostolo per il clero nativo, o altre simili, dai fedeli, o anche dallo stesso istituto, </w:t>
      </w:r>
      <w:r>
        <w:rPr>
          <w:rFonts w:ascii="Times New Roman" w:hAnsi="Times New Roman" w:cs="Times New Roman"/>
          <w:sz w:val="28"/>
          <w:szCs w:val="28"/>
        </w:rPr>
        <w:t>di cui faceva</w:t>
      </w:r>
      <w:r w:rsidRPr="000248D1">
        <w:rPr>
          <w:rFonts w:ascii="Times New Roman" w:hAnsi="Times New Roman" w:cs="Times New Roman"/>
          <w:sz w:val="28"/>
          <w:szCs w:val="28"/>
        </w:rPr>
        <w:t xml:space="preserve"> parte, oppure dal governo civile. Tuttavia l’utilizzo dei fondi non poteva essere affidato alla totale discrezionalità del superiore, poiché laddove fossero mancati delle risorse necessarie alla realizzazione di una specifica opera, il superiore li avrebbe dovuti chiedere, a seguito della consultazione al Consiglio della missione (can. 302 CIC) o all’istituto di cui faceva parte oppure a Propaganda fide</w:t>
      </w:r>
      <w:r w:rsidRPr="000248D1">
        <w:rPr>
          <w:rStyle w:val="Rimandonotaapidipagina"/>
          <w:rFonts w:ascii="Times New Roman" w:hAnsi="Times New Roman" w:cs="Times New Roman"/>
          <w:sz w:val="28"/>
          <w:szCs w:val="28"/>
        </w:rPr>
        <w:footnoteReference w:id="495"/>
      </w:r>
      <w:r w:rsidRPr="000248D1">
        <w:rPr>
          <w:rFonts w:ascii="Times New Roman" w:hAnsi="Times New Roman" w:cs="Times New Roman"/>
          <w:sz w:val="28"/>
          <w:szCs w:val="28"/>
        </w:rPr>
        <w:t>. Quest’ultima fornì nel 1924 un chiarimento rispetto all’utilizzo dei beni ricevuti dai missionari, al loro potere di porvi o meno delle condizioni e la loro eventuale classificazione all’interno della categoria dei beni ecclesiastici.</w:t>
      </w:r>
      <w:r w:rsidRPr="000248D1">
        <w:rPr>
          <w:sz w:val="28"/>
          <w:szCs w:val="28"/>
        </w:rPr>
        <w:t xml:space="preserve"> </w:t>
      </w:r>
      <w:r w:rsidRPr="000248D1">
        <w:rPr>
          <w:rFonts w:ascii="Times New Roman" w:hAnsi="Times New Roman" w:cs="Times New Roman"/>
          <w:sz w:val="28"/>
          <w:szCs w:val="28"/>
        </w:rPr>
        <w:t>Tale definizione si riferiva ai beni temporali (sia corporali, come i beni mobili e immobili, sia non corporali, come i diritti, le azioni, le obbligazioni, la servitù) che appartenevano alla Chiesa universale o ad una persona morale di diritto ecclesiastico</w:t>
      </w:r>
      <w:r w:rsidRPr="000248D1">
        <w:rPr>
          <w:rStyle w:val="Rimandonotaapidipagina"/>
          <w:rFonts w:ascii="Times New Roman" w:hAnsi="Times New Roman" w:cs="Times New Roman"/>
          <w:sz w:val="28"/>
          <w:szCs w:val="28"/>
        </w:rPr>
        <w:footnoteReference w:id="496"/>
      </w:r>
      <w:r w:rsidRPr="000248D1">
        <w:rPr>
          <w:rFonts w:ascii="Times New Roman" w:hAnsi="Times New Roman" w:cs="Times New Roman"/>
          <w:sz w:val="28"/>
          <w:szCs w:val="28"/>
        </w:rPr>
        <w:t>.</w:t>
      </w:r>
      <w:r w:rsidRPr="000248D1">
        <w:rPr>
          <w:sz w:val="28"/>
          <w:szCs w:val="28"/>
        </w:rPr>
        <w:t xml:space="preserve"> </w:t>
      </w:r>
      <w:r w:rsidRPr="000248D1">
        <w:rPr>
          <w:rFonts w:ascii="Times New Roman" w:hAnsi="Times New Roman" w:cs="Times New Roman"/>
          <w:sz w:val="28"/>
          <w:szCs w:val="28"/>
        </w:rPr>
        <w:t>Secondo il CIC, i beni ecclesiastici temporali appartenevano ai singoli enti considerati come soggetti di diritti, non già alla Chiesa cattolica in quanto persona giuridica</w:t>
      </w:r>
      <w:r w:rsidRPr="000248D1">
        <w:rPr>
          <w:rStyle w:val="Rimandonotaapidipagina"/>
          <w:rFonts w:ascii="Times New Roman" w:hAnsi="Times New Roman" w:cs="Times New Roman"/>
          <w:sz w:val="28"/>
          <w:szCs w:val="28"/>
        </w:rPr>
        <w:footnoteReference w:id="497"/>
      </w:r>
      <w:r w:rsidRPr="000248D1">
        <w:rPr>
          <w:rFonts w:ascii="Times New Roman" w:hAnsi="Times New Roman" w:cs="Times New Roman"/>
          <w:sz w:val="28"/>
          <w:szCs w:val="28"/>
        </w:rPr>
        <w:t>. I beni ricevuti dai missionari, destinati alla missione rientravano nella categoria dei beni ecclesiastici e su di essi non potevano essere poste condizioni o limitazioni dal vicario o dal prefetto, senza ottenere prima l’autorizzazione dell’ordinario</w:t>
      </w:r>
      <w:r w:rsidRPr="000248D1">
        <w:rPr>
          <w:rStyle w:val="Rimandonotaapidipagina"/>
          <w:rFonts w:ascii="Times New Roman" w:hAnsi="Times New Roman" w:cs="Times New Roman"/>
          <w:sz w:val="28"/>
          <w:szCs w:val="28"/>
        </w:rPr>
        <w:footnoteReference w:id="498"/>
      </w:r>
      <w:r w:rsidRPr="000248D1">
        <w:rPr>
          <w:rFonts w:ascii="Times New Roman" w:hAnsi="Times New Roman" w:cs="Times New Roman"/>
          <w:sz w:val="28"/>
          <w:szCs w:val="28"/>
        </w:rPr>
        <w:t>.</w:t>
      </w:r>
    </w:p>
    <w:p w14:paraId="5CAF3C68" w14:textId="77777777" w:rsidR="00522B98" w:rsidRDefault="00522B98" w:rsidP="00484F9B">
      <w:pPr>
        <w:spacing w:after="0" w:line="360" w:lineRule="auto"/>
        <w:ind w:left="680" w:right="340"/>
        <w:jc w:val="both"/>
        <w:rPr>
          <w:rFonts w:ascii="Times New Roman" w:hAnsi="Times New Roman" w:cs="Times New Roman"/>
          <w:sz w:val="28"/>
          <w:szCs w:val="28"/>
        </w:rPr>
      </w:pPr>
    </w:p>
    <w:p w14:paraId="4F97D697" w14:textId="4CCB9F60" w:rsidR="00140247" w:rsidRPr="00484F9B" w:rsidRDefault="00140247" w:rsidP="00484F9B">
      <w:pPr>
        <w:pStyle w:val="Paragrafoelenco"/>
        <w:numPr>
          <w:ilvl w:val="2"/>
          <w:numId w:val="8"/>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lastRenderedPageBreak/>
        <w:t>Disciplina dei sacerdoti missionari</w:t>
      </w:r>
    </w:p>
    <w:p w14:paraId="482AC046" w14:textId="77777777" w:rsidR="00484F9B" w:rsidRPr="00484F9B" w:rsidRDefault="00484F9B" w:rsidP="00484F9B">
      <w:pPr>
        <w:spacing w:after="0" w:line="360" w:lineRule="auto"/>
        <w:ind w:left="680" w:right="340"/>
        <w:jc w:val="both"/>
        <w:rPr>
          <w:rFonts w:ascii="Times New Roman" w:hAnsi="Times New Roman" w:cs="Times New Roman"/>
          <w:sz w:val="28"/>
          <w:szCs w:val="28"/>
        </w:rPr>
      </w:pPr>
    </w:p>
    <w:p w14:paraId="7AF1A6A1" w14:textId="77777777" w:rsidR="00140247" w:rsidRDefault="00140247" w:rsidP="00484F9B">
      <w:pPr>
        <w:spacing w:after="0" w:line="360" w:lineRule="auto"/>
        <w:ind w:left="680" w:right="340"/>
        <w:jc w:val="both"/>
        <w:rPr>
          <w:rFonts w:ascii="Times New Roman" w:hAnsi="Times New Roman" w:cs="Times New Roman"/>
          <w:sz w:val="28"/>
          <w:szCs w:val="28"/>
        </w:rPr>
      </w:pPr>
      <w:r w:rsidRPr="000248D1">
        <w:rPr>
          <w:rFonts w:ascii="Times New Roman" w:hAnsi="Times New Roman" w:cs="Times New Roman"/>
          <w:sz w:val="28"/>
          <w:szCs w:val="28"/>
        </w:rPr>
        <w:t>Inoltre Propaganda</w:t>
      </w:r>
      <w:r>
        <w:rPr>
          <w:rFonts w:ascii="Times New Roman" w:hAnsi="Times New Roman" w:cs="Times New Roman"/>
          <w:sz w:val="28"/>
          <w:szCs w:val="28"/>
        </w:rPr>
        <w:t>, rispetto all’organizzazione del personale nelle missioni,</w:t>
      </w:r>
      <w:r w:rsidRPr="000248D1">
        <w:rPr>
          <w:rFonts w:ascii="Times New Roman" w:hAnsi="Times New Roman" w:cs="Times New Roman"/>
          <w:sz w:val="28"/>
          <w:szCs w:val="28"/>
        </w:rPr>
        <w:t xml:space="preserve"> in un documento del 1926 forniva una serie di indicazioni per regolamentare l’allontanamento temporaneo dei sacerdoti dalle diocesi, per motivi di salute</w:t>
      </w:r>
      <w:r w:rsidRPr="000248D1">
        <w:rPr>
          <w:rStyle w:val="Rimandonotaapidipagina"/>
          <w:rFonts w:ascii="Times New Roman" w:hAnsi="Times New Roman" w:cs="Times New Roman"/>
          <w:sz w:val="28"/>
          <w:szCs w:val="28"/>
        </w:rPr>
        <w:footnoteReference w:id="499"/>
      </w:r>
      <w:r w:rsidRPr="000248D1">
        <w:rPr>
          <w:rFonts w:ascii="Times New Roman" w:hAnsi="Times New Roman" w:cs="Times New Roman"/>
          <w:sz w:val="28"/>
          <w:szCs w:val="28"/>
        </w:rPr>
        <w:t>. Vi era l’obbligo in capo all’ordinario, laddove ciò fosse possibile di impegnarsi a mitigare o rimuovere gli ostacoli, che portavano all’allontanamento</w:t>
      </w:r>
      <w:r w:rsidRPr="000248D1">
        <w:rPr>
          <w:rStyle w:val="Rimandonotaapidipagina"/>
          <w:rFonts w:ascii="Times New Roman" w:hAnsi="Times New Roman" w:cs="Times New Roman"/>
          <w:sz w:val="28"/>
          <w:szCs w:val="28"/>
        </w:rPr>
        <w:footnoteReference w:id="500"/>
      </w:r>
      <w:r w:rsidRPr="000248D1">
        <w:rPr>
          <w:rFonts w:ascii="Times New Roman" w:hAnsi="Times New Roman" w:cs="Times New Roman"/>
          <w:sz w:val="28"/>
          <w:szCs w:val="28"/>
        </w:rPr>
        <w:t>. Tale allontanamento implicava il dovere da parte del sacerdote di comunicare all’ordinario la data di partenza e quella di rientro, indicando anche i luoghi in cui avrebbe alloggiato</w:t>
      </w:r>
      <w:r w:rsidRPr="000248D1">
        <w:rPr>
          <w:rStyle w:val="Rimandonotaapidipagina"/>
          <w:rFonts w:ascii="Times New Roman" w:hAnsi="Times New Roman" w:cs="Times New Roman"/>
          <w:sz w:val="28"/>
          <w:szCs w:val="28"/>
        </w:rPr>
        <w:footnoteReference w:id="501"/>
      </w:r>
      <w:r w:rsidRPr="000248D1">
        <w:rPr>
          <w:rFonts w:ascii="Times New Roman" w:hAnsi="Times New Roman" w:cs="Times New Roman"/>
          <w:sz w:val="28"/>
          <w:szCs w:val="28"/>
        </w:rPr>
        <w:t>. In questi territori i sacerdoti dovevano rintracciare l’ordinario competente, che avrebbe dovuto vigilare su di loro</w:t>
      </w:r>
      <w:r w:rsidRPr="000248D1">
        <w:rPr>
          <w:rStyle w:val="Rimandonotaapidipagina"/>
          <w:rFonts w:ascii="Times New Roman" w:hAnsi="Times New Roman" w:cs="Times New Roman"/>
          <w:sz w:val="28"/>
          <w:szCs w:val="28"/>
        </w:rPr>
        <w:footnoteReference w:id="502"/>
      </w:r>
      <w:r w:rsidRPr="000248D1">
        <w:rPr>
          <w:rFonts w:ascii="Times New Roman" w:hAnsi="Times New Roman" w:cs="Times New Roman"/>
          <w:sz w:val="28"/>
          <w:szCs w:val="28"/>
        </w:rPr>
        <w:t>.</w:t>
      </w:r>
    </w:p>
    <w:p w14:paraId="0E08EE5F" w14:textId="77777777" w:rsidR="00140247" w:rsidRDefault="00140247" w:rsidP="00484F9B">
      <w:pPr>
        <w:spacing w:after="0" w:line="360" w:lineRule="auto"/>
        <w:ind w:left="680" w:right="340"/>
        <w:jc w:val="both"/>
        <w:rPr>
          <w:rFonts w:ascii="Times New Roman" w:hAnsi="Times New Roman" w:cs="Times New Roman"/>
          <w:sz w:val="28"/>
          <w:szCs w:val="28"/>
        </w:rPr>
      </w:pPr>
    </w:p>
    <w:p w14:paraId="07AD7D12" w14:textId="77777777" w:rsidR="00B3403A" w:rsidRDefault="00140247" w:rsidP="00484F9B">
      <w:pPr>
        <w:spacing w:after="0" w:line="360" w:lineRule="auto"/>
        <w:ind w:left="680" w:right="340"/>
        <w:jc w:val="both"/>
        <w:rPr>
          <w:rFonts w:ascii="Times New Roman" w:hAnsi="Times New Roman" w:cs="Times New Roman"/>
          <w:sz w:val="28"/>
          <w:szCs w:val="28"/>
        </w:rPr>
      </w:pPr>
      <w:r w:rsidRPr="00351701">
        <w:rPr>
          <w:rFonts w:ascii="Times New Roman" w:hAnsi="Times New Roman" w:cs="Times New Roman"/>
          <w:sz w:val="28"/>
          <w:szCs w:val="28"/>
        </w:rPr>
        <w:t>Nel 1951 Propaganda chiarì i rispettivi ruoli nell’ambito della propagazione della fede in capo ai superiori degli enti religiosi e agli uffici diocesani delle Pontificie Opere missionarie</w:t>
      </w:r>
      <w:r>
        <w:rPr>
          <w:rStyle w:val="Rimandonotaapidipagina"/>
          <w:rFonts w:ascii="Times New Roman" w:hAnsi="Times New Roman" w:cs="Times New Roman"/>
          <w:sz w:val="28"/>
          <w:szCs w:val="28"/>
        </w:rPr>
        <w:footnoteReference w:id="503"/>
      </w:r>
      <w:r w:rsidRPr="00351701">
        <w:rPr>
          <w:rFonts w:ascii="Times New Roman" w:hAnsi="Times New Roman" w:cs="Times New Roman"/>
          <w:sz w:val="28"/>
          <w:szCs w:val="28"/>
        </w:rPr>
        <w:t>. Tale chiarimento fu necessario per garantire piena armonia all’attività di evangelizzazione, evitando gare o rivalità. Si ribadiva il diritto degli enti religiosi di far conoscere ai fedeli, tramite pubblicazioni periodiche, le esigenze delle case di preparazione dei missionari e della missione a loro affidata, facendo appello alla generosità dei fedeli per ricevere un aiuto materiale</w:t>
      </w:r>
      <w:r>
        <w:rPr>
          <w:rStyle w:val="Rimandonotaapidipagina"/>
          <w:rFonts w:ascii="Times New Roman" w:hAnsi="Times New Roman" w:cs="Times New Roman"/>
          <w:sz w:val="28"/>
          <w:szCs w:val="28"/>
        </w:rPr>
        <w:footnoteReference w:id="504"/>
      </w:r>
      <w:r w:rsidRPr="00351701">
        <w:rPr>
          <w:rFonts w:ascii="Times New Roman" w:hAnsi="Times New Roman" w:cs="Times New Roman"/>
          <w:sz w:val="28"/>
          <w:szCs w:val="28"/>
        </w:rPr>
        <w:t>. Tuttavia era importante sottolineare come tali enti, nella loro propaganda sia scritta che orale, dovessero farsi promotori solo di finalità particolari legate alla missione o ai missionari, perché quelle di carattere più generale spettavano alle Opere Missionarie</w:t>
      </w:r>
      <w:r>
        <w:rPr>
          <w:rStyle w:val="Rimandonotaapidipagina"/>
          <w:rFonts w:ascii="Times New Roman" w:hAnsi="Times New Roman" w:cs="Times New Roman"/>
          <w:sz w:val="28"/>
          <w:szCs w:val="28"/>
        </w:rPr>
        <w:footnoteReference w:id="505"/>
      </w:r>
      <w:r w:rsidRPr="00351701">
        <w:rPr>
          <w:rFonts w:ascii="Times New Roman" w:hAnsi="Times New Roman" w:cs="Times New Roman"/>
          <w:sz w:val="28"/>
          <w:szCs w:val="28"/>
        </w:rPr>
        <w:t xml:space="preserve">. Queste ultime, </w:t>
      </w:r>
      <w:r w:rsidRPr="00351701">
        <w:rPr>
          <w:rFonts w:ascii="Times New Roman" w:hAnsi="Times New Roman" w:cs="Times New Roman"/>
          <w:sz w:val="28"/>
          <w:szCs w:val="28"/>
        </w:rPr>
        <w:lastRenderedPageBreak/>
        <w:t>laddove fossero frenate nella loro attività dagli enti religiosi avevano la possibilità di arginarne l’influenza, contattando l’ordinario del luogo, tramite le direzioni nazionali</w:t>
      </w:r>
      <w:r>
        <w:rPr>
          <w:rStyle w:val="Rimandonotaapidipagina"/>
          <w:rFonts w:ascii="Times New Roman" w:hAnsi="Times New Roman" w:cs="Times New Roman"/>
          <w:sz w:val="28"/>
          <w:szCs w:val="28"/>
        </w:rPr>
        <w:footnoteReference w:id="506"/>
      </w:r>
      <w:r w:rsidRPr="00351701">
        <w:rPr>
          <w:rFonts w:ascii="Times New Roman" w:hAnsi="Times New Roman" w:cs="Times New Roman"/>
          <w:sz w:val="28"/>
          <w:szCs w:val="28"/>
        </w:rPr>
        <w:t>. Inoltre gli enti religiosi avevano l’obbligo di aiutare le Opere Pontificie nell’organizzazione della “giornata missionaria”, astenendosi da ogni forma di propaganda almeno un mese prima di tale celebrazione annuale, onde evitare di comprometterne il buon esito</w:t>
      </w:r>
      <w:r>
        <w:rPr>
          <w:rStyle w:val="Rimandonotaapidipagina"/>
          <w:rFonts w:ascii="Times New Roman" w:hAnsi="Times New Roman" w:cs="Times New Roman"/>
          <w:sz w:val="28"/>
          <w:szCs w:val="28"/>
        </w:rPr>
        <w:footnoteReference w:id="507"/>
      </w:r>
      <w:r w:rsidRPr="00351701">
        <w:rPr>
          <w:rFonts w:ascii="Times New Roman" w:hAnsi="Times New Roman" w:cs="Times New Roman"/>
          <w:sz w:val="28"/>
          <w:szCs w:val="28"/>
        </w:rPr>
        <w:t>.</w:t>
      </w:r>
    </w:p>
    <w:p w14:paraId="7C07BD86" w14:textId="77777777" w:rsidR="00B3403A" w:rsidRDefault="00B3403A" w:rsidP="00484F9B">
      <w:pPr>
        <w:spacing w:after="0" w:line="360" w:lineRule="auto"/>
        <w:ind w:left="680" w:right="340"/>
        <w:jc w:val="both"/>
        <w:rPr>
          <w:rFonts w:ascii="Times New Roman" w:hAnsi="Times New Roman" w:cs="Times New Roman"/>
          <w:sz w:val="28"/>
          <w:szCs w:val="28"/>
        </w:rPr>
      </w:pPr>
    </w:p>
    <w:p w14:paraId="4FFEAA8D" w14:textId="29B8EAB6" w:rsidR="00140247" w:rsidRPr="00484F9B" w:rsidRDefault="00140247" w:rsidP="00484F9B">
      <w:pPr>
        <w:pStyle w:val="Paragrafoelenco"/>
        <w:numPr>
          <w:ilvl w:val="2"/>
          <w:numId w:val="8"/>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Formazione culturale dei missionari</w:t>
      </w:r>
    </w:p>
    <w:p w14:paraId="3B88859A" w14:textId="77777777" w:rsidR="00484F9B" w:rsidRPr="00484F9B" w:rsidRDefault="00484F9B" w:rsidP="00484F9B">
      <w:pPr>
        <w:spacing w:after="0" w:line="360" w:lineRule="auto"/>
        <w:ind w:left="680" w:right="340"/>
        <w:jc w:val="both"/>
        <w:rPr>
          <w:rFonts w:ascii="Times New Roman" w:hAnsi="Times New Roman" w:cs="Times New Roman"/>
          <w:sz w:val="28"/>
          <w:szCs w:val="28"/>
        </w:rPr>
      </w:pPr>
    </w:p>
    <w:p w14:paraId="29B1A567"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Per garantire il pieno sviluppo della missione Propaganda, in una lettera del 1923 </w:t>
      </w:r>
      <w:r w:rsidRPr="000248D1">
        <w:rPr>
          <w:rFonts w:ascii="Times New Roman" w:hAnsi="Times New Roman" w:cs="Times New Roman"/>
          <w:sz w:val="28"/>
          <w:szCs w:val="28"/>
        </w:rPr>
        <w:t>sottolineava la necessità di formare i missionari, tramite specifiche scuole, presenti in Europa, nello studio della lingua, dei costumi dei popoli da evangelizzare e nella capacità di utilizzare metodi di evangelizzazione flessibili, di modo che potessero adattarsi alle varie situazioni possibili</w:t>
      </w:r>
      <w:r w:rsidRPr="000248D1">
        <w:rPr>
          <w:rStyle w:val="Rimandonotaapidipagina"/>
          <w:rFonts w:ascii="Times New Roman" w:hAnsi="Times New Roman" w:cs="Times New Roman"/>
          <w:sz w:val="28"/>
          <w:szCs w:val="28"/>
        </w:rPr>
        <w:footnoteReference w:id="508"/>
      </w:r>
      <w:r w:rsidRPr="000248D1">
        <w:rPr>
          <w:rFonts w:ascii="Times New Roman" w:hAnsi="Times New Roman" w:cs="Times New Roman"/>
          <w:sz w:val="28"/>
          <w:szCs w:val="28"/>
        </w:rPr>
        <w:t>. Inoltre Propaganda ribadiva l’esigenza di formare un clero indigeno, poiché lo scopo principale dell’apostolato era la conversione degli infedeli, tramite la formazione di chiese indipendenti nei territori di missione</w:t>
      </w:r>
      <w:r w:rsidRPr="000248D1">
        <w:rPr>
          <w:rStyle w:val="Rimandonotaapidipagina"/>
          <w:rFonts w:ascii="Times New Roman" w:hAnsi="Times New Roman" w:cs="Times New Roman"/>
          <w:sz w:val="28"/>
          <w:szCs w:val="28"/>
        </w:rPr>
        <w:footnoteReference w:id="509"/>
      </w:r>
      <w:r w:rsidRPr="000248D1">
        <w:rPr>
          <w:rFonts w:ascii="Times New Roman" w:hAnsi="Times New Roman" w:cs="Times New Roman"/>
          <w:sz w:val="28"/>
          <w:szCs w:val="28"/>
        </w:rPr>
        <w:t>.</w:t>
      </w:r>
      <w:r>
        <w:rPr>
          <w:rFonts w:ascii="Times New Roman" w:hAnsi="Times New Roman" w:cs="Times New Roman"/>
          <w:sz w:val="28"/>
          <w:szCs w:val="28"/>
        </w:rPr>
        <w:t xml:space="preserve"> </w:t>
      </w:r>
    </w:p>
    <w:p w14:paraId="00D120BE" w14:textId="77777777" w:rsidR="00140247" w:rsidRDefault="00140247" w:rsidP="00484F9B">
      <w:pPr>
        <w:spacing w:after="0" w:line="360" w:lineRule="auto"/>
        <w:ind w:left="680" w:right="340"/>
        <w:jc w:val="both"/>
        <w:rPr>
          <w:rFonts w:ascii="Times New Roman" w:hAnsi="Times New Roman" w:cs="Times New Roman"/>
          <w:sz w:val="28"/>
          <w:szCs w:val="28"/>
        </w:rPr>
      </w:pPr>
    </w:p>
    <w:p w14:paraId="71E1CE5F" w14:textId="77777777" w:rsidR="00140247" w:rsidRDefault="00140247" w:rsidP="00484F9B">
      <w:pPr>
        <w:spacing w:after="0" w:line="360" w:lineRule="auto"/>
        <w:ind w:left="680" w:right="340"/>
        <w:jc w:val="both"/>
        <w:rPr>
          <w:rFonts w:ascii="Times New Roman" w:hAnsi="Times New Roman" w:cs="Times New Roman"/>
          <w:sz w:val="28"/>
          <w:szCs w:val="28"/>
        </w:rPr>
      </w:pPr>
    </w:p>
    <w:p w14:paraId="7EB6F8F0" w14:textId="77777777" w:rsidR="00140247" w:rsidRDefault="00140247" w:rsidP="00484F9B">
      <w:pPr>
        <w:spacing w:after="0" w:line="360" w:lineRule="auto"/>
        <w:ind w:left="680" w:right="340"/>
        <w:jc w:val="both"/>
        <w:rPr>
          <w:rFonts w:ascii="Times New Roman" w:hAnsi="Times New Roman" w:cs="Times New Roman"/>
          <w:sz w:val="28"/>
          <w:szCs w:val="28"/>
        </w:rPr>
      </w:pPr>
    </w:p>
    <w:p w14:paraId="4C790041" w14:textId="095A6DCE" w:rsidR="00140247" w:rsidRPr="00484F9B" w:rsidRDefault="00140247" w:rsidP="00484F9B">
      <w:pPr>
        <w:pStyle w:val="Paragrafoelenco"/>
        <w:numPr>
          <w:ilvl w:val="2"/>
          <w:numId w:val="8"/>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Rispetto delle culture locali</w:t>
      </w:r>
    </w:p>
    <w:p w14:paraId="77E7083E" w14:textId="3D972A84" w:rsidR="00484F9B" w:rsidRPr="00484F9B" w:rsidRDefault="00484F9B" w:rsidP="00484F9B">
      <w:pPr>
        <w:pStyle w:val="Paragrafoelenco"/>
        <w:spacing w:after="0" w:line="360" w:lineRule="auto"/>
        <w:ind w:left="680" w:right="340"/>
        <w:jc w:val="both"/>
        <w:rPr>
          <w:rFonts w:ascii="Times New Roman" w:hAnsi="Times New Roman" w:cs="Times New Roman"/>
          <w:sz w:val="28"/>
          <w:szCs w:val="28"/>
        </w:rPr>
      </w:pPr>
    </w:p>
    <w:p w14:paraId="2D4DC859"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Nella formazione dei missionari era fondamentale che gli ordinari si impegnassero per comprendere e apprezzare i riti locali dei popoli da evangelizzare, privandoli di ogni elemento superstizioso. Un esempio di tale comportamento poteva essere considerato l’atteggiamento, che nel 1938 in </w:t>
      </w:r>
      <w:r>
        <w:rPr>
          <w:rFonts w:ascii="Times New Roman" w:hAnsi="Times New Roman" w:cs="Times New Roman"/>
          <w:sz w:val="28"/>
          <w:szCs w:val="28"/>
        </w:rPr>
        <w:lastRenderedPageBreak/>
        <w:t>Congo, era stato tenuto dagli ordinari rispetto alla celebrazione del Matanga</w:t>
      </w:r>
      <w:r>
        <w:rPr>
          <w:rStyle w:val="Rimandonotaapidipagina"/>
          <w:rFonts w:ascii="Times New Roman" w:hAnsi="Times New Roman" w:cs="Times New Roman"/>
          <w:sz w:val="28"/>
          <w:szCs w:val="28"/>
        </w:rPr>
        <w:footnoteReference w:id="510"/>
      </w:r>
      <w:r>
        <w:rPr>
          <w:rFonts w:ascii="Times New Roman" w:hAnsi="Times New Roman" w:cs="Times New Roman"/>
          <w:sz w:val="28"/>
          <w:szCs w:val="28"/>
        </w:rPr>
        <w:t>. Si trattava di riti funebri privi di valenza religiosa, che comprendevano una serie di azioni come il lavaggio del moribondo</w:t>
      </w:r>
      <w:r>
        <w:rPr>
          <w:rStyle w:val="Rimandonotaapidipagina"/>
          <w:rFonts w:ascii="Times New Roman" w:hAnsi="Times New Roman" w:cs="Times New Roman"/>
          <w:sz w:val="28"/>
          <w:szCs w:val="28"/>
        </w:rPr>
        <w:footnoteReference w:id="511"/>
      </w:r>
      <w:r>
        <w:rPr>
          <w:rFonts w:ascii="Times New Roman" w:hAnsi="Times New Roman" w:cs="Times New Roman"/>
          <w:sz w:val="28"/>
          <w:szCs w:val="28"/>
        </w:rPr>
        <w:t>. In queste situazioni i missionari si dovevano impegnare, senza pregiudizi, a comprendere riti come questo, privandoli di elementi eventualmente immorali. Tale azione era fondamentale per garantire il successo dell’apostolato.</w:t>
      </w:r>
      <w:r w:rsidRPr="00B94DFC">
        <w:t xml:space="preserve"> </w:t>
      </w:r>
      <w:r>
        <w:rPr>
          <w:rFonts w:ascii="Times New Roman" w:hAnsi="Times New Roman" w:cs="Times New Roman"/>
          <w:sz w:val="28"/>
          <w:szCs w:val="28"/>
        </w:rPr>
        <w:t xml:space="preserve">Difatti in un </w:t>
      </w:r>
      <w:r w:rsidRPr="00B94DFC">
        <w:rPr>
          <w:rFonts w:ascii="Times New Roman" w:hAnsi="Times New Roman" w:cs="Times New Roman"/>
          <w:i/>
          <w:sz w:val="28"/>
          <w:szCs w:val="28"/>
        </w:rPr>
        <w:t>instructio</w:t>
      </w:r>
      <w:r>
        <w:rPr>
          <w:rFonts w:ascii="Times New Roman" w:hAnsi="Times New Roman" w:cs="Times New Roman"/>
          <w:sz w:val="28"/>
          <w:szCs w:val="28"/>
        </w:rPr>
        <w:t xml:space="preserve"> del 1939 Propaganda fide </w:t>
      </w:r>
      <w:r w:rsidRPr="00B94DFC">
        <w:rPr>
          <w:rFonts w:ascii="Times New Roman" w:hAnsi="Times New Roman" w:cs="Times New Roman"/>
          <w:sz w:val="28"/>
          <w:szCs w:val="28"/>
        </w:rPr>
        <w:t>raccomanda</w:t>
      </w:r>
      <w:r>
        <w:rPr>
          <w:rFonts w:ascii="Times New Roman" w:hAnsi="Times New Roman" w:cs="Times New Roman"/>
          <w:sz w:val="28"/>
          <w:szCs w:val="28"/>
        </w:rPr>
        <w:t>va</w:t>
      </w:r>
      <w:r w:rsidRPr="00B94DFC">
        <w:rPr>
          <w:rFonts w:ascii="Times New Roman" w:hAnsi="Times New Roman" w:cs="Times New Roman"/>
          <w:sz w:val="28"/>
          <w:szCs w:val="28"/>
        </w:rPr>
        <w:t xml:space="preserve"> a tutti coloro che si occupa</w:t>
      </w:r>
      <w:r>
        <w:rPr>
          <w:rFonts w:ascii="Times New Roman" w:hAnsi="Times New Roman" w:cs="Times New Roman"/>
          <w:sz w:val="28"/>
          <w:szCs w:val="28"/>
        </w:rPr>
        <w:t>va</w:t>
      </w:r>
      <w:r w:rsidRPr="00B94DFC">
        <w:rPr>
          <w:rFonts w:ascii="Times New Roman" w:hAnsi="Times New Roman" w:cs="Times New Roman"/>
          <w:sz w:val="28"/>
          <w:szCs w:val="28"/>
        </w:rPr>
        <w:t>no di questioni missionarie, scritte o parlate, di parlare di altre nazioni esattam</w:t>
      </w:r>
      <w:r>
        <w:rPr>
          <w:rFonts w:ascii="Times New Roman" w:hAnsi="Times New Roman" w:cs="Times New Roman"/>
          <w:sz w:val="28"/>
          <w:szCs w:val="28"/>
        </w:rPr>
        <w:t xml:space="preserve">ente </w:t>
      </w:r>
      <w:r w:rsidRPr="00B94DFC">
        <w:rPr>
          <w:rFonts w:ascii="Times New Roman" w:hAnsi="Times New Roman" w:cs="Times New Roman"/>
          <w:sz w:val="28"/>
          <w:szCs w:val="28"/>
        </w:rPr>
        <w:t>con lo stesso rispetto con cui essi stessi desidera</w:t>
      </w:r>
      <w:r>
        <w:rPr>
          <w:rFonts w:ascii="Times New Roman" w:hAnsi="Times New Roman" w:cs="Times New Roman"/>
          <w:sz w:val="28"/>
          <w:szCs w:val="28"/>
        </w:rPr>
        <w:t>vano che gli stranieri parlassero</w:t>
      </w:r>
      <w:r w:rsidRPr="00B94DFC">
        <w:rPr>
          <w:rFonts w:ascii="Times New Roman" w:hAnsi="Times New Roman" w:cs="Times New Roman"/>
          <w:sz w:val="28"/>
          <w:szCs w:val="28"/>
        </w:rPr>
        <w:t xml:space="preserve"> del proprio paese</w:t>
      </w:r>
      <w:r>
        <w:rPr>
          <w:rStyle w:val="Rimandonotaapidipagina"/>
          <w:rFonts w:ascii="Times New Roman" w:hAnsi="Times New Roman" w:cs="Times New Roman"/>
          <w:sz w:val="28"/>
          <w:szCs w:val="28"/>
        </w:rPr>
        <w:footnoteReference w:id="512"/>
      </w:r>
      <w:r w:rsidRPr="00B94DFC">
        <w:rPr>
          <w:rFonts w:ascii="Times New Roman" w:hAnsi="Times New Roman" w:cs="Times New Roman"/>
          <w:sz w:val="28"/>
          <w:szCs w:val="28"/>
        </w:rPr>
        <w:t>.</w:t>
      </w:r>
      <w:r>
        <w:rPr>
          <w:rFonts w:ascii="Times New Roman" w:hAnsi="Times New Roman" w:cs="Times New Roman"/>
          <w:sz w:val="28"/>
          <w:szCs w:val="28"/>
        </w:rPr>
        <w:t xml:space="preserve"> I missionari avevano come compito quello di annullare ogni pregiudizio e rispettare il consiglio del beato Paolo, ossia «non offendere</w:t>
      </w:r>
      <w:r w:rsidRPr="00B94DFC">
        <w:rPr>
          <w:rFonts w:ascii="Times New Roman" w:hAnsi="Times New Roman" w:cs="Times New Roman"/>
          <w:sz w:val="28"/>
          <w:szCs w:val="28"/>
        </w:rPr>
        <w:t xml:space="preserve"> nessuno, </w:t>
      </w:r>
      <w:r>
        <w:rPr>
          <w:rFonts w:ascii="Times New Roman" w:hAnsi="Times New Roman" w:cs="Times New Roman"/>
          <w:sz w:val="28"/>
          <w:szCs w:val="28"/>
        </w:rPr>
        <w:t>così che non sia biasimato il loro</w:t>
      </w:r>
      <w:r w:rsidRPr="00B94DFC">
        <w:rPr>
          <w:rFonts w:ascii="Times New Roman" w:hAnsi="Times New Roman" w:cs="Times New Roman"/>
          <w:sz w:val="28"/>
          <w:szCs w:val="28"/>
        </w:rPr>
        <w:t xml:space="preserve"> ministero, ma in ogni cosa </w:t>
      </w:r>
      <w:r>
        <w:rPr>
          <w:rFonts w:ascii="Times New Roman" w:hAnsi="Times New Roman" w:cs="Times New Roman"/>
          <w:sz w:val="28"/>
          <w:szCs w:val="28"/>
        </w:rPr>
        <w:t xml:space="preserve">i missionari si dovevano presentare </w:t>
      </w:r>
      <w:r w:rsidRPr="00B94DFC">
        <w:rPr>
          <w:rFonts w:ascii="Times New Roman" w:hAnsi="Times New Roman" w:cs="Times New Roman"/>
          <w:sz w:val="28"/>
          <w:szCs w:val="28"/>
        </w:rPr>
        <w:t>come ministri di Dio</w:t>
      </w:r>
      <w:r>
        <w:rPr>
          <w:rFonts w:ascii="Times New Roman" w:hAnsi="Times New Roman" w:cs="Times New Roman"/>
          <w:sz w:val="28"/>
          <w:szCs w:val="28"/>
        </w:rPr>
        <w:t>»</w:t>
      </w:r>
      <w:r>
        <w:rPr>
          <w:rStyle w:val="Rimandonotaapidipagina"/>
          <w:rFonts w:ascii="Times New Roman" w:hAnsi="Times New Roman" w:cs="Times New Roman"/>
          <w:sz w:val="28"/>
          <w:szCs w:val="28"/>
        </w:rPr>
        <w:footnoteReference w:id="513"/>
      </w:r>
      <w:r>
        <w:rPr>
          <w:rFonts w:ascii="Times New Roman" w:hAnsi="Times New Roman" w:cs="Times New Roman"/>
          <w:sz w:val="28"/>
          <w:szCs w:val="28"/>
        </w:rPr>
        <w:t>. Un altro caso di comprensione da parte degli ordinari, che portò anche ad un adattamento delle norme di diritto canonico, fu in Asia, più specificatamente nella Manciuria, nel 1938, dove venne riconosciuta la validità delle celebrazioni in onore di Confucio, purché a tali celebrazioni venisse dato solo valore civile</w:t>
      </w:r>
      <w:r>
        <w:rPr>
          <w:rStyle w:val="Rimandonotaapidipagina"/>
          <w:rFonts w:ascii="Times New Roman" w:hAnsi="Times New Roman" w:cs="Times New Roman"/>
          <w:sz w:val="28"/>
          <w:szCs w:val="28"/>
        </w:rPr>
        <w:footnoteReference w:id="514"/>
      </w:r>
      <w:r>
        <w:rPr>
          <w:rFonts w:ascii="Times New Roman" w:hAnsi="Times New Roman" w:cs="Times New Roman"/>
          <w:sz w:val="28"/>
          <w:szCs w:val="28"/>
        </w:rPr>
        <w:t>. Gli ordinari diedero la possibilità di mettere l’immagine di Confucio nelle scuole, consentendo la celebrazione di tale culto all’interno di tempi e dando la possibilità di partecipare a tali celebrazioni anche ai vescovi, anche se solo come spettatori passivi (can. 1258 CIC 1917)</w:t>
      </w:r>
      <w:r>
        <w:rPr>
          <w:rStyle w:val="Rimandonotaapidipagina"/>
          <w:rFonts w:ascii="Times New Roman" w:hAnsi="Times New Roman" w:cs="Times New Roman"/>
          <w:sz w:val="28"/>
          <w:szCs w:val="28"/>
        </w:rPr>
        <w:footnoteReference w:id="515"/>
      </w:r>
      <w:r>
        <w:rPr>
          <w:rFonts w:ascii="Times New Roman" w:hAnsi="Times New Roman" w:cs="Times New Roman"/>
          <w:sz w:val="28"/>
          <w:szCs w:val="28"/>
        </w:rPr>
        <w:t>.</w:t>
      </w:r>
      <w:r w:rsidRPr="00337271">
        <w:t xml:space="preserve"> </w:t>
      </w:r>
      <w:r>
        <w:rPr>
          <w:rFonts w:ascii="Times New Roman" w:hAnsi="Times New Roman" w:cs="Times New Roman"/>
          <w:sz w:val="28"/>
          <w:szCs w:val="28"/>
        </w:rPr>
        <w:t xml:space="preserve">Tale questione venne riaffrontata da Propaganda nel 1935, poiché fornì delle norme per la celebrazione di tale rito all’ordinario di Manchoukou. All’interno di tali </w:t>
      </w:r>
      <w:r>
        <w:rPr>
          <w:rFonts w:ascii="Times New Roman" w:hAnsi="Times New Roman" w:cs="Times New Roman"/>
          <w:sz w:val="28"/>
          <w:szCs w:val="28"/>
        </w:rPr>
        <w:lastRenderedPageBreak/>
        <w:t>norme Propaganda ribadiva il carattere meramente civile del rito in onore di Confucio e l’obbligo di celebrarlo, senza elementi (come candele o incensi) che potessero far pensare ad un rito di carattere religioso</w:t>
      </w:r>
      <w:r>
        <w:rPr>
          <w:rStyle w:val="Rimandonotaapidipagina"/>
          <w:rFonts w:ascii="Times New Roman" w:hAnsi="Times New Roman" w:cs="Times New Roman"/>
          <w:sz w:val="28"/>
          <w:szCs w:val="28"/>
        </w:rPr>
        <w:footnoteReference w:id="516"/>
      </w:r>
      <w:r>
        <w:rPr>
          <w:rFonts w:ascii="Times New Roman" w:hAnsi="Times New Roman" w:cs="Times New Roman"/>
          <w:sz w:val="28"/>
          <w:szCs w:val="28"/>
        </w:rPr>
        <w:t>. Inoltre Propaganda tollerava anche la raccolta di tributi per l’organizzazione di tale rito all’interno delle scuole pagane</w:t>
      </w:r>
      <w:r>
        <w:rPr>
          <w:rStyle w:val="Rimandonotaapidipagina"/>
          <w:rFonts w:ascii="Times New Roman" w:hAnsi="Times New Roman" w:cs="Times New Roman"/>
          <w:sz w:val="28"/>
          <w:szCs w:val="28"/>
        </w:rPr>
        <w:footnoteReference w:id="517"/>
      </w:r>
      <w:r>
        <w:rPr>
          <w:rFonts w:ascii="Times New Roman" w:hAnsi="Times New Roman" w:cs="Times New Roman"/>
          <w:sz w:val="28"/>
          <w:szCs w:val="28"/>
        </w:rPr>
        <w:t>.</w:t>
      </w:r>
    </w:p>
    <w:p w14:paraId="31751576" w14:textId="77777777" w:rsidR="00140247" w:rsidRDefault="00140247" w:rsidP="00484F9B">
      <w:pPr>
        <w:spacing w:after="0" w:line="360" w:lineRule="auto"/>
        <w:ind w:left="680" w:right="340"/>
        <w:jc w:val="both"/>
        <w:rPr>
          <w:rFonts w:ascii="Times New Roman" w:hAnsi="Times New Roman" w:cs="Times New Roman"/>
          <w:sz w:val="28"/>
          <w:szCs w:val="28"/>
        </w:rPr>
      </w:pPr>
      <w:r w:rsidRPr="009516C1">
        <w:rPr>
          <w:rFonts w:ascii="Times New Roman" w:hAnsi="Times New Roman" w:cs="Times New Roman"/>
          <w:sz w:val="28"/>
          <w:szCs w:val="28"/>
        </w:rPr>
        <w:t>Tra le altre forme di adattamento che trovarono il consenso di Propaganda fide si deve ricordare la richiesta dei missionari e gli altri sacerdoti</w:t>
      </w:r>
      <w:r>
        <w:rPr>
          <w:rFonts w:ascii="Times New Roman" w:hAnsi="Times New Roman" w:cs="Times New Roman"/>
          <w:sz w:val="28"/>
          <w:szCs w:val="28"/>
        </w:rPr>
        <w:t xml:space="preserve"> in Cina</w:t>
      </w:r>
      <w:r w:rsidRPr="009516C1">
        <w:rPr>
          <w:rFonts w:ascii="Times New Roman" w:hAnsi="Times New Roman" w:cs="Times New Roman"/>
          <w:sz w:val="28"/>
          <w:szCs w:val="28"/>
        </w:rPr>
        <w:t xml:space="preserve">, che non </w:t>
      </w:r>
      <w:r>
        <w:rPr>
          <w:rFonts w:ascii="Times New Roman" w:hAnsi="Times New Roman" w:cs="Times New Roman"/>
          <w:sz w:val="28"/>
          <w:szCs w:val="28"/>
        </w:rPr>
        <w:t xml:space="preserve">sentendo </w:t>
      </w:r>
      <w:r w:rsidRPr="009516C1">
        <w:rPr>
          <w:rFonts w:ascii="Times New Roman" w:hAnsi="Times New Roman" w:cs="Times New Roman"/>
          <w:sz w:val="28"/>
          <w:szCs w:val="28"/>
        </w:rPr>
        <w:t>il bisogno di prestare giuramento per rendere pronta e filiale obbedienza alla Santa Sede</w:t>
      </w:r>
      <w:r>
        <w:rPr>
          <w:rFonts w:ascii="Times New Roman" w:hAnsi="Times New Roman" w:cs="Times New Roman"/>
          <w:sz w:val="28"/>
          <w:szCs w:val="28"/>
        </w:rPr>
        <w:t xml:space="preserve">, chiesero di </w:t>
      </w:r>
      <w:r w:rsidRPr="00337271">
        <w:rPr>
          <w:rFonts w:ascii="Times New Roman" w:hAnsi="Times New Roman" w:cs="Times New Roman"/>
          <w:sz w:val="28"/>
          <w:szCs w:val="28"/>
        </w:rPr>
        <w:t>essere dispensati dall'obbligo</w:t>
      </w:r>
      <w:r>
        <w:rPr>
          <w:rStyle w:val="Rimandonotaapidipagina"/>
          <w:rFonts w:ascii="Times New Roman" w:hAnsi="Times New Roman" w:cs="Times New Roman"/>
          <w:sz w:val="28"/>
          <w:szCs w:val="28"/>
        </w:rPr>
        <w:footnoteReference w:id="518"/>
      </w:r>
      <w:r>
        <w:rPr>
          <w:rFonts w:ascii="Times New Roman" w:hAnsi="Times New Roman" w:cs="Times New Roman"/>
          <w:sz w:val="28"/>
          <w:szCs w:val="28"/>
        </w:rPr>
        <w:t xml:space="preserve">. Tale dispensazione dall’obbligo del giuramento, con il consenso di Propaganda fide venne estesa nel 1940 con un </w:t>
      </w:r>
      <w:r w:rsidRPr="00E337DF">
        <w:rPr>
          <w:rFonts w:ascii="Times New Roman" w:hAnsi="Times New Roman" w:cs="Times New Roman"/>
          <w:i/>
          <w:sz w:val="28"/>
          <w:szCs w:val="28"/>
        </w:rPr>
        <w:t>decretum</w:t>
      </w:r>
      <w:r>
        <w:rPr>
          <w:rFonts w:ascii="Times New Roman" w:hAnsi="Times New Roman" w:cs="Times New Roman"/>
          <w:i/>
          <w:sz w:val="28"/>
          <w:szCs w:val="28"/>
        </w:rPr>
        <w:t xml:space="preserve"> </w:t>
      </w:r>
      <w:r w:rsidRPr="009516C1">
        <w:rPr>
          <w:rFonts w:ascii="Times New Roman" w:hAnsi="Times New Roman" w:cs="Times New Roman"/>
          <w:sz w:val="28"/>
          <w:szCs w:val="28"/>
        </w:rPr>
        <w:t xml:space="preserve">anche </w:t>
      </w:r>
      <w:r>
        <w:rPr>
          <w:rFonts w:ascii="Times New Roman" w:hAnsi="Times New Roman" w:cs="Times New Roman"/>
          <w:sz w:val="28"/>
          <w:szCs w:val="28"/>
        </w:rPr>
        <w:t>ai missionari dell’India Orientale</w:t>
      </w:r>
      <w:r>
        <w:rPr>
          <w:rStyle w:val="Rimandonotaapidipagina"/>
          <w:rFonts w:ascii="Times New Roman" w:hAnsi="Times New Roman" w:cs="Times New Roman"/>
          <w:sz w:val="28"/>
          <w:szCs w:val="28"/>
        </w:rPr>
        <w:footnoteReference w:id="519"/>
      </w:r>
      <w:r>
        <w:rPr>
          <w:rFonts w:ascii="Times New Roman" w:hAnsi="Times New Roman" w:cs="Times New Roman"/>
          <w:sz w:val="28"/>
          <w:szCs w:val="28"/>
        </w:rPr>
        <w:t xml:space="preserve">. </w:t>
      </w:r>
    </w:p>
    <w:p w14:paraId="4D3CF9E3"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Nel 1949 vi fu un altro adeguamento, concernente la traduzione dei riti latini nelle singole delegazioni e nunziature apostoliche, per renderli più accessibili alle popolazioni da evangelizzate. Venne consentita la traduzione anche parziale di tali riti, purché venisse fatta in una lingua dignitosa (simile a quella dei testi di catechismo) ma facilmente accessibile e la revisione di tale traduzione, che poi doveva essere inviata alla Santa Sede per avere l’approvazione finale, passava per una commissione creata ad hoc e costituita da sacerdoti esperti, chiamata la commissione per la traduzione del rituale</w:t>
      </w:r>
      <w:r>
        <w:rPr>
          <w:rStyle w:val="Rimandonotaapidipagina"/>
          <w:rFonts w:ascii="Times New Roman" w:hAnsi="Times New Roman" w:cs="Times New Roman"/>
          <w:sz w:val="28"/>
          <w:szCs w:val="28"/>
        </w:rPr>
        <w:footnoteReference w:id="520"/>
      </w:r>
      <w:r>
        <w:rPr>
          <w:rFonts w:ascii="Times New Roman" w:hAnsi="Times New Roman" w:cs="Times New Roman"/>
          <w:sz w:val="28"/>
          <w:szCs w:val="28"/>
        </w:rPr>
        <w:t>.</w:t>
      </w:r>
    </w:p>
    <w:p w14:paraId="5F492EB2" w14:textId="49D7D469" w:rsidR="00140247" w:rsidRDefault="00140247" w:rsidP="00484F9B">
      <w:pPr>
        <w:spacing w:after="0" w:line="360" w:lineRule="auto"/>
        <w:ind w:left="680" w:right="340"/>
        <w:jc w:val="both"/>
        <w:rPr>
          <w:rFonts w:ascii="Times New Roman" w:hAnsi="Times New Roman" w:cs="Times New Roman"/>
          <w:sz w:val="28"/>
          <w:szCs w:val="28"/>
        </w:rPr>
      </w:pPr>
    </w:p>
    <w:p w14:paraId="77FC8E4B" w14:textId="3F93BFF0" w:rsidR="00484F9B" w:rsidRDefault="00484F9B" w:rsidP="00484F9B">
      <w:pPr>
        <w:spacing w:after="0" w:line="360" w:lineRule="auto"/>
        <w:ind w:left="680" w:right="340"/>
        <w:jc w:val="both"/>
        <w:rPr>
          <w:rFonts w:ascii="Times New Roman" w:hAnsi="Times New Roman" w:cs="Times New Roman"/>
          <w:sz w:val="28"/>
          <w:szCs w:val="28"/>
        </w:rPr>
      </w:pPr>
    </w:p>
    <w:p w14:paraId="22371DED" w14:textId="77777777" w:rsidR="00484F9B" w:rsidRDefault="00484F9B" w:rsidP="00484F9B">
      <w:pPr>
        <w:spacing w:after="0" w:line="360" w:lineRule="auto"/>
        <w:ind w:left="680" w:right="340"/>
        <w:jc w:val="both"/>
        <w:rPr>
          <w:rFonts w:ascii="Times New Roman" w:hAnsi="Times New Roman" w:cs="Times New Roman"/>
          <w:sz w:val="28"/>
          <w:szCs w:val="28"/>
        </w:rPr>
      </w:pPr>
    </w:p>
    <w:p w14:paraId="159157EE" w14:textId="77777777" w:rsidR="00140247" w:rsidRDefault="00140247" w:rsidP="00484F9B">
      <w:pPr>
        <w:spacing w:after="0" w:line="360" w:lineRule="auto"/>
        <w:ind w:left="680" w:right="340"/>
        <w:jc w:val="both"/>
        <w:rPr>
          <w:rFonts w:ascii="Times New Roman" w:hAnsi="Times New Roman" w:cs="Times New Roman"/>
          <w:sz w:val="28"/>
          <w:szCs w:val="28"/>
        </w:rPr>
      </w:pPr>
    </w:p>
    <w:p w14:paraId="03E70335" w14:textId="65DB4952" w:rsidR="00140247" w:rsidRDefault="00140247" w:rsidP="00484F9B">
      <w:pPr>
        <w:pStyle w:val="Paragrafoelenco"/>
        <w:numPr>
          <w:ilvl w:val="2"/>
          <w:numId w:val="17"/>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lastRenderedPageBreak/>
        <w:t>Scelta dei calendari liturgici nelle missioni</w:t>
      </w:r>
    </w:p>
    <w:p w14:paraId="2898B824" w14:textId="77777777" w:rsidR="00484F9B" w:rsidRPr="00484F9B" w:rsidRDefault="00484F9B" w:rsidP="00484F9B">
      <w:pPr>
        <w:pStyle w:val="Paragrafoelenco"/>
        <w:spacing w:after="0" w:line="360" w:lineRule="auto"/>
        <w:ind w:left="680" w:right="340"/>
        <w:jc w:val="both"/>
        <w:rPr>
          <w:rFonts w:ascii="Times New Roman" w:hAnsi="Times New Roman" w:cs="Times New Roman"/>
          <w:i/>
          <w:sz w:val="28"/>
          <w:szCs w:val="28"/>
        </w:rPr>
      </w:pPr>
    </w:p>
    <w:p w14:paraId="5AB5DC55"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Sempre nell’ambito dell’organizzazione delle missioni, nel 1930 Propaganda fornì un chiarimento sulla tipologia di calendari che dovevano essere </w:t>
      </w:r>
      <w:r w:rsidRPr="0088371F">
        <w:rPr>
          <w:rFonts w:ascii="Times New Roman" w:hAnsi="Times New Roman" w:cs="Times New Roman"/>
          <w:sz w:val="28"/>
          <w:szCs w:val="28"/>
        </w:rPr>
        <w:t xml:space="preserve">usati dai sacerdoti secolari e </w:t>
      </w:r>
      <w:r>
        <w:rPr>
          <w:rFonts w:ascii="Times New Roman" w:hAnsi="Times New Roman" w:cs="Times New Roman"/>
          <w:sz w:val="28"/>
          <w:szCs w:val="28"/>
        </w:rPr>
        <w:t xml:space="preserve">dai </w:t>
      </w:r>
      <w:r w:rsidRPr="0088371F">
        <w:rPr>
          <w:rFonts w:ascii="Times New Roman" w:hAnsi="Times New Roman" w:cs="Times New Roman"/>
          <w:sz w:val="28"/>
          <w:szCs w:val="28"/>
        </w:rPr>
        <w:t>religiosi nelle loro missioni</w:t>
      </w:r>
      <w:r>
        <w:rPr>
          <w:rFonts w:ascii="Times New Roman" w:hAnsi="Times New Roman" w:cs="Times New Roman"/>
          <w:sz w:val="28"/>
          <w:szCs w:val="28"/>
        </w:rPr>
        <w:t>. In generale con il termine calendario si intendeva quello universale della Chiesa di Roma, che nacque nel</w:t>
      </w:r>
      <w:r w:rsidRPr="0040771F">
        <w:rPr>
          <w:rFonts w:ascii="Times New Roman" w:hAnsi="Times New Roman" w:cs="Times New Roman"/>
          <w:sz w:val="28"/>
          <w:szCs w:val="28"/>
        </w:rPr>
        <w:t xml:space="preserve"> 1568, </w:t>
      </w:r>
      <w:r>
        <w:rPr>
          <w:rFonts w:ascii="Times New Roman" w:hAnsi="Times New Roman" w:cs="Times New Roman"/>
          <w:sz w:val="28"/>
          <w:szCs w:val="28"/>
        </w:rPr>
        <w:t xml:space="preserve">dal momento, in cui Pio V   </w:t>
      </w:r>
      <w:r w:rsidRPr="0040771F">
        <w:rPr>
          <w:rFonts w:ascii="Times New Roman" w:hAnsi="Times New Roman" w:cs="Times New Roman"/>
          <w:sz w:val="28"/>
          <w:szCs w:val="28"/>
        </w:rPr>
        <w:t>impose a tutta la Ch</w:t>
      </w:r>
      <w:r>
        <w:rPr>
          <w:rFonts w:ascii="Times New Roman" w:hAnsi="Times New Roman" w:cs="Times New Roman"/>
          <w:sz w:val="28"/>
          <w:szCs w:val="28"/>
        </w:rPr>
        <w:t>iesa latina un breviario riformato, con l’annesso calendario</w:t>
      </w:r>
      <w:r>
        <w:rPr>
          <w:rStyle w:val="Rimandonotaapidipagina"/>
          <w:rFonts w:ascii="Times New Roman" w:hAnsi="Times New Roman" w:cs="Times New Roman"/>
          <w:sz w:val="28"/>
          <w:szCs w:val="28"/>
        </w:rPr>
        <w:footnoteReference w:id="521"/>
      </w:r>
      <w:r>
        <w:rPr>
          <w:rFonts w:ascii="Times New Roman" w:hAnsi="Times New Roman" w:cs="Times New Roman"/>
          <w:sz w:val="28"/>
          <w:szCs w:val="28"/>
        </w:rPr>
        <w:t>.</w:t>
      </w:r>
      <w:r w:rsidRPr="0040771F">
        <w:rPr>
          <w:rFonts w:ascii="Times New Roman" w:hAnsi="Times New Roman" w:cs="Times New Roman"/>
          <w:sz w:val="28"/>
          <w:szCs w:val="28"/>
        </w:rPr>
        <w:t xml:space="preserve"> Ogni </w:t>
      </w:r>
      <w:r>
        <w:rPr>
          <w:rFonts w:ascii="Times New Roman" w:hAnsi="Times New Roman" w:cs="Times New Roman"/>
          <w:sz w:val="28"/>
          <w:szCs w:val="28"/>
        </w:rPr>
        <w:t>cambiamento di questo calendario, come l’inserimento</w:t>
      </w:r>
      <w:r w:rsidRPr="0040771F">
        <w:rPr>
          <w:rFonts w:ascii="Times New Roman" w:hAnsi="Times New Roman" w:cs="Times New Roman"/>
          <w:sz w:val="28"/>
          <w:szCs w:val="28"/>
        </w:rPr>
        <w:t xml:space="preserve"> di feste nuove</w:t>
      </w:r>
      <w:r>
        <w:rPr>
          <w:rFonts w:ascii="Times New Roman" w:hAnsi="Times New Roman" w:cs="Times New Roman"/>
          <w:sz w:val="28"/>
          <w:szCs w:val="28"/>
        </w:rPr>
        <w:t xml:space="preserve"> o il  loro spostamento ed eventuali </w:t>
      </w:r>
      <w:r w:rsidRPr="0040771F">
        <w:rPr>
          <w:rFonts w:ascii="Times New Roman" w:hAnsi="Times New Roman" w:cs="Times New Roman"/>
          <w:sz w:val="28"/>
          <w:szCs w:val="28"/>
        </w:rPr>
        <w:t xml:space="preserve">variazioni di </w:t>
      </w:r>
      <w:r>
        <w:rPr>
          <w:rFonts w:ascii="Times New Roman" w:hAnsi="Times New Roman" w:cs="Times New Roman"/>
          <w:sz w:val="28"/>
          <w:szCs w:val="28"/>
        </w:rPr>
        <w:t xml:space="preserve">rito </w:t>
      </w:r>
      <w:r w:rsidRPr="0040771F">
        <w:rPr>
          <w:rFonts w:ascii="Times New Roman" w:hAnsi="Times New Roman" w:cs="Times New Roman"/>
          <w:sz w:val="28"/>
          <w:szCs w:val="28"/>
        </w:rPr>
        <w:t>spetta</w:t>
      </w:r>
      <w:r>
        <w:rPr>
          <w:rFonts w:ascii="Times New Roman" w:hAnsi="Times New Roman" w:cs="Times New Roman"/>
          <w:sz w:val="28"/>
          <w:szCs w:val="28"/>
        </w:rPr>
        <w:t>va unicamente alla Santa</w:t>
      </w:r>
      <w:r w:rsidRPr="0040771F">
        <w:rPr>
          <w:rFonts w:ascii="Times New Roman" w:hAnsi="Times New Roman" w:cs="Times New Roman"/>
          <w:sz w:val="28"/>
          <w:szCs w:val="28"/>
        </w:rPr>
        <w:t xml:space="preserve"> Sede</w:t>
      </w:r>
      <w:r>
        <w:rPr>
          <w:rFonts w:ascii="Times New Roman" w:hAnsi="Times New Roman" w:cs="Times New Roman"/>
          <w:sz w:val="28"/>
          <w:szCs w:val="28"/>
        </w:rPr>
        <w:t>,</w:t>
      </w:r>
      <w:r w:rsidRPr="0040771F">
        <w:rPr>
          <w:rFonts w:ascii="Times New Roman" w:hAnsi="Times New Roman" w:cs="Times New Roman"/>
          <w:sz w:val="28"/>
          <w:szCs w:val="28"/>
        </w:rPr>
        <w:t xml:space="preserve"> la quale </w:t>
      </w:r>
      <w:r>
        <w:rPr>
          <w:rFonts w:ascii="Times New Roman" w:hAnsi="Times New Roman" w:cs="Times New Roman"/>
          <w:sz w:val="28"/>
          <w:szCs w:val="28"/>
        </w:rPr>
        <w:t>assolveva a questo compito, tramite la S. Congregazione dei r</w:t>
      </w:r>
      <w:r w:rsidRPr="0040771F">
        <w:rPr>
          <w:rFonts w:ascii="Times New Roman" w:hAnsi="Times New Roman" w:cs="Times New Roman"/>
          <w:sz w:val="28"/>
          <w:szCs w:val="28"/>
        </w:rPr>
        <w:t>iti</w:t>
      </w:r>
      <w:r>
        <w:rPr>
          <w:rStyle w:val="Rimandonotaapidipagina"/>
          <w:rFonts w:ascii="Times New Roman" w:hAnsi="Times New Roman" w:cs="Times New Roman"/>
          <w:sz w:val="28"/>
          <w:szCs w:val="28"/>
        </w:rPr>
        <w:footnoteReference w:id="522"/>
      </w:r>
      <w:r>
        <w:rPr>
          <w:rFonts w:ascii="Times New Roman" w:hAnsi="Times New Roman" w:cs="Times New Roman"/>
          <w:sz w:val="28"/>
          <w:szCs w:val="28"/>
        </w:rPr>
        <w:t>.</w:t>
      </w:r>
      <w:r w:rsidRPr="0040771F">
        <w:t xml:space="preserve"> </w:t>
      </w:r>
      <w:r w:rsidRPr="0040771F">
        <w:rPr>
          <w:rFonts w:ascii="Times New Roman" w:hAnsi="Times New Roman" w:cs="Times New Roman"/>
          <w:sz w:val="28"/>
          <w:szCs w:val="28"/>
        </w:rPr>
        <w:t xml:space="preserve">La base di questo calendario era costituita da i </w:t>
      </w:r>
      <w:r>
        <w:rPr>
          <w:rFonts w:ascii="Times New Roman" w:hAnsi="Times New Roman" w:cs="Times New Roman"/>
          <w:sz w:val="28"/>
          <w:szCs w:val="28"/>
        </w:rPr>
        <w:t>libri liturgici, detti «della Curia</w:t>
      </w:r>
      <w:r w:rsidRPr="0040771F">
        <w:rPr>
          <w:rFonts w:ascii="Times New Roman" w:hAnsi="Times New Roman" w:cs="Times New Roman"/>
          <w:sz w:val="28"/>
          <w:szCs w:val="28"/>
        </w:rPr>
        <w:t>» ossia di Roma, ma con una sagg</w:t>
      </w:r>
      <w:r>
        <w:rPr>
          <w:rFonts w:ascii="Times New Roman" w:hAnsi="Times New Roman" w:cs="Times New Roman"/>
          <w:sz w:val="28"/>
          <w:szCs w:val="28"/>
        </w:rPr>
        <w:t>ia riduzione di feste e di riti,</w:t>
      </w:r>
      <w:r w:rsidRPr="0040771F">
        <w:rPr>
          <w:rFonts w:ascii="Times New Roman" w:hAnsi="Times New Roman" w:cs="Times New Roman"/>
          <w:sz w:val="28"/>
          <w:szCs w:val="28"/>
        </w:rPr>
        <w:t xml:space="preserve"> in modo da ripristinare in gran parte la liturgia feriale</w:t>
      </w:r>
      <w:r>
        <w:rPr>
          <w:rStyle w:val="Rimandonotaapidipagina"/>
          <w:rFonts w:ascii="Times New Roman" w:hAnsi="Times New Roman" w:cs="Times New Roman"/>
          <w:sz w:val="28"/>
          <w:szCs w:val="28"/>
        </w:rPr>
        <w:footnoteReference w:id="523"/>
      </w:r>
      <w:r w:rsidRPr="0040771F">
        <w:rPr>
          <w:rFonts w:ascii="Times New Roman" w:hAnsi="Times New Roman" w:cs="Times New Roman"/>
          <w:sz w:val="28"/>
          <w:szCs w:val="28"/>
        </w:rPr>
        <w:t>.</w:t>
      </w:r>
      <w:r>
        <w:rPr>
          <w:rFonts w:ascii="Times New Roman" w:hAnsi="Times New Roman" w:cs="Times New Roman"/>
          <w:sz w:val="28"/>
          <w:szCs w:val="28"/>
        </w:rPr>
        <w:t xml:space="preserve"> Nei territori di missione i sacerdoti dovevano utilizzare il calendario della congregazione a cui appartenevano, fino a che non fossero riusciti ad instaurare la gerarchia ecclesiastica nei territori evangelizzati e allora avrebbero potuto utilizzare il calendario della missione</w:t>
      </w:r>
      <w:r>
        <w:rPr>
          <w:rStyle w:val="Rimandonotaapidipagina"/>
          <w:rFonts w:ascii="Times New Roman" w:hAnsi="Times New Roman" w:cs="Times New Roman"/>
          <w:sz w:val="28"/>
          <w:szCs w:val="28"/>
        </w:rPr>
        <w:footnoteReference w:id="524"/>
      </w:r>
      <w:r>
        <w:rPr>
          <w:rFonts w:ascii="Times New Roman" w:hAnsi="Times New Roman" w:cs="Times New Roman"/>
          <w:sz w:val="28"/>
          <w:szCs w:val="28"/>
        </w:rPr>
        <w:t>. Difatti Propaganda nel 1936 chiarì che vi era la possibilità di usare il proprio calendario ed il proprio messale da parte dei singoli religiosi, purché fosse una misura temporanea, volta a spianare la strada all’introduzione della gerarchia ecclesiastica</w:t>
      </w:r>
      <w:r>
        <w:rPr>
          <w:rStyle w:val="Rimandonotaapidipagina"/>
          <w:rFonts w:ascii="Times New Roman" w:hAnsi="Times New Roman" w:cs="Times New Roman"/>
          <w:sz w:val="28"/>
          <w:szCs w:val="28"/>
        </w:rPr>
        <w:footnoteReference w:id="525"/>
      </w:r>
      <w:r>
        <w:rPr>
          <w:rFonts w:ascii="Times New Roman" w:hAnsi="Times New Roman" w:cs="Times New Roman"/>
          <w:sz w:val="28"/>
          <w:szCs w:val="28"/>
        </w:rPr>
        <w:t>.</w:t>
      </w:r>
    </w:p>
    <w:p w14:paraId="69848D67" w14:textId="4518D004" w:rsidR="00B3403A" w:rsidRDefault="00B3403A" w:rsidP="00484F9B">
      <w:pPr>
        <w:spacing w:after="0" w:line="360" w:lineRule="auto"/>
        <w:ind w:left="680" w:right="340"/>
        <w:jc w:val="both"/>
        <w:rPr>
          <w:rFonts w:ascii="Times New Roman" w:hAnsi="Times New Roman" w:cs="Times New Roman"/>
          <w:sz w:val="28"/>
          <w:szCs w:val="28"/>
        </w:rPr>
      </w:pPr>
    </w:p>
    <w:p w14:paraId="63F11533" w14:textId="77777777" w:rsidR="00484F9B" w:rsidRDefault="00484F9B" w:rsidP="00484F9B">
      <w:pPr>
        <w:spacing w:after="0" w:line="360" w:lineRule="auto"/>
        <w:ind w:left="680" w:right="340"/>
        <w:jc w:val="both"/>
        <w:rPr>
          <w:rFonts w:ascii="Times New Roman" w:hAnsi="Times New Roman" w:cs="Times New Roman"/>
          <w:sz w:val="28"/>
          <w:szCs w:val="28"/>
        </w:rPr>
      </w:pPr>
    </w:p>
    <w:p w14:paraId="1D31A2C7" w14:textId="77777777" w:rsidR="00B3403A" w:rsidRDefault="00B3403A" w:rsidP="00484F9B">
      <w:pPr>
        <w:spacing w:after="0" w:line="360" w:lineRule="auto"/>
        <w:ind w:left="680" w:right="340"/>
        <w:jc w:val="both"/>
        <w:rPr>
          <w:rFonts w:ascii="Times New Roman" w:hAnsi="Times New Roman" w:cs="Times New Roman"/>
          <w:sz w:val="28"/>
          <w:szCs w:val="28"/>
        </w:rPr>
      </w:pPr>
    </w:p>
    <w:p w14:paraId="143E7786" w14:textId="77777777" w:rsidR="00140247" w:rsidRPr="000248D1" w:rsidRDefault="00140247" w:rsidP="00484F9B">
      <w:pPr>
        <w:spacing w:after="0" w:line="360" w:lineRule="auto"/>
        <w:ind w:left="680" w:right="340"/>
        <w:jc w:val="both"/>
        <w:rPr>
          <w:rFonts w:ascii="Times New Roman" w:hAnsi="Times New Roman" w:cs="Times New Roman"/>
          <w:sz w:val="28"/>
          <w:szCs w:val="28"/>
        </w:rPr>
      </w:pPr>
    </w:p>
    <w:p w14:paraId="3B7C113E" w14:textId="579F866D" w:rsidR="00140247" w:rsidRPr="00484F9B" w:rsidRDefault="00140247" w:rsidP="00484F9B">
      <w:pPr>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lastRenderedPageBreak/>
        <w:t>3.1</w:t>
      </w:r>
      <w:r w:rsidRPr="002C0D9F">
        <w:rPr>
          <w:rFonts w:ascii="Times New Roman" w:hAnsi="Times New Roman" w:cs="Times New Roman"/>
          <w:sz w:val="28"/>
          <w:szCs w:val="28"/>
        </w:rPr>
        <w:t xml:space="preserve"> </w:t>
      </w:r>
      <w:r w:rsidRPr="00484F9B">
        <w:rPr>
          <w:rFonts w:ascii="Times New Roman" w:hAnsi="Times New Roman" w:cs="Times New Roman"/>
          <w:i/>
          <w:sz w:val="28"/>
          <w:szCs w:val="28"/>
        </w:rPr>
        <w:t>Facoltà, indulti e privilegi</w:t>
      </w:r>
    </w:p>
    <w:p w14:paraId="1DF4D62C" w14:textId="77777777" w:rsidR="00484F9B" w:rsidRPr="00484F9B" w:rsidRDefault="00484F9B" w:rsidP="00484F9B">
      <w:pPr>
        <w:spacing w:after="0" w:line="360" w:lineRule="auto"/>
        <w:ind w:left="680" w:right="340"/>
        <w:jc w:val="both"/>
        <w:rPr>
          <w:rFonts w:ascii="Times New Roman" w:hAnsi="Times New Roman" w:cs="Times New Roman"/>
          <w:i/>
          <w:sz w:val="28"/>
          <w:szCs w:val="28"/>
        </w:rPr>
      </w:pPr>
    </w:p>
    <w:p w14:paraId="371552BA"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Quando si parla di privilegio nel diritto canonico si fa riferimento ad una n</w:t>
      </w:r>
      <w:r w:rsidRPr="008C7AE5">
        <w:rPr>
          <w:rFonts w:ascii="Times New Roman" w:hAnsi="Times New Roman" w:cs="Times New Roman"/>
          <w:sz w:val="28"/>
          <w:szCs w:val="28"/>
        </w:rPr>
        <w:t>orma giuridica contenuta nella legge o emanata dal sup</w:t>
      </w:r>
      <w:r>
        <w:rPr>
          <w:rFonts w:ascii="Times New Roman" w:hAnsi="Times New Roman" w:cs="Times New Roman"/>
          <w:sz w:val="28"/>
          <w:szCs w:val="28"/>
        </w:rPr>
        <w:t>eriore a vantaggio di una cate</w:t>
      </w:r>
      <w:r w:rsidRPr="008C7AE5">
        <w:rPr>
          <w:rFonts w:ascii="Times New Roman" w:hAnsi="Times New Roman" w:cs="Times New Roman"/>
          <w:sz w:val="28"/>
          <w:szCs w:val="28"/>
        </w:rPr>
        <w:t xml:space="preserve">goria o di una persona. </w:t>
      </w:r>
      <w:r>
        <w:rPr>
          <w:rFonts w:ascii="Times New Roman" w:hAnsi="Times New Roman" w:cs="Times New Roman"/>
          <w:sz w:val="28"/>
          <w:szCs w:val="28"/>
        </w:rPr>
        <w:t>Nel CIC 1917 il termine privilegio aveva</w:t>
      </w:r>
      <w:r w:rsidRPr="008C7AE5">
        <w:rPr>
          <w:rFonts w:ascii="Times New Roman" w:hAnsi="Times New Roman" w:cs="Times New Roman"/>
          <w:sz w:val="28"/>
          <w:szCs w:val="28"/>
        </w:rPr>
        <w:t xml:space="preserve"> una duplice accezione</w:t>
      </w:r>
      <w:r>
        <w:rPr>
          <w:rFonts w:ascii="Times New Roman" w:hAnsi="Times New Roman" w:cs="Times New Roman"/>
          <w:sz w:val="28"/>
          <w:szCs w:val="28"/>
        </w:rPr>
        <w:t>, ossia in senso generico o più stretto</w:t>
      </w:r>
      <w:r w:rsidRPr="008C7AE5">
        <w:rPr>
          <w:rFonts w:ascii="Times New Roman" w:hAnsi="Times New Roman" w:cs="Times New Roman"/>
          <w:sz w:val="28"/>
          <w:szCs w:val="28"/>
        </w:rPr>
        <w:t xml:space="preserve">. In senso generico </w:t>
      </w:r>
      <w:r>
        <w:rPr>
          <w:rFonts w:ascii="Times New Roman" w:hAnsi="Times New Roman" w:cs="Times New Roman"/>
          <w:sz w:val="28"/>
          <w:szCs w:val="28"/>
        </w:rPr>
        <w:t>venivano definiti privilegi</w:t>
      </w:r>
      <w:r w:rsidRPr="008C7AE5">
        <w:rPr>
          <w:rFonts w:ascii="Times New Roman" w:hAnsi="Times New Roman" w:cs="Times New Roman"/>
          <w:sz w:val="28"/>
          <w:szCs w:val="28"/>
        </w:rPr>
        <w:t xml:space="preserve"> quelle norme (</w:t>
      </w:r>
      <w:r w:rsidRPr="008C7AE5">
        <w:rPr>
          <w:rFonts w:ascii="Times New Roman" w:hAnsi="Times New Roman" w:cs="Times New Roman"/>
          <w:i/>
          <w:sz w:val="28"/>
          <w:szCs w:val="28"/>
        </w:rPr>
        <w:t>leges singulares</w:t>
      </w:r>
      <w:r w:rsidRPr="008C7AE5">
        <w:rPr>
          <w:rFonts w:ascii="Times New Roman" w:hAnsi="Times New Roman" w:cs="Times New Roman"/>
          <w:sz w:val="28"/>
          <w:szCs w:val="28"/>
        </w:rPr>
        <w:t xml:space="preserve">) di diritto comune con le quali </w:t>
      </w:r>
      <w:r>
        <w:rPr>
          <w:rFonts w:ascii="Times New Roman" w:hAnsi="Times New Roman" w:cs="Times New Roman"/>
          <w:sz w:val="28"/>
          <w:szCs w:val="28"/>
        </w:rPr>
        <w:t xml:space="preserve">venivano </w:t>
      </w:r>
      <w:r w:rsidRPr="008C7AE5">
        <w:rPr>
          <w:rFonts w:ascii="Times New Roman" w:hAnsi="Times New Roman" w:cs="Times New Roman"/>
          <w:sz w:val="28"/>
          <w:szCs w:val="28"/>
        </w:rPr>
        <w:t>attribuite prerogative spec</w:t>
      </w:r>
      <w:r>
        <w:rPr>
          <w:rFonts w:ascii="Times New Roman" w:hAnsi="Times New Roman" w:cs="Times New Roman"/>
          <w:sz w:val="28"/>
          <w:szCs w:val="28"/>
        </w:rPr>
        <w:t>iali a determinati uffici, persone, cose o luoghi. T</w:t>
      </w:r>
      <w:r w:rsidRPr="008C7AE5">
        <w:rPr>
          <w:rFonts w:ascii="Times New Roman" w:hAnsi="Times New Roman" w:cs="Times New Roman"/>
          <w:sz w:val="28"/>
          <w:szCs w:val="28"/>
        </w:rPr>
        <w:t xml:space="preserve">ali </w:t>
      </w:r>
      <w:r>
        <w:rPr>
          <w:rFonts w:ascii="Times New Roman" w:hAnsi="Times New Roman" w:cs="Times New Roman"/>
          <w:sz w:val="28"/>
          <w:szCs w:val="28"/>
        </w:rPr>
        <w:t xml:space="preserve">erano per esempio i privilegi </w:t>
      </w:r>
      <w:r w:rsidRPr="008C7AE5">
        <w:rPr>
          <w:rFonts w:ascii="Times New Roman" w:hAnsi="Times New Roman" w:cs="Times New Roman"/>
          <w:sz w:val="28"/>
          <w:szCs w:val="28"/>
        </w:rPr>
        <w:t>dei chierici, dei religiosi (can. 613 sgg.), i</w:t>
      </w:r>
      <w:r>
        <w:rPr>
          <w:rFonts w:ascii="Times New Roman" w:hAnsi="Times New Roman" w:cs="Times New Roman"/>
          <w:sz w:val="28"/>
          <w:szCs w:val="28"/>
        </w:rPr>
        <w:t>l privilegio dell’esenzione locale con</w:t>
      </w:r>
      <w:r w:rsidRPr="008C7AE5">
        <w:rPr>
          <w:rFonts w:ascii="Times New Roman" w:hAnsi="Times New Roman" w:cs="Times New Roman"/>
          <w:sz w:val="28"/>
          <w:szCs w:val="28"/>
        </w:rPr>
        <w:t>templato nel can. 1492</w:t>
      </w:r>
      <w:r>
        <w:rPr>
          <w:rFonts w:ascii="Times New Roman" w:hAnsi="Times New Roman" w:cs="Times New Roman"/>
          <w:sz w:val="28"/>
          <w:szCs w:val="28"/>
        </w:rPr>
        <w:t xml:space="preserve"> del CIC</w:t>
      </w:r>
      <w:r w:rsidRPr="008C7AE5">
        <w:rPr>
          <w:rFonts w:ascii="Times New Roman" w:hAnsi="Times New Roman" w:cs="Times New Roman"/>
          <w:sz w:val="28"/>
          <w:szCs w:val="28"/>
        </w:rPr>
        <w:t xml:space="preserve"> e quello paolino fissato nel can. 1120</w:t>
      </w:r>
      <w:r>
        <w:rPr>
          <w:rFonts w:ascii="Times New Roman" w:hAnsi="Times New Roman" w:cs="Times New Roman"/>
          <w:sz w:val="28"/>
          <w:szCs w:val="28"/>
        </w:rPr>
        <w:t xml:space="preserve"> del CIC</w:t>
      </w:r>
      <w:r>
        <w:rPr>
          <w:rStyle w:val="Rimandonotaapidipagina"/>
          <w:rFonts w:ascii="Times New Roman" w:hAnsi="Times New Roman" w:cs="Times New Roman"/>
          <w:sz w:val="28"/>
          <w:szCs w:val="28"/>
        </w:rPr>
        <w:footnoteReference w:id="526"/>
      </w:r>
      <w:r w:rsidRPr="008C7AE5">
        <w:rPr>
          <w:rFonts w:ascii="Times New Roman" w:hAnsi="Times New Roman" w:cs="Times New Roman"/>
          <w:sz w:val="28"/>
          <w:szCs w:val="28"/>
        </w:rPr>
        <w:t xml:space="preserve">. In un senso </w:t>
      </w:r>
      <w:r>
        <w:rPr>
          <w:rFonts w:ascii="Times New Roman" w:hAnsi="Times New Roman" w:cs="Times New Roman"/>
          <w:sz w:val="28"/>
          <w:szCs w:val="28"/>
        </w:rPr>
        <w:t>più stretto e proprio, invece, era definito</w:t>
      </w:r>
      <w:r w:rsidRPr="008C7AE5">
        <w:rPr>
          <w:rFonts w:ascii="Times New Roman" w:hAnsi="Times New Roman" w:cs="Times New Roman"/>
          <w:sz w:val="28"/>
          <w:szCs w:val="28"/>
        </w:rPr>
        <w:t xml:space="preserve"> </w:t>
      </w:r>
      <w:r>
        <w:rPr>
          <w:rFonts w:ascii="Times New Roman" w:hAnsi="Times New Roman" w:cs="Times New Roman"/>
          <w:sz w:val="28"/>
          <w:szCs w:val="28"/>
        </w:rPr>
        <w:t xml:space="preserve">privilegio la </w:t>
      </w:r>
      <w:r w:rsidRPr="008C7AE5">
        <w:rPr>
          <w:rFonts w:ascii="Times New Roman" w:hAnsi="Times New Roman" w:cs="Times New Roman"/>
          <w:sz w:val="28"/>
          <w:szCs w:val="28"/>
        </w:rPr>
        <w:t>norma con la quale si concede</w:t>
      </w:r>
      <w:r>
        <w:rPr>
          <w:rFonts w:ascii="Times New Roman" w:hAnsi="Times New Roman" w:cs="Times New Roman"/>
          <w:sz w:val="28"/>
          <w:szCs w:val="28"/>
        </w:rPr>
        <w:t>va</w:t>
      </w:r>
      <w:r w:rsidRPr="008C7AE5">
        <w:rPr>
          <w:rFonts w:ascii="Times New Roman" w:hAnsi="Times New Roman" w:cs="Times New Roman"/>
          <w:sz w:val="28"/>
          <w:szCs w:val="28"/>
        </w:rPr>
        <w:t xml:space="preserve"> un favore </w:t>
      </w:r>
      <w:r w:rsidRPr="008C7AE5">
        <w:rPr>
          <w:rFonts w:ascii="Times New Roman" w:hAnsi="Times New Roman" w:cs="Times New Roman"/>
          <w:i/>
          <w:sz w:val="28"/>
          <w:szCs w:val="28"/>
        </w:rPr>
        <w:t>praeter</w:t>
      </w:r>
      <w:r w:rsidRPr="008C7AE5">
        <w:rPr>
          <w:rFonts w:ascii="Times New Roman" w:hAnsi="Times New Roman" w:cs="Times New Roman"/>
          <w:sz w:val="28"/>
          <w:szCs w:val="28"/>
        </w:rPr>
        <w:t xml:space="preserve"> o </w:t>
      </w:r>
      <w:r w:rsidRPr="008C7AE5">
        <w:rPr>
          <w:rFonts w:ascii="Times New Roman" w:hAnsi="Times New Roman" w:cs="Times New Roman"/>
          <w:i/>
          <w:sz w:val="28"/>
          <w:szCs w:val="28"/>
        </w:rPr>
        <w:t xml:space="preserve">contra ius </w:t>
      </w:r>
      <w:r w:rsidRPr="008C7AE5">
        <w:rPr>
          <w:rFonts w:ascii="Times New Roman" w:hAnsi="Times New Roman" w:cs="Times New Roman"/>
          <w:sz w:val="28"/>
          <w:szCs w:val="28"/>
        </w:rPr>
        <w:t>(legge privata</w:t>
      </w:r>
      <w:r>
        <w:rPr>
          <w:rFonts w:ascii="Times New Roman" w:hAnsi="Times New Roman" w:cs="Times New Roman"/>
          <w:sz w:val="28"/>
          <w:szCs w:val="28"/>
        </w:rPr>
        <w:t xml:space="preserve"> favorevole)</w:t>
      </w:r>
      <w:r>
        <w:rPr>
          <w:rStyle w:val="Rimandonotaapidipagina"/>
          <w:rFonts w:ascii="Times New Roman" w:hAnsi="Times New Roman" w:cs="Times New Roman"/>
          <w:sz w:val="28"/>
          <w:szCs w:val="28"/>
        </w:rPr>
        <w:footnoteReference w:id="527"/>
      </w:r>
      <w:r>
        <w:rPr>
          <w:rFonts w:ascii="Times New Roman" w:hAnsi="Times New Roman" w:cs="Times New Roman"/>
          <w:sz w:val="28"/>
          <w:szCs w:val="28"/>
        </w:rPr>
        <w:t>. Dal fatto che venisse</w:t>
      </w:r>
      <w:r w:rsidRPr="008C7AE5">
        <w:rPr>
          <w:rFonts w:ascii="Times New Roman" w:hAnsi="Times New Roman" w:cs="Times New Roman"/>
          <w:sz w:val="28"/>
          <w:szCs w:val="28"/>
        </w:rPr>
        <w:t xml:space="preserve"> concesso come leg</w:t>
      </w:r>
      <w:r>
        <w:rPr>
          <w:rFonts w:ascii="Times New Roman" w:hAnsi="Times New Roman" w:cs="Times New Roman"/>
          <w:sz w:val="28"/>
          <w:szCs w:val="28"/>
        </w:rPr>
        <w:t>ge (</w:t>
      </w:r>
      <w:r w:rsidRPr="008C7AE5">
        <w:rPr>
          <w:rFonts w:ascii="Times New Roman" w:hAnsi="Times New Roman" w:cs="Times New Roman"/>
          <w:i/>
          <w:sz w:val="28"/>
          <w:szCs w:val="28"/>
        </w:rPr>
        <w:t>ad instar legis</w:t>
      </w:r>
      <w:r>
        <w:rPr>
          <w:rFonts w:ascii="Times New Roman" w:hAnsi="Times New Roman" w:cs="Times New Roman"/>
          <w:sz w:val="28"/>
          <w:szCs w:val="28"/>
        </w:rPr>
        <w:t>), il privilegio doveva</w:t>
      </w:r>
      <w:r w:rsidRPr="008C7AE5">
        <w:rPr>
          <w:rFonts w:ascii="Times New Roman" w:hAnsi="Times New Roman" w:cs="Times New Roman"/>
          <w:sz w:val="28"/>
          <w:szCs w:val="28"/>
        </w:rPr>
        <w:t xml:space="preserve"> ritenersi perpetuo (can. 70</w:t>
      </w:r>
      <w:r>
        <w:rPr>
          <w:rFonts w:ascii="Times New Roman" w:hAnsi="Times New Roman" w:cs="Times New Roman"/>
          <w:sz w:val="28"/>
          <w:szCs w:val="28"/>
        </w:rPr>
        <w:t xml:space="preserve"> CIC</w:t>
      </w:r>
      <w:r w:rsidRPr="008C7AE5">
        <w:rPr>
          <w:rFonts w:ascii="Times New Roman" w:hAnsi="Times New Roman" w:cs="Times New Roman"/>
          <w:sz w:val="28"/>
          <w:szCs w:val="28"/>
        </w:rPr>
        <w:t>), a</w:t>
      </w:r>
      <w:r>
        <w:rPr>
          <w:rFonts w:ascii="Times New Roman" w:hAnsi="Times New Roman" w:cs="Times New Roman"/>
          <w:sz w:val="28"/>
          <w:szCs w:val="28"/>
        </w:rPr>
        <w:t xml:space="preserve"> differenza della dispensa che era</w:t>
      </w:r>
      <w:r w:rsidRPr="008C7AE5">
        <w:rPr>
          <w:rFonts w:ascii="Times New Roman" w:hAnsi="Times New Roman" w:cs="Times New Roman"/>
          <w:sz w:val="28"/>
          <w:szCs w:val="28"/>
        </w:rPr>
        <w:t xml:space="preserve"> sempre temporanea.</w:t>
      </w:r>
      <w:r w:rsidRPr="007F3D3A">
        <w:t xml:space="preserve"> </w:t>
      </w:r>
    </w:p>
    <w:p w14:paraId="79C56372"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I privilegi comprendevano quelli </w:t>
      </w:r>
      <w:r w:rsidRPr="00A527AE">
        <w:rPr>
          <w:rFonts w:ascii="Times New Roman" w:hAnsi="Times New Roman" w:cs="Times New Roman"/>
          <w:i/>
          <w:sz w:val="28"/>
          <w:szCs w:val="28"/>
        </w:rPr>
        <w:t>contra</w:t>
      </w:r>
      <w:r>
        <w:rPr>
          <w:rFonts w:ascii="Times New Roman" w:hAnsi="Times New Roman" w:cs="Times New Roman"/>
          <w:sz w:val="28"/>
          <w:szCs w:val="28"/>
        </w:rPr>
        <w:t xml:space="preserve"> o </w:t>
      </w:r>
      <w:r w:rsidRPr="00A527AE">
        <w:rPr>
          <w:rFonts w:ascii="Times New Roman" w:hAnsi="Times New Roman" w:cs="Times New Roman"/>
          <w:i/>
          <w:sz w:val="28"/>
          <w:szCs w:val="28"/>
        </w:rPr>
        <w:t>praeter ius</w:t>
      </w:r>
      <w:r>
        <w:rPr>
          <w:rFonts w:ascii="Times New Roman" w:hAnsi="Times New Roman" w:cs="Times New Roman"/>
          <w:sz w:val="28"/>
          <w:szCs w:val="28"/>
        </w:rPr>
        <w:t>, quelli</w:t>
      </w:r>
      <w:r w:rsidRPr="00A47BB6">
        <w:rPr>
          <w:rFonts w:ascii="Times New Roman" w:hAnsi="Times New Roman" w:cs="Times New Roman"/>
          <w:sz w:val="28"/>
          <w:szCs w:val="28"/>
        </w:rPr>
        <w:t xml:space="preserve"> affermativi o negativi </w:t>
      </w:r>
      <w:r>
        <w:rPr>
          <w:rFonts w:ascii="Times New Roman" w:hAnsi="Times New Roman" w:cs="Times New Roman"/>
          <w:sz w:val="28"/>
          <w:szCs w:val="28"/>
        </w:rPr>
        <w:t>a seconda che concedessero</w:t>
      </w:r>
      <w:r w:rsidRPr="00A47BB6">
        <w:rPr>
          <w:rFonts w:ascii="Times New Roman" w:hAnsi="Times New Roman" w:cs="Times New Roman"/>
          <w:sz w:val="28"/>
          <w:szCs w:val="28"/>
        </w:rPr>
        <w:t xml:space="preserve"> la facoltà </w:t>
      </w:r>
      <w:r>
        <w:rPr>
          <w:rFonts w:ascii="Times New Roman" w:hAnsi="Times New Roman" w:cs="Times New Roman"/>
          <w:sz w:val="28"/>
          <w:szCs w:val="28"/>
        </w:rPr>
        <w:t xml:space="preserve">di fare o non fare una cosa, quelli favorevoli o odiosi, a seconda che concedessero o meno favori senza incomodo di terzi, quelli </w:t>
      </w:r>
      <w:r w:rsidRPr="00A47BB6">
        <w:rPr>
          <w:rFonts w:ascii="Times New Roman" w:hAnsi="Times New Roman" w:cs="Times New Roman"/>
          <w:sz w:val="28"/>
          <w:szCs w:val="28"/>
        </w:rPr>
        <w:t xml:space="preserve"> grazios</w:t>
      </w:r>
      <w:r>
        <w:rPr>
          <w:rFonts w:ascii="Times New Roman" w:hAnsi="Times New Roman" w:cs="Times New Roman"/>
          <w:sz w:val="28"/>
          <w:szCs w:val="28"/>
        </w:rPr>
        <w:t>i, remunerativi, convenzionali o</w:t>
      </w:r>
      <w:r w:rsidRPr="00A47BB6">
        <w:rPr>
          <w:rFonts w:ascii="Times New Roman" w:hAnsi="Times New Roman" w:cs="Times New Roman"/>
          <w:sz w:val="28"/>
          <w:szCs w:val="28"/>
        </w:rPr>
        <w:t xml:space="preserve"> onerosi, </w:t>
      </w:r>
      <w:r>
        <w:rPr>
          <w:rFonts w:ascii="Times New Roman" w:hAnsi="Times New Roman" w:cs="Times New Roman"/>
          <w:sz w:val="28"/>
          <w:szCs w:val="28"/>
        </w:rPr>
        <w:t>che potevano essere concessi per liberalità del su</w:t>
      </w:r>
      <w:r w:rsidRPr="00A47BB6">
        <w:rPr>
          <w:rFonts w:ascii="Times New Roman" w:hAnsi="Times New Roman" w:cs="Times New Roman"/>
          <w:sz w:val="28"/>
          <w:szCs w:val="28"/>
        </w:rPr>
        <w:t>periore, per gratitu</w:t>
      </w:r>
      <w:r>
        <w:rPr>
          <w:rFonts w:ascii="Times New Roman" w:hAnsi="Times New Roman" w:cs="Times New Roman"/>
          <w:sz w:val="28"/>
          <w:szCs w:val="28"/>
        </w:rPr>
        <w:t xml:space="preserve">dine o dietro contratto oneroso, quelli </w:t>
      </w:r>
      <w:r w:rsidRPr="00A47BB6">
        <w:rPr>
          <w:rFonts w:ascii="Times New Roman" w:hAnsi="Times New Roman" w:cs="Times New Roman"/>
          <w:sz w:val="28"/>
          <w:szCs w:val="28"/>
        </w:rPr>
        <w:t xml:space="preserve">personali o reali </w:t>
      </w:r>
      <w:r>
        <w:rPr>
          <w:rFonts w:ascii="Times New Roman" w:hAnsi="Times New Roman" w:cs="Times New Roman"/>
          <w:sz w:val="28"/>
          <w:szCs w:val="28"/>
        </w:rPr>
        <w:t xml:space="preserve">che riguardavano le persone o </w:t>
      </w:r>
      <w:r w:rsidRPr="00A47BB6">
        <w:rPr>
          <w:rFonts w:ascii="Times New Roman" w:hAnsi="Times New Roman" w:cs="Times New Roman"/>
          <w:sz w:val="28"/>
          <w:szCs w:val="28"/>
        </w:rPr>
        <w:t>le cose</w:t>
      </w:r>
      <w:r>
        <w:rPr>
          <w:rFonts w:ascii="Times New Roman" w:hAnsi="Times New Roman" w:cs="Times New Roman"/>
          <w:sz w:val="28"/>
          <w:szCs w:val="28"/>
        </w:rPr>
        <w:t xml:space="preserve"> e i privilegi</w:t>
      </w:r>
      <w:r w:rsidRPr="00A47BB6">
        <w:rPr>
          <w:rFonts w:ascii="Times New Roman" w:hAnsi="Times New Roman" w:cs="Times New Roman"/>
          <w:sz w:val="28"/>
          <w:szCs w:val="28"/>
        </w:rPr>
        <w:t xml:space="preserve"> dati dal CIC o per concessioni speciali</w:t>
      </w:r>
      <w:r>
        <w:rPr>
          <w:rStyle w:val="Rimandonotaapidipagina"/>
          <w:rFonts w:ascii="Times New Roman" w:hAnsi="Times New Roman" w:cs="Times New Roman"/>
          <w:sz w:val="28"/>
          <w:szCs w:val="28"/>
        </w:rPr>
        <w:footnoteReference w:id="528"/>
      </w:r>
      <w:r w:rsidRPr="00A47BB6">
        <w:rPr>
          <w:rFonts w:ascii="Times New Roman" w:hAnsi="Times New Roman" w:cs="Times New Roman"/>
          <w:sz w:val="28"/>
          <w:szCs w:val="28"/>
        </w:rPr>
        <w:t xml:space="preserve">. </w:t>
      </w:r>
      <w:r>
        <w:rPr>
          <w:rFonts w:ascii="Times New Roman" w:hAnsi="Times New Roman" w:cs="Times New Roman"/>
          <w:sz w:val="28"/>
          <w:szCs w:val="28"/>
        </w:rPr>
        <w:t>L’abuso nell’esercizio del privilegio</w:t>
      </w:r>
      <w:r w:rsidRPr="00A527AE">
        <w:rPr>
          <w:rFonts w:ascii="Times New Roman" w:hAnsi="Times New Roman" w:cs="Times New Roman"/>
          <w:sz w:val="28"/>
          <w:szCs w:val="28"/>
        </w:rPr>
        <w:t xml:space="preserve"> non produce</w:t>
      </w:r>
      <w:r>
        <w:rPr>
          <w:rFonts w:ascii="Times New Roman" w:hAnsi="Times New Roman" w:cs="Times New Roman"/>
          <w:sz w:val="28"/>
          <w:szCs w:val="28"/>
        </w:rPr>
        <w:t>va diretta</w:t>
      </w:r>
      <w:r w:rsidRPr="00A527AE">
        <w:rPr>
          <w:rFonts w:ascii="Times New Roman" w:hAnsi="Times New Roman" w:cs="Times New Roman"/>
          <w:sz w:val="28"/>
          <w:szCs w:val="28"/>
        </w:rPr>
        <w:t xml:space="preserve">mente la </w:t>
      </w:r>
      <w:r>
        <w:rPr>
          <w:rFonts w:ascii="Times New Roman" w:hAnsi="Times New Roman" w:cs="Times New Roman"/>
          <w:sz w:val="28"/>
          <w:szCs w:val="28"/>
        </w:rPr>
        <w:t xml:space="preserve">sua </w:t>
      </w:r>
      <w:r w:rsidRPr="00A527AE">
        <w:rPr>
          <w:rFonts w:ascii="Times New Roman" w:hAnsi="Times New Roman" w:cs="Times New Roman"/>
          <w:sz w:val="28"/>
          <w:szCs w:val="28"/>
        </w:rPr>
        <w:t>cessazione</w:t>
      </w:r>
      <w:r>
        <w:rPr>
          <w:rFonts w:ascii="Times New Roman" w:hAnsi="Times New Roman" w:cs="Times New Roman"/>
          <w:sz w:val="28"/>
          <w:szCs w:val="28"/>
        </w:rPr>
        <w:t>, ma poteva</w:t>
      </w:r>
      <w:r w:rsidRPr="00A527AE">
        <w:rPr>
          <w:rFonts w:ascii="Times New Roman" w:hAnsi="Times New Roman" w:cs="Times New Roman"/>
          <w:sz w:val="28"/>
          <w:szCs w:val="28"/>
        </w:rPr>
        <w:t xml:space="preserve"> causa</w:t>
      </w:r>
      <w:r>
        <w:rPr>
          <w:rFonts w:ascii="Times New Roman" w:hAnsi="Times New Roman" w:cs="Times New Roman"/>
          <w:sz w:val="28"/>
          <w:szCs w:val="28"/>
        </w:rPr>
        <w:t xml:space="preserve">rne la revoca. In questo caso era compito degli ordinari avvertire la S. Sede sugli </w:t>
      </w:r>
      <w:r w:rsidRPr="00A527AE">
        <w:rPr>
          <w:rFonts w:ascii="Times New Roman" w:hAnsi="Times New Roman" w:cs="Times New Roman"/>
          <w:sz w:val="28"/>
          <w:szCs w:val="28"/>
        </w:rPr>
        <w:t>abusi nell’esercizio</w:t>
      </w:r>
      <w:r>
        <w:rPr>
          <w:rFonts w:ascii="Times New Roman" w:hAnsi="Times New Roman" w:cs="Times New Roman"/>
          <w:sz w:val="28"/>
          <w:szCs w:val="28"/>
        </w:rPr>
        <w:t xml:space="preserve"> dei privilegi dalla stessa </w:t>
      </w:r>
      <w:r w:rsidRPr="00A527AE">
        <w:rPr>
          <w:rFonts w:ascii="Times New Roman" w:hAnsi="Times New Roman" w:cs="Times New Roman"/>
          <w:sz w:val="28"/>
          <w:szCs w:val="28"/>
        </w:rPr>
        <w:t>concessi (can. 78</w:t>
      </w:r>
      <w:r>
        <w:rPr>
          <w:rFonts w:ascii="Times New Roman" w:hAnsi="Times New Roman" w:cs="Times New Roman"/>
          <w:sz w:val="28"/>
          <w:szCs w:val="28"/>
        </w:rPr>
        <w:t xml:space="preserve"> </w:t>
      </w:r>
      <w:r>
        <w:rPr>
          <w:rFonts w:ascii="Times New Roman" w:hAnsi="Times New Roman" w:cs="Times New Roman"/>
          <w:sz w:val="28"/>
          <w:szCs w:val="28"/>
        </w:rPr>
        <w:lastRenderedPageBreak/>
        <w:t>CIC</w:t>
      </w:r>
      <w:r w:rsidRPr="00A527AE">
        <w:rPr>
          <w:rFonts w:ascii="Times New Roman" w:hAnsi="Times New Roman" w:cs="Times New Roman"/>
          <w:sz w:val="28"/>
          <w:szCs w:val="28"/>
        </w:rPr>
        <w:t>)</w:t>
      </w:r>
      <w:r>
        <w:rPr>
          <w:rStyle w:val="Rimandonotaapidipagina"/>
          <w:rFonts w:ascii="Times New Roman" w:hAnsi="Times New Roman" w:cs="Times New Roman"/>
          <w:sz w:val="28"/>
          <w:szCs w:val="28"/>
        </w:rPr>
        <w:footnoteReference w:id="529"/>
      </w:r>
      <w:r>
        <w:rPr>
          <w:rFonts w:ascii="Times New Roman" w:hAnsi="Times New Roman" w:cs="Times New Roman"/>
          <w:sz w:val="28"/>
          <w:szCs w:val="28"/>
        </w:rPr>
        <w:t>. In tale paragrafo si andranno ad analizzare i singoli privilegi nel dettaglio con una distinzione sui loro destinatari, nel lasso di tempo compreso tra il 1918 e il 1963.</w:t>
      </w:r>
    </w:p>
    <w:p w14:paraId="4ED62271"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Mentre quando si parla di indulto nel diritto canonico bisogna ricordare che non ha un significato ben definito. Difatti, a</w:t>
      </w:r>
      <w:r w:rsidRPr="00351701">
        <w:rPr>
          <w:rFonts w:ascii="Times New Roman" w:hAnsi="Times New Roman" w:cs="Times New Roman"/>
          <w:sz w:val="28"/>
          <w:szCs w:val="28"/>
        </w:rPr>
        <w:t>lcuni, anche</w:t>
      </w:r>
      <w:r>
        <w:rPr>
          <w:rFonts w:ascii="Times New Roman" w:hAnsi="Times New Roman" w:cs="Times New Roman"/>
          <w:sz w:val="28"/>
          <w:szCs w:val="28"/>
        </w:rPr>
        <w:t xml:space="preserve"> tra i più moderni, lo intendevano come una esenzione dalla legge, ossi</w:t>
      </w:r>
      <w:r w:rsidRPr="00351701">
        <w:rPr>
          <w:rFonts w:ascii="Times New Roman" w:hAnsi="Times New Roman" w:cs="Times New Roman"/>
          <w:sz w:val="28"/>
          <w:szCs w:val="28"/>
        </w:rPr>
        <w:t xml:space="preserve">a come un privilegio negativo che libera da una legge precettiva, altri invece più ampiamente </w:t>
      </w:r>
      <w:r>
        <w:rPr>
          <w:rFonts w:ascii="Times New Roman" w:hAnsi="Times New Roman" w:cs="Times New Roman"/>
          <w:sz w:val="28"/>
          <w:szCs w:val="28"/>
        </w:rPr>
        <w:t xml:space="preserve">lo intendevano </w:t>
      </w:r>
      <w:r w:rsidRPr="00351701">
        <w:rPr>
          <w:rFonts w:ascii="Times New Roman" w:hAnsi="Times New Roman" w:cs="Times New Roman"/>
          <w:sz w:val="28"/>
          <w:szCs w:val="28"/>
        </w:rPr>
        <w:t xml:space="preserve">nel senso di </w:t>
      </w:r>
      <w:r>
        <w:rPr>
          <w:rFonts w:ascii="Times New Roman" w:hAnsi="Times New Roman" w:cs="Times New Roman"/>
          <w:sz w:val="28"/>
          <w:szCs w:val="28"/>
        </w:rPr>
        <w:t xml:space="preserve">una </w:t>
      </w:r>
      <w:r w:rsidRPr="00351701">
        <w:rPr>
          <w:rFonts w:ascii="Times New Roman" w:hAnsi="Times New Roman" w:cs="Times New Roman"/>
          <w:sz w:val="28"/>
          <w:szCs w:val="28"/>
        </w:rPr>
        <w:t>qualunque concessione fav</w:t>
      </w:r>
      <w:r>
        <w:rPr>
          <w:rFonts w:ascii="Times New Roman" w:hAnsi="Times New Roman" w:cs="Times New Roman"/>
          <w:sz w:val="28"/>
          <w:szCs w:val="28"/>
        </w:rPr>
        <w:t xml:space="preserve">orevole, </w:t>
      </w:r>
      <w:r w:rsidRPr="00A6139D">
        <w:rPr>
          <w:rFonts w:ascii="Times New Roman" w:hAnsi="Times New Roman" w:cs="Times New Roman"/>
          <w:i/>
          <w:sz w:val="28"/>
          <w:szCs w:val="28"/>
        </w:rPr>
        <w:t>contra</w:t>
      </w:r>
      <w:r>
        <w:rPr>
          <w:rFonts w:ascii="Times New Roman" w:hAnsi="Times New Roman" w:cs="Times New Roman"/>
          <w:sz w:val="28"/>
          <w:szCs w:val="28"/>
        </w:rPr>
        <w:t xml:space="preserve"> o </w:t>
      </w:r>
      <w:r w:rsidRPr="00A6139D">
        <w:rPr>
          <w:rFonts w:ascii="Times New Roman" w:hAnsi="Times New Roman" w:cs="Times New Roman"/>
          <w:i/>
          <w:sz w:val="28"/>
          <w:szCs w:val="28"/>
        </w:rPr>
        <w:t>praeter ius</w:t>
      </w:r>
      <w:r w:rsidRPr="00351701">
        <w:rPr>
          <w:rFonts w:ascii="Times New Roman" w:hAnsi="Times New Roman" w:cs="Times New Roman"/>
          <w:sz w:val="28"/>
          <w:szCs w:val="28"/>
        </w:rPr>
        <w:t>, purché temporanea</w:t>
      </w:r>
      <w:r>
        <w:rPr>
          <w:rStyle w:val="Rimandonotaapidipagina"/>
          <w:rFonts w:ascii="Times New Roman" w:hAnsi="Times New Roman" w:cs="Times New Roman"/>
          <w:sz w:val="28"/>
          <w:szCs w:val="28"/>
        </w:rPr>
        <w:footnoteReference w:id="530"/>
      </w:r>
      <w:r w:rsidRPr="00351701">
        <w:rPr>
          <w:rFonts w:ascii="Times New Roman" w:hAnsi="Times New Roman" w:cs="Times New Roman"/>
          <w:sz w:val="28"/>
          <w:szCs w:val="28"/>
        </w:rPr>
        <w:t xml:space="preserve">. </w:t>
      </w:r>
    </w:p>
    <w:p w14:paraId="140DDD27" w14:textId="4CE49485" w:rsidR="00484F9B"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Il CIC del 1917 (can.4) sanciva che i privilegi e gli indulti</w:t>
      </w:r>
      <w:r w:rsidRPr="00A6139D">
        <w:rPr>
          <w:rFonts w:ascii="Times New Roman" w:hAnsi="Times New Roman" w:cs="Times New Roman"/>
          <w:sz w:val="28"/>
          <w:szCs w:val="28"/>
        </w:rPr>
        <w:t xml:space="preserve"> </w:t>
      </w:r>
      <w:r>
        <w:rPr>
          <w:rFonts w:ascii="Times New Roman" w:hAnsi="Times New Roman" w:cs="Times New Roman"/>
          <w:sz w:val="28"/>
          <w:szCs w:val="28"/>
        </w:rPr>
        <w:t>che erano stati concessi dalla Santa Sede, non re</w:t>
      </w:r>
      <w:r w:rsidRPr="00A6139D">
        <w:rPr>
          <w:rFonts w:ascii="Times New Roman" w:hAnsi="Times New Roman" w:cs="Times New Roman"/>
          <w:sz w:val="28"/>
          <w:szCs w:val="28"/>
        </w:rPr>
        <w:t xml:space="preserve">vocati e ancora in uso </w:t>
      </w:r>
      <w:r>
        <w:rPr>
          <w:rFonts w:ascii="Times New Roman" w:hAnsi="Times New Roman" w:cs="Times New Roman"/>
          <w:sz w:val="28"/>
          <w:szCs w:val="28"/>
        </w:rPr>
        <w:t>nel momento in cui il CIC entrò in vigore, restassero</w:t>
      </w:r>
      <w:r w:rsidRPr="00A6139D">
        <w:rPr>
          <w:rFonts w:ascii="Times New Roman" w:hAnsi="Times New Roman" w:cs="Times New Roman"/>
          <w:sz w:val="28"/>
          <w:szCs w:val="28"/>
        </w:rPr>
        <w:t xml:space="preserve"> intatti,</w:t>
      </w:r>
      <w:r>
        <w:rPr>
          <w:rFonts w:ascii="Times New Roman" w:hAnsi="Times New Roman" w:cs="Times New Roman"/>
          <w:sz w:val="28"/>
          <w:szCs w:val="28"/>
        </w:rPr>
        <w:t xml:space="preserve"> a meno che non fosse stata espressa</w:t>
      </w:r>
      <w:r w:rsidRPr="00A6139D">
        <w:rPr>
          <w:rFonts w:ascii="Times New Roman" w:hAnsi="Times New Roman" w:cs="Times New Roman"/>
          <w:sz w:val="28"/>
          <w:szCs w:val="28"/>
        </w:rPr>
        <w:t>mente</w:t>
      </w:r>
      <w:r>
        <w:rPr>
          <w:rFonts w:ascii="Times New Roman" w:hAnsi="Times New Roman" w:cs="Times New Roman"/>
          <w:sz w:val="28"/>
          <w:szCs w:val="28"/>
        </w:rPr>
        <w:t xml:space="preserve"> chiesta la revoca</w:t>
      </w:r>
      <w:r>
        <w:rPr>
          <w:rStyle w:val="Rimandonotaapidipagina"/>
          <w:rFonts w:ascii="Times New Roman" w:hAnsi="Times New Roman" w:cs="Times New Roman"/>
          <w:sz w:val="28"/>
          <w:szCs w:val="28"/>
        </w:rPr>
        <w:footnoteReference w:id="531"/>
      </w:r>
      <w:r>
        <w:rPr>
          <w:rFonts w:ascii="Times New Roman" w:hAnsi="Times New Roman" w:cs="Times New Roman"/>
          <w:sz w:val="28"/>
          <w:szCs w:val="28"/>
        </w:rPr>
        <w:t>. I privilegi e gli indulti</w:t>
      </w:r>
      <w:r w:rsidRPr="00A6139D">
        <w:rPr>
          <w:rFonts w:ascii="Times New Roman" w:hAnsi="Times New Roman" w:cs="Times New Roman"/>
          <w:sz w:val="28"/>
          <w:szCs w:val="28"/>
        </w:rPr>
        <w:t xml:space="preserve"> concessi da un potere inferiore alla </w:t>
      </w:r>
      <w:r>
        <w:rPr>
          <w:rFonts w:ascii="Times New Roman" w:hAnsi="Times New Roman" w:cs="Times New Roman"/>
          <w:sz w:val="28"/>
          <w:szCs w:val="28"/>
        </w:rPr>
        <w:t xml:space="preserve">Santa Sede, laddove fossero stati </w:t>
      </w:r>
      <w:r w:rsidRPr="00A6139D">
        <w:rPr>
          <w:rFonts w:ascii="Times New Roman" w:hAnsi="Times New Roman" w:cs="Times New Roman"/>
          <w:sz w:val="28"/>
          <w:szCs w:val="28"/>
        </w:rPr>
        <w:t xml:space="preserve">contrari al CIC </w:t>
      </w:r>
      <w:r>
        <w:rPr>
          <w:rFonts w:ascii="Times New Roman" w:hAnsi="Times New Roman" w:cs="Times New Roman"/>
          <w:sz w:val="28"/>
          <w:szCs w:val="28"/>
        </w:rPr>
        <w:t xml:space="preserve">sarebbero stati </w:t>
      </w:r>
      <w:r w:rsidRPr="00A6139D">
        <w:rPr>
          <w:rFonts w:ascii="Times New Roman" w:hAnsi="Times New Roman" w:cs="Times New Roman"/>
          <w:sz w:val="28"/>
          <w:szCs w:val="28"/>
        </w:rPr>
        <w:t>aboliti (can. 64 § 2), senza bisogno di una clausola espressa.</w:t>
      </w:r>
      <w:r w:rsidRPr="00713A6A">
        <w:t xml:space="preserve"> </w:t>
      </w:r>
      <w:r w:rsidRPr="00713A6A">
        <w:rPr>
          <w:rFonts w:ascii="Times New Roman" w:hAnsi="Times New Roman" w:cs="Times New Roman"/>
          <w:sz w:val="28"/>
          <w:szCs w:val="28"/>
        </w:rPr>
        <w:t>Attesa la distinzione che talora fa</w:t>
      </w:r>
      <w:r>
        <w:rPr>
          <w:rFonts w:ascii="Times New Roman" w:hAnsi="Times New Roman" w:cs="Times New Roman"/>
          <w:sz w:val="28"/>
          <w:szCs w:val="28"/>
        </w:rPr>
        <w:t>ceva</w:t>
      </w:r>
      <w:r w:rsidRPr="00713A6A">
        <w:rPr>
          <w:rFonts w:ascii="Times New Roman" w:hAnsi="Times New Roman" w:cs="Times New Roman"/>
          <w:sz w:val="28"/>
          <w:szCs w:val="28"/>
        </w:rPr>
        <w:t xml:space="preserve"> il CIC (cf. can. 964, n. 4) tra privilegi</w:t>
      </w:r>
      <w:r>
        <w:rPr>
          <w:rFonts w:ascii="Times New Roman" w:hAnsi="Times New Roman" w:cs="Times New Roman"/>
          <w:sz w:val="28"/>
          <w:szCs w:val="28"/>
        </w:rPr>
        <w:t>o e indulto, alcuni canonisti sostennero</w:t>
      </w:r>
      <w:r w:rsidRPr="00713A6A">
        <w:rPr>
          <w:rFonts w:ascii="Times New Roman" w:hAnsi="Times New Roman" w:cs="Times New Roman"/>
          <w:sz w:val="28"/>
          <w:szCs w:val="28"/>
        </w:rPr>
        <w:t xml:space="preserve"> che la revoca del privilegio </w:t>
      </w:r>
      <w:r>
        <w:rPr>
          <w:rFonts w:ascii="Times New Roman" w:hAnsi="Times New Roman" w:cs="Times New Roman"/>
          <w:sz w:val="28"/>
          <w:szCs w:val="28"/>
        </w:rPr>
        <w:t>non comportasse la revoca dell’indulto</w:t>
      </w:r>
      <w:r>
        <w:rPr>
          <w:rStyle w:val="Rimandonotaapidipagina"/>
          <w:rFonts w:ascii="Times New Roman" w:hAnsi="Times New Roman" w:cs="Times New Roman"/>
          <w:sz w:val="28"/>
          <w:szCs w:val="28"/>
        </w:rPr>
        <w:footnoteReference w:id="532"/>
      </w:r>
      <w:r>
        <w:rPr>
          <w:rFonts w:ascii="Times New Roman" w:hAnsi="Times New Roman" w:cs="Times New Roman"/>
          <w:sz w:val="28"/>
          <w:szCs w:val="28"/>
        </w:rPr>
        <w:t>. Oltre che dal CIC, gli indulti concessi dalla S. Sede, potevano</w:t>
      </w:r>
      <w:r w:rsidRPr="00713A6A">
        <w:rPr>
          <w:rFonts w:ascii="Times New Roman" w:hAnsi="Times New Roman" w:cs="Times New Roman"/>
          <w:sz w:val="28"/>
          <w:szCs w:val="28"/>
        </w:rPr>
        <w:t xml:space="preserve"> tuttavia essere revocati dalla stessa Sede Apostolica.</w:t>
      </w:r>
      <w:r w:rsidRPr="00713A6A">
        <w:t xml:space="preserve"> </w:t>
      </w:r>
      <w:r>
        <w:rPr>
          <w:rFonts w:ascii="Times New Roman" w:hAnsi="Times New Roman" w:cs="Times New Roman"/>
          <w:sz w:val="28"/>
          <w:szCs w:val="28"/>
        </w:rPr>
        <w:t>Per l’</w:t>
      </w:r>
      <w:r w:rsidRPr="00713A6A">
        <w:rPr>
          <w:rFonts w:ascii="Times New Roman" w:hAnsi="Times New Roman" w:cs="Times New Roman"/>
          <w:sz w:val="28"/>
          <w:szCs w:val="28"/>
        </w:rPr>
        <w:t>interpretazione, la</w:t>
      </w:r>
      <w:r>
        <w:rPr>
          <w:rFonts w:ascii="Times New Roman" w:hAnsi="Times New Roman" w:cs="Times New Roman"/>
          <w:sz w:val="28"/>
          <w:szCs w:val="28"/>
        </w:rPr>
        <w:t xml:space="preserve"> durata e la cessazione degli indulti, valevano</w:t>
      </w:r>
      <w:r w:rsidRPr="00713A6A">
        <w:rPr>
          <w:rFonts w:ascii="Times New Roman" w:hAnsi="Times New Roman" w:cs="Times New Roman"/>
          <w:sz w:val="28"/>
          <w:szCs w:val="28"/>
        </w:rPr>
        <w:t xml:space="preserve"> le norme stabilite per i res</w:t>
      </w:r>
      <w:r>
        <w:rPr>
          <w:rFonts w:ascii="Times New Roman" w:hAnsi="Times New Roman" w:cs="Times New Roman"/>
          <w:sz w:val="28"/>
          <w:szCs w:val="28"/>
        </w:rPr>
        <w:t>critti, i privilegi e</w:t>
      </w:r>
      <w:r w:rsidRPr="00713A6A">
        <w:rPr>
          <w:rFonts w:ascii="Times New Roman" w:hAnsi="Times New Roman" w:cs="Times New Roman"/>
          <w:sz w:val="28"/>
          <w:szCs w:val="28"/>
        </w:rPr>
        <w:t xml:space="preserve"> le dispen</w:t>
      </w:r>
      <w:r>
        <w:rPr>
          <w:rFonts w:ascii="Times New Roman" w:hAnsi="Times New Roman" w:cs="Times New Roman"/>
          <w:sz w:val="28"/>
          <w:szCs w:val="28"/>
        </w:rPr>
        <w:t>se</w:t>
      </w:r>
      <w:r>
        <w:rPr>
          <w:rStyle w:val="Rimandonotaapidipagina"/>
          <w:rFonts w:ascii="Times New Roman" w:hAnsi="Times New Roman" w:cs="Times New Roman"/>
          <w:sz w:val="28"/>
          <w:szCs w:val="28"/>
        </w:rPr>
        <w:footnoteReference w:id="533"/>
      </w:r>
      <w:r>
        <w:rPr>
          <w:rFonts w:ascii="Times New Roman" w:hAnsi="Times New Roman" w:cs="Times New Roman"/>
          <w:sz w:val="28"/>
          <w:szCs w:val="28"/>
        </w:rPr>
        <w:t>. Però, vi erano norme particolari per gli indulti nei cann. 1049 e 1057</w:t>
      </w:r>
      <w:r w:rsidRPr="00713A6A">
        <w:rPr>
          <w:rFonts w:ascii="Times New Roman" w:hAnsi="Times New Roman" w:cs="Times New Roman"/>
          <w:sz w:val="28"/>
          <w:szCs w:val="28"/>
        </w:rPr>
        <w:t xml:space="preserve">: nel can, 1049 </w:t>
      </w:r>
      <w:r>
        <w:rPr>
          <w:rFonts w:ascii="Times New Roman" w:hAnsi="Times New Roman" w:cs="Times New Roman"/>
          <w:sz w:val="28"/>
          <w:szCs w:val="28"/>
        </w:rPr>
        <w:t>veniva detto che colui, il quale era in possesso di un indulto</w:t>
      </w:r>
      <w:r w:rsidRPr="00713A6A">
        <w:rPr>
          <w:rFonts w:ascii="Times New Roman" w:hAnsi="Times New Roman" w:cs="Times New Roman"/>
          <w:sz w:val="28"/>
          <w:szCs w:val="28"/>
        </w:rPr>
        <w:t xml:space="preserve"> generale che gli permette</w:t>
      </w:r>
      <w:r>
        <w:rPr>
          <w:rFonts w:ascii="Times New Roman" w:hAnsi="Times New Roman" w:cs="Times New Roman"/>
          <w:sz w:val="28"/>
          <w:szCs w:val="28"/>
        </w:rPr>
        <w:t>va</w:t>
      </w:r>
      <w:r w:rsidRPr="00713A6A">
        <w:rPr>
          <w:rFonts w:ascii="Times New Roman" w:hAnsi="Times New Roman" w:cs="Times New Roman"/>
          <w:sz w:val="28"/>
          <w:szCs w:val="28"/>
        </w:rPr>
        <w:t xml:space="preserve"> di dispensare da</w:t>
      </w:r>
      <w:r>
        <w:rPr>
          <w:rFonts w:ascii="Times New Roman" w:hAnsi="Times New Roman" w:cs="Times New Roman"/>
          <w:sz w:val="28"/>
          <w:szCs w:val="28"/>
        </w:rPr>
        <w:t xml:space="preserve"> un determinato impedimento, poteva, a meno che nell’indulto</w:t>
      </w:r>
      <w:r w:rsidRPr="00713A6A">
        <w:rPr>
          <w:rFonts w:ascii="Times New Roman" w:hAnsi="Times New Roman" w:cs="Times New Roman"/>
          <w:sz w:val="28"/>
          <w:szCs w:val="28"/>
        </w:rPr>
        <w:t xml:space="preserve"> non </w:t>
      </w:r>
      <w:r>
        <w:rPr>
          <w:rFonts w:ascii="Times New Roman" w:hAnsi="Times New Roman" w:cs="Times New Roman"/>
          <w:sz w:val="28"/>
          <w:szCs w:val="28"/>
        </w:rPr>
        <w:t>fosse stabilito diversamente, dispen</w:t>
      </w:r>
      <w:r w:rsidRPr="00713A6A">
        <w:rPr>
          <w:rFonts w:ascii="Times New Roman" w:hAnsi="Times New Roman" w:cs="Times New Roman"/>
          <w:sz w:val="28"/>
          <w:szCs w:val="28"/>
        </w:rPr>
        <w:t>sare dal medesimo impedime</w:t>
      </w:r>
      <w:r>
        <w:rPr>
          <w:rFonts w:ascii="Times New Roman" w:hAnsi="Times New Roman" w:cs="Times New Roman"/>
          <w:sz w:val="28"/>
          <w:szCs w:val="28"/>
        </w:rPr>
        <w:t xml:space="preserve">nto </w:t>
      </w:r>
      <w:r>
        <w:rPr>
          <w:rFonts w:ascii="Times New Roman" w:hAnsi="Times New Roman" w:cs="Times New Roman"/>
          <w:sz w:val="28"/>
          <w:szCs w:val="28"/>
        </w:rPr>
        <w:lastRenderedPageBreak/>
        <w:t>anche se multiplo; chi poi era in possesso di un indulto generale che gli consentiva di di</w:t>
      </w:r>
      <w:r w:rsidRPr="00713A6A">
        <w:rPr>
          <w:rFonts w:ascii="Times New Roman" w:hAnsi="Times New Roman" w:cs="Times New Roman"/>
          <w:sz w:val="28"/>
          <w:szCs w:val="28"/>
        </w:rPr>
        <w:t>spensare da più impedim</w:t>
      </w:r>
      <w:r>
        <w:rPr>
          <w:rFonts w:ascii="Times New Roman" w:hAnsi="Times New Roman" w:cs="Times New Roman"/>
          <w:sz w:val="28"/>
          <w:szCs w:val="28"/>
        </w:rPr>
        <w:t>enti di specie diversa, sia dirimenti che impedienti, poteva</w:t>
      </w:r>
      <w:r w:rsidRPr="00713A6A">
        <w:rPr>
          <w:rFonts w:ascii="Times New Roman" w:hAnsi="Times New Roman" w:cs="Times New Roman"/>
          <w:sz w:val="28"/>
          <w:szCs w:val="28"/>
        </w:rPr>
        <w:t xml:space="preserve"> dispensare dagli stes</w:t>
      </w:r>
      <w:r>
        <w:rPr>
          <w:rFonts w:ascii="Times New Roman" w:hAnsi="Times New Roman" w:cs="Times New Roman"/>
          <w:sz w:val="28"/>
          <w:szCs w:val="28"/>
        </w:rPr>
        <w:t>si im</w:t>
      </w:r>
      <w:r w:rsidRPr="00713A6A">
        <w:rPr>
          <w:rFonts w:ascii="Times New Roman" w:hAnsi="Times New Roman" w:cs="Times New Roman"/>
          <w:sz w:val="28"/>
          <w:szCs w:val="28"/>
        </w:rPr>
        <w:t xml:space="preserve">pedimenti anche </w:t>
      </w:r>
      <w:r>
        <w:rPr>
          <w:rFonts w:ascii="Times New Roman" w:hAnsi="Times New Roman" w:cs="Times New Roman"/>
          <w:sz w:val="28"/>
          <w:szCs w:val="28"/>
        </w:rPr>
        <w:t>se erano riuniti nello stesso caso e avevano carattere pubblico</w:t>
      </w:r>
      <w:r>
        <w:rPr>
          <w:rStyle w:val="Rimandonotaapidipagina"/>
          <w:rFonts w:ascii="Times New Roman" w:hAnsi="Times New Roman" w:cs="Times New Roman"/>
          <w:sz w:val="28"/>
          <w:szCs w:val="28"/>
        </w:rPr>
        <w:footnoteReference w:id="534"/>
      </w:r>
      <w:r>
        <w:rPr>
          <w:rFonts w:ascii="Times New Roman" w:hAnsi="Times New Roman" w:cs="Times New Roman"/>
          <w:sz w:val="28"/>
          <w:szCs w:val="28"/>
        </w:rPr>
        <w:t>. Il can. 1057 aggiunse che quando si ac</w:t>
      </w:r>
      <w:r w:rsidRPr="00713A6A">
        <w:rPr>
          <w:rFonts w:ascii="Times New Roman" w:hAnsi="Times New Roman" w:cs="Times New Roman"/>
          <w:sz w:val="28"/>
          <w:szCs w:val="28"/>
        </w:rPr>
        <w:t>corda</w:t>
      </w:r>
      <w:r>
        <w:rPr>
          <w:rFonts w:ascii="Times New Roman" w:hAnsi="Times New Roman" w:cs="Times New Roman"/>
          <w:sz w:val="28"/>
          <w:szCs w:val="28"/>
        </w:rPr>
        <w:t>va</w:t>
      </w:r>
      <w:r w:rsidRPr="00713A6A">
        <w:rPr>
          <w:rFonts w:ascii="Times New Roman" w:hAnsi="Times New Roman" w:cs="Times New Roman"/>
          <w:sz w:val="28"/>
          <w:szCs w:val="28"/>
        </w:rPr>
        <w:t xml:space="preserve"> la dispensa da un</w:t>
      </w:r>
      <w:r>
        <w:rPr>
          <w:rFonts w:ascii="Times New Roman" w:hAnsi="Times New Roman" w:cs="Times New Roman"/>
          <w:sz w:val="28"/>
          <w:szCs w:val="28"/>
        </w:rPr>
        <w:t xml:space="preserve"> impedimento, in virtù di un po</w:t>
      </w:r>
      <w:r w:rsidRPr="00713A6A">
        <w:rPr>
          <w:rFonts w:ascii="Times New Roman" w:hAnsi="Times New Roman" w:cs="Times New Roman"/>
          <w:sz w:val="28"/>
          <w:szCs w:val="28"/>
        </w:rPr>
        <w:t>tere</w:t>
      </w:r>
      <w:r>
        <w:rPr>
          <w:rFonts w:ascii="Times New Roman" w:hAnsi="Times New Roman" w:cs="Times New Roman"/>
          <w:sz w:val="28"/>
          <w:szCs w:val="28"/>
        </w:rPr>
        <w:t xml:space="preserve"> delegato dalla S. Sede, si doveva fare menzione dell’indulto</w:t>
      </w:r>
      <w:r w:rsidRPr="00713A6A">
        <w:rPr>
          <w:rFonts w:ascii="Times New Roman" w:hAnsi="Times New Roman" w:cs="Times New Roman"/>
          <w:sz w:val="28"/>
          <w:szCs w:val="28"/>
        </w:rPr>
        <w:t xml:space="preserve"> pontificio. L’omissione di tale menzione non </w:t>
      </w:r>
      <w:r>
        <w:rPr>
          <w:rFonts w:ascii="Times New Roman" w:hAnsi="Times New Roman" w:cs="Times New Roman"/>
          <w:sz w:val="28"/>
          <w:szCs w:val="28"/>
        </w:rPr>
        <w:t xml:space="preserve">impediva </w:t>
      </w:r>
      <w:r w:rsidRPr="00713A6A">
        <w:rPr>
          <w:rFonts w:ascii="Times New Roman" w:hAnsi="Times New Roman" w:cs="Times New Roman"/>
          <w:sz w:val="28"/>
          <w:szCs w:val="28"/>
        </w:rPr>
        <w:t>tuttavia la dispensa (can</w:t>
      </w:r>
      <w:r>
        <w:rPr>
          <w:rFonts w:ascii="Times New Roman" w:hAnsi="Times New Roman" w:cs="Times New Roman"/>
          <w:sz w:val="28"/>
          <w:szCs w:val="28"/>
        </w:rPr>
        <w:t>.11)</w:t>
      </w:r>
      <w:r>
        <w:rPr>
          <w:rStyle w:val="Rimandonotaapidipagina"/>
          <w:rFonts w:ascii="Times New Roman" w:hAnsi="Times New Roman" w:cs="Times New Roman"/>
          <w:sz w:val="28"/>
          <w:szCs w:val="28"/>
        </w:rPr>
        <w:footnoteReference w:id="535"/>
      </w:r>
      <w:r w:rsidR="00484F9B">
        <w:rPr>
          <w:rFonts w:ascii="Times New Roman" w:hAnsi="Times New Roman" w:cs="Times New Roman"/>
          <w:sz w:val="28"/>
          <w:szCs w:val="28"/>
        </w:rPr>
        <w:t>.</w:t>
      </w:r>
    </w:p>
    <w:p w14:paraId="7822A075" w14:textId="77777777" w:rsidR="00484F9B" w:rsidRDefault="00484F9B" w:rsidP="00484F9B">
      <w:pPr>
        <w:spacing w:after="0" w:line="360" w:lineRule="auto"/>
        <w:ind w:left="680" w:right="340"/>
        <w:jc w:val="both"/>
        <w:rPr>
          <w:rFonts w:ascii="Times New Roman" w:hAnsi="Times New Roman" w:cs="Times New Roman"/>
          <w:sz w:val="28"/>
          <w:szCs w:val="28"/>
        </w:rPr>
      </w:pPr>
    </w:p>
    <w:p w14:paraId="0863828C" w14:textId="77777777" w:rsidR="00484F9B" w:rsidRDefault="00484F9B" w:rsidP="00484F9B">
      <w:pPr>
        <w:spacing w:after="0" w:line="360" w:lineRule="auto"/>
        <w:ind w:left="680" w:right="340"/>
        <w:jc w:val="both"/>
        <w:rPr>
          <w:rFonts w:ascii="Times New Roman" w:hAnsi="Times New Roman" w:cs="Times New Roman"/>
          <w:sz w:val="28"/>
          <w:szCs w:val="28"/>
        </w:rPr>
      </w:pPr>
    </w:p>
    <w:p w14:paraId="543A17C2" w14:textId="063DE560" w:rsidR="00140247" w:rsidRPr="00484F9B" w:rsidRDefault="00484F9B"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3.1.1 </w:t>
      </w:r>
      <w:r w:rsidR="00140247" w:rsidRPr="00484F9B">
        <w:rPr>
          <w:rFonts w:ascii="Times New Roman" w:hAnsi="Times New Roman" w:cs="Times New Roman"/>
          <w:i/>
          <w:sz w:val="28"/>
          <w:szCs w:val="28"/>
        </w:rPr>
        <w:t>La nascita e lo sviluppo delle facoltà</w:t>
      </w:r>
    </w:p>
    <w:p w14:paraId="1EF12C4F" w14:textId="77777777" w:rsidR="00484F9B" w:rsidRPr="00484F9B" w:rsidRDefault="00484F9B" w:rsidP="00484F9B">
      <w:pPr>
        <w:spacing w:after="0" w:line="360" w:lineRule="auto"/>
        <w:ind w:left="-40" w:right="340"/>
        <w:jc w:val="both"/>
        <w:rPr>
          <w:rFonts w:ascii="Times New Roman" w:hAnsi="Times New Roman" w:cs="Times New Roman"/>
          <w:i/>
          <w:sz w:val="28"/>
          <w:szCs w:val="28"/>
        </w:rPr>
      </w:pPr>
    </w:p>
    <w:p w14:paraId="5F070AB3" w14:textId="77777777" w:rsidR="00140247" w:rsidRPr="00386122" w:rsidRDefault="00140247" w:rsidP="00484F9B">
      <w:pPr>
        <w:spacing w:after="0" w:line="360" w:lineRule="auto"/>
        <w:ind w:left="680" w:right="340"/>
        <w:jc w:val="both"/>
        <w:rPr>
          <w:rFonts w:ascii="Times New Roman" w:hAnsi="Times New Roman" w:cs="Times New Roman"/>
          <w:sz w:val="28"/>
          <w:szCs w:val="28"/>
        </w:rPr>
      </w:pPr>
      <w:r w:rsidRPr="00386122">
        <w:rPr>
          <w:rFonts w:ascii="Times New Roman" w:hAnsi="Times New Roman" w:cs="Times New Roman"/>
          <w:sz w:val="28"/>
          <w:szCs w:val="28"/>
        </w:rPr>
        <w:t>La concessione delle facoltà</w:t>
      </w:r>
      <w:r>
        <w:rPr>
          <w:rFonts w:ascii="Times New Roman" w:hAnsi="Times New Roman" w:cs="Times New Roman"/>
          <w:sz w:val="28"/>
          <w:szCs w:val="28"/>
        </w:rPr>
        <w:t xml:space="preserve"> missionarie</w:t>
      </w:r>
      <w:r w:rsidRPr="00386122">
        <w:rPr>
          <w:rFonts w:ascii="Times New Roman" w:hAnsi="Times New Roman" w:cs="Times New Roman"/>
          <w:sz w:val="28"/>
          <w:szCs w:val="28"/>
        </w:rPr>
        <w:t>, che avveniva attrave</w:t>
      </w:r>
      <w:r>
        <w:rPr>
          <w:rFonts w:ascii="Times New Roman" w:hAnsi="Times New Roman" w:cs="Times New Roman"/>
          <w:sz w:val="28"/>
          <w:szCs w:val="28"/>
        </w:rPr>
        <w:t>rso una serie di formule canoniche, di cui dirò, aveva come fina</w:t>
      </w:r>
      <w:r w:rsidRPr="00386122">
        <w:rPr>
          <w:rFonts w:ascii="Times New Roman" w:hAnsi="Times New Roman" w:cs="Times New Roman"/>
          <w:sz w:val="28"/>
          <w:szCs w:val="28"/>
        </w:rPr>
        <w:t>lità sia quella di far sviluppare il sistema delle m</w:t>
      </w:r>
      <w:r>
        <w:rPr>
          <w:rFonts w:ascii="Times New Roman" w:hAnsi="Times New Roman" w:cs="Times New Roman"/>
          <w:sz w:val="28"/>
          <w:szCs w:val="28"/>
        </w:rPr>
        <w:t>issioni, sia quella di favorire il manteni</w:t>
      </w:r>
      <w:r w:rsidRPr="00386122">
        <w:rPr>
          <w:rFonts w:ascii="Times New Roman" w:hAnsi="Times New Roman" w:cs="Times New Roman"/>
          <w:sz w:val="28"/>
          <w:szCs w:val="28"/>
        </w:rPr>
        <w:t>mento dell’unità di applicazione delle norme. Storicamente le cinque formule di</w:t>
      </w:r>
      <w:r>
        <w:rPr>
          <w:rFonts w:ascii="Times New Roman" w:hAnsi="Times New Roman" w:cs="Times New Roman"/>
          <w:sz w:val="28"/>
          <w:szCs w:val="28"/>
        </w:rPr>
        <w:t xml:space="preserve"> </w:t>
      </w:r>
      <w:r w:rsidRPr="00386122">
        <w:rPr>
          <w:rFonts w:ascii="Times New Roman" w:hAnsi="Times New Roman" w:cs="Times New Roman"/>
          <w:sz w:val="28"/>
          <w:szCs w:val="28"/>
        </w:rPr>
        <w:t xml:space="preserve">facoltà, ordinarie e generali, </w:t>
      </w:r>
      <w:r>
        <w:rPr>
          <w:rFonts w:ascii="Times New Roman" w:hAnsi="Times New Roman" w:cs="Times New Roman"/>
          <w:sz w:val="28"/>
          <w:szCs w:val="28"/>
        </w:rPr>
        <w:t>elaborate dopo il riordino di</w:t>
      </w:r>
      <w:r w:rsidRPr="00386122">
        <w:rPr>
          <w:rFonts w:ascii="Times New Roman" w:hAnsi="Times New Roman" w:cs="Times New Roman"/>
          <w:sz w:val="28"/>
          <w:szCs w:val="28"/>
        </w:rPr>
        <w:t xml:space="preserve"> quelle pr</w:t>
      </w:r>
      <w:r>
        <w:rPr>
          <w:rFonts w:ascii="Times New Roman" w:hAnsi="Times New Roman" w:cs="Times New Roman"/>
          <w:sz w:val="28"/>
          <w:szCs w:val="28"/>
        </w:rPr>
        <w:t>ecedenti che erano troppo generiche e dis</w:t>
      </w:r>
      <w:r w:rsidRPr="00386122">
        <w:rPr>
          <w:rFonts w:ascii="Times New Roman" w:hAnsi="Times New Roman" w:cs="Times New Roman"/>
          <w:sz w:val="28"/>
          <w:szCs w:val="28"/>
        </w:rPr>
        <w:t xml:space="preserve">persive, erano state formalizzate il 10 febbraio </w:t>
      </w:r>
      <w:r>
        <w:rPr>
          <w:rFonts w:ascii="Times New Roman" w:hAnsi="Times New Roman" w:cs="Times New Roman"/>
          <w:sz w:val="28"/>
          <w:szCs w:val="28"/>
        </w:rPr>
        <w:t>1637 e approvate dal papa Urba</w:t>
      </w:r>
      <w:r w:rsidRPr="00386122">
        <w:rPr>
          <w:rFonts w:ascii="Times New Roman" w:hAnsi="Times New Roman" w:cs="Times New Roman"/>
          <w:sz w:val="28"/>
          <w:szCs w:val="28"/>
        </w:rPr>
        <w:t>no VIII</w:t>
      </w:r>
      <w:r>
        <w:rPr>
          <w:rStyle w:val="Rimandonotaapidipagina"/>
          <w:rFonts w:ascii="Times New Roman" w:hAnsi="Times New Roman" w:cs="Times New Roman"/>
          <w:sz w:val="28"/>
          <w:szCs w:val="28"/>
        </w:rPr>
        <w:footnoteReference w:id="536"/>
      </w:r>
      <w:r w:rsidRPr="00386122">
        <w:rPr>
          <w:rFonts w:ascii="Times New Roman" w:hAnsi="Times New Roman" w:cs="Times New Roman"/>
          <w:sz w:val="28"/>
          <w:szCs w:val="28"/>
        </w:rPr>
        <w:t>. Lo stesso pontefice aveva istituito nell’a</w:t>
      </w:r>
      <w:r>
        <w:rPr>
          <w:rFonts w:ascii="Times New Roman" w:hAnsi="Times New Roman" w:cs="Times New Roman"/>
          <w:sz w:val="28"/>
          <w:szCs w:val="28"/>
        </w:rPr>
        <w:t xml:space="preserve">prile del 1633 una speciale </w:t>
      </w:r>
      <w:r w:rsidRPr="00386122">
        <w:rPr>
          <w:rFonts w:ascii="Times New Roman" w:hAnsi="Times New Roman" w:cs="Times New Roman"/>
          <w:i/>
          <w:sz w:val="28"/>
          <w:szCs w:val="28"/>
        </w:rPr>
        <w:t xml:space="preserve">Congregatio </w:t>
      </w:r>
      <w:r>
        <w:rPr>
          <w:rFonts w:ascii="Times New Roman" w:hAnsi="Times New Roman" w:cs="Times New Roman"/>
          <w:i/>
          <w:sz w:val="28"/>
          <w:szCs w:val="28"/>
        </w:rPr>
        <w:t xml:space="preserve">super </w:t>
      </w:r>
      <w:r w:rsidRPr="00386122">
        <w:rPr>
          <w:rFonts w:ascii="Times New Roman" w:hAnsi="Times New Roman" w:cs="Times New Roman"/>
          <w:i/>
          <w:sz w:val="28"/>
          <w:szCs w:val="28"/>
        </w:rPr>
        <w:t>facult</w:t>
      </w:r>
      <w:r>
        <w:rPr>
          <w:rFonts w:ascii="Times New Roman" w:hAnsi="Times New Roman" w:cs="Times New Roman"/>
          <w:i/>
          <w:sz w:val="28"/>
          <w:szCs w:val="28"/>
        </w:rPr>
        <w:t xml:space="preserve">atibus </w:t>
      </w:r>
      <w:r w:rsidRPr="00386122">
        <w:rPr>
          <w:rFonts w:ascii="Times New Roman" w:hAnsi="Times New Roman" w:cs="Times New Roman"/>
          <w:i/>
          <w:sz w:val="28"/>
          <w:szCs w:val="28"/>
        </w:rPr>
        <w:t>missionariorum,</w:t>
      </w:r>
      <w:r w:rsidRPr="00386122">
        <w:rPr>
          <w:rFonts w:ascii="Times New Roman" w:hAnsi="Times New Roman" w:cs="Times New Roman"/>
          <w:sz w:val="28"/>
          <w:szCs w:val="28"/>
        </w:rPr>
        <w:t xml:space="preserve"> composta da cinque cardinali che aveva</w:t>
      </w:r>
      <w:r>
        <w:rPr>
          <w:rFonts w:ascii="Times New Roman" w:hAnsi="Times New Roman" w:cs="Times New Roman"/>
          <w:sz w:val="28"/>
          <w:szCs w:val="28"/>
        </w:rPr>
        <w:t xml:space="preserve"> </w:t>
      </w:r>
      <w:r w:rsidRPr="00386122">
        <w:rPr>
          <w:rFonts w:ascii="Times New Roman" w:hAnsi="Times New Roman" w:cs="Times New Roman"/>
          <w:sz w:val="28"/>
          <w:szCs w:val="28"/>
        </w:rPr>
        <w:t>portato, il 10 f</w:t>
      </w:r>
      <w:r>
        <w:rPr>
          <w:rFonts w:ascii="Times New Roman" w:hAnsi="Times New Roman" w:cs="Times New Roman"/>
          <w:sz w:val="28"/>
          <w:szCs w:val="28"/>
        </w:rPr>
        <w:t>ebbraio 1637, al</w:t>
      </w:r>
      <w:r w:rsidRPr="00386122">
        <w:rPr>
          <w:rFonts w:ascii="Times New Roman" w:hAnsi="Times New Roman" w:cs="Times New Roman"/>
          <w:sz w:val="28"/>
          <w:szCs w:val="28"/>
        </w:rPr>
        <w:t xml:space="preserve"> riordin</w:t>
      </w:r>
      <w:r>
        <w:rPr>
          <w:rFonts w:ascii="Times New Roman" w:hAnsi="Times New Roman" w:cs="Times New Roman"/>
          <w:sz w:val="28"/>
          <w:szCs w:val="28"/>
        </w:rPr>
        <w:t>o e alla stesura di nuove formule</w:t>
      </w:r>
      <w:r>
        <w:rPr>
          <w:rStyle w:val="Rimandonotaapidipagina"/>
          <w:rFonts w:ascii="Times New Roman" w:hAnsi="Times New Roman" w:cs="Times New Roman"/>
          <w:sz w:val="28"/>
          <w:szCs w:val="28"/>
        </w:rPr>
        <w:footnoteReference w:id="537"/>
      </w:r>
      <w:r w:rsidRPr="00386122">
        <w:rPr>
          <w:rFonts w:ascii="Times New Roman" w:hAnsi="Times New Roman" w:cs="Times New Roman"/>
          <w:sz w:val="28"/>
          <w:szCs w:val="28"/>
        </w:rPr>
        <w:t xml:space="preserve">. </w:t>
      </w:r>
      <w:r>
        <w:rPr>
          <w:rFonts w:ascii="Times New Roman" w:hAnsi="Times New Roman" w:cs="Times New Roman"/>
          <w:sz w:val="28"/>
          <w:szCs w:val="28"/>
        </w:rPr>
        <w:t>Difatti, f</w:t>
      </w:r>
      <w:r w:rsidRPr="00386122">
        <w:rPr>
          <w:rFonts w:ascii="Times New Roman" w:hAnsi="Times New Roman" w:cs="Times New Roman"/>
          <w:sz w:val="28"/>
          <w:szCs w:val="28"/>
        </w:rPr>
        <w:t>urono approvate sette regole generali, propedeutiche alla redazione</w:t>
      </w:r>
      <w:r>
        <w:rPr>
          <w:rFonts w:ascii="Times New Roman" w:hAnsi="Times New Roman" w:cs="Times New Roman"/>
          <w:sz w:val="28"/>
          <w:szCs w:val="28"/>
        </w:rPr>
        <w:t xml:space="preserve"> </w:t>
      </w:r>
      <w:r w:rsidRPr="00386122">
        <w:rPr>
          <w:rFonts w:ascii="Times New Roman" w:hAnsi="Times New Roman" w:cs="Times New Roman"/>
          <w:sz w:val="28"/>
          <w:szCs w:val="28"/>
        </w:rPr>
        <w:t xml:space="preserve">delle formule di facoltà e </w:t>
      </w:r>
      <w:r>
        <w:rPr>
          <w:rFonts w:ascii="Times New Roman" w:hAnsi="Times New Roman" w:cs="Times New Roman"/>
          <w:sz w:val="28"/>
          <w:szCs w:val="28"/>
        </w:rPr>
        <w:t xml:space="preserve">vennero </w:t>
      </w:r>
      <w:r w:rsidRPr="00386122">
        <w:rPr>
          <w:rFonts w:ascii="Times New Roman" w:hAnsi="Times New Roman" w:cs="Times New Roman"/>
          <w:sz w:val="28"/>
          <w:szCs w:val="28"/>
        </w:rPr>
        <w:t xml:space="preserve">redatte alcune formule particolari per </w:t>
      </w:r>
      <w:r>
        <w:rPr>
          <w:rFonts w:ascii="Times New Roman" w:hAnsi="Times New Roman" w:cs="Times New Roman"/>
          <w:sz w:val="28"/>
          <w:szCs w:val="28"/>
        </w:rPr>
        <w:t xml:space="preserve">specifici </w:t>
      </w:r>
      <w:r w:rsidRPr="00386122">
        <w:rPr>
          <w:rFonts w:ascii="Times New Roman" w:hAnsi="Times New Roman" w:cs="Times New Roman"/>
          <w:sz w:val="28"/>
          <w:szCs w:val="28"/>
        </w:rPr>
        <w:t>luoghi o</w:t>
      </w:r>
      <w:r>
        <w:rPr>
          <w:rFonts w:ascii="Times New Roman" w:hAnsi="Times New Roman" w:cs="Times New Roman"/>
          <w:sz w:val="28"/>
          <w:szCs w:val="28"/>
        </w:rPr>
        <w:t xml:space="preserve"> necessità. A</w:t>
      </w:r>
      <w:r w:rsidRPr="00386122">
        <w:rPr>
          <w:rFonts w:ascii="Times New Roman" w:hAnsi="Times New Roman" w:cs="Times New Roman"/>
          <w:sz w:val="28"/>
          <w:szCs w:val="28"/>
        </w:rPr>
        <w:t xml:space="preserve">lle cinque formule iniziali </w:t>
      </w:r>
      <w:r>
        <w:rPr>
          <w:rFonts w:ascii="Times New Roman" w:hAnsi="Times New Roman" w:cs="Times New Roman"/>
          <w:sz w:val="28"/>
          <w:szCs w:val="28"/>
        </w:rPr>
        <w:t xml:space="preserve">ne </w:t>
      </w:r>
      <w:r w:rsidRPr="00386122">
        <w:rPr>
          <w:rFonts w:ascii="Times New Roman" w:hAnsi="Times New Roman" w:cs="Times New Roman"/>
          <w:sz w:val="28"/>
          <w:szCs w:val="28"/>
        </w:rPr>
        <w:t xml:space="preserve">vennero aggiunte </w:t>
      </w:r>
      <w:r>
        <w:rPr>
          <w:rFonts w:ascii="Times New Roman" w:hAnsi="Times New Roman" w:cs="Times New Roman"/>
          <w:sz w:val="28"/>
          <w:szCs w:val="28"/>
        </w:rPr>
        <w:t xml:space="preserve">altre </w:t>
      </w:r>
      <w:r w:rsidRPr="00386122">
        <w:rPr>
          <w:rFonts w:ascii="Times New Roman" w:hAnsi="Times New Roman" w:cs="Times New Roman"/>
          <w:sz w:val="28"/>
          <w:szCs w:val="28"/>
        </w:rPr>
        <w:t>quattro</w:t>
      </w:r>
      <w:r>
        <w:rPr>
          <w:rFonts w:ascii="Times New Roman" w:hAnsi="Times New Roman" w:cs="Times New Roman"/>
          <w:sz w:val="28"/>
          <w:szCs w:val="28"/>
        </w:rPr>
        <w:t xml:space="preserve"> (VI, VII, VIII, IX) e venne </w:t>
      </w:r>
      <w:r w:rsidRPr="00386122">
        <w:rPr>
          <w:rFonts w:ascii="Times New Roman" w:hAnsi="Times New Roman" w:cs="Times New Roman"/>
          <w:sz w:val="28"/>
          <w:szCs w:val="28"/>
        </w:rPr>
        <w:t xml:space="preserve">aggiunta anche un’ulteriore formula X, che riprendeva </w:t>
      </w:r>
      <w:r w:rsidRPr="00386122">
        <w:rPr>
          <w:rFonts w:ascii="Times New Roman" w:hAnsi="Times New Roman" w:cs="Times New Roman"/>
          <w:sz w:val="28"/>
          <w:szCs w:val="28"/>
        </w:rPr>
        <w:lastRenderedPageBreak/>
        <w:t>in</w:t>
      </w:r>
      <w:r>
        <w:rPr>
          <w:rFonts w:ascii="Times New Roman" w:hAnsi="Times New Roman" w:cs="Times New Roman"/>
          <w:sz w:val="28"/>
          <w:szCs w:val="28"/>
        </w:rPr>
        <w:t xml:space="preserve"> </w:t>
      </w:r>
      <w:r w:rsidRPr="00386122">
        <w:rPr>
          <w:rFonts w:ascii="Times New Roman" w:hAnsi="Times New Roman" w:cs="Times New Roman"/>
          <w:sz w:val="28"/>
          <w:szCs w:val="28"/>
        </w:rPr>
        <w:t>maniera abbreviata il contenuto della formula I</w:t>
      </w:r>
      <w:r>
        <w:rPr>
          <w:rFonts w:ascii="Times New Roman" w:hAnsi="Times New Roman" w:cs="Times New Roman"/>
          <w:sz w:val="28"/>
          <w:szCs w:val="28"/>
        </w:rPr>
        <w:t>II. Accanto a queste formule or</w:t>
      </w:r>
      <w:r w:rsidRPr="00386122">
        <w:rPr>
          <w:rFonts w:ascii="Times New Roman" w:hAnsi="Times New Roman" w:cs="Times New Roman"/>
          <w:sz w:val="28"/>
          <w:szCs w:val="28"/>
        </w:rPr>
        <w:t>dinarie, a partire dal XIX secolo furono emanate ulteriori formule di facoltà</w:t>
      </w:r>
      <w:r>
        <w:rPr>
          <w:rFonts w:ascii="Times New Roman" w:hAnsi="Times New Roman" w:cs="Times New Roman"/>
          <w:sz w:val="28"/>
          <w:szCs w:val="28"/>
        </w:rPr>
        <w:t xml:space="preserve"> </w:t>
      </w:r>
      <w:r w:rsidRPr="00386122">
        <w:rPr>
          <w:rFonts w:ascii="Times New Roman" w:hAnsi="Times New Roman" w:cs="Times New Roman"/>
          <w:sz w:val="28"/>
          <w:szCs w:val="28"/>
        </w:rPr>
        <w:t>straordinarie per determinate categorie di persone e luoghi. Agli inizi del XIX</w:t>
      </w:r>
      <w:r>
        <w:rPr>
          <w:rFonts w:ascii="Times New Roman" w:hAnsi="Times New Roman" w:cs="Times New Roman"/>
          <w:sz w:val="28"/>
          <w:szCs w:val="28"/>
        </w:rPr>
        <w:t xml:space="preserve"> </w:t>
      </w:r>
      <w:r w:rsidRPr="00386122">
        <w:rPr>
          <w:rFonts w:ascii="Times New Roman" w:hAnsi="Times New Roman" w:cs="Times New Roman"/>
          <w:sz w:val="28"/>
          <w:szCs w:val="28"/>
        </w:rPr>
        <w:t>secolo, con l</w:t>
      </w:r>
      <w:r>
        <w:rPr>
          <w:rFonts w:ascii="Times New Roman" w:hAnsi="Times New Roman" w:cs="Times New Roman"/>
          <w:sz w:val="28"/>
          <w:szCs w:val="28"/>
        </w:rPr>
        <w:t xml:space="preserve">a costituzione </w:t>
      </w:r>
      <w:r w:rsidRPr="00D5096F">
        <w:rPr>
          <w:rFonts w:ascii="Times New Roman" w:hAnsi="Times New Roman" w:cs="Times New Roman"/>
          <w:i/>
          <w:sz w:val="28"/>
          <w:szCs w:val="28"/>
        </w:rPr>
        <w:t>Sapienti Consilio</w:t>
      </w:r>
      <w:r>
        <w:rPr>
          <w:rFonts w:ascii="Times New Roman" w:hAnsi="Times New Roman" w:cs="Times New Roman"/>
          <w:sz w:val="28"/>
          <w:szCs w:val="28"/>
        </w:rPr>
        <w:t xml:space="preserve"> </w:t>
      </w:r>
      <w:r w:rsidRPr="00386122">
        <w:rPr>
          <w:rFonts w:ascii="Times New Roman" w:hAnsi="Times New Roman" w:cs="Times New Roman"/>
          <w:sz w:val="28"/>
          <w:szCs w:val="28"/>
        </w:rPr>
        <w:t>e la revisione della stessa giurisdizione</w:t>
      </w:r>
      <w:r>
        <w:rPr>
          <w:rFonts w:ascii="Times New Roman" w:hAnsi="Times New Roman" w:cs="Times New Roman"/>
          <w:sz w:val="28"/>
          <w:szCs w:val="28"/>
        </w:rPr>
        <w:t xml:space="preserve"> </w:t>
      </w:r>
      <w:r w:rsidRPr="00386122">
        <w:rPr>
          <w:rFonts w:ascii="Times New Roman" w:hAnsi="Times New Roman" w:cs="Times New Roman"/>
          <w:sz w:val="28"/>
          <w:szCs w:val="28"/>
        </w:rPr>
        <w:t xml:space="preserve">di Propaganda, sia </w:t>
      </w:r>
      <w:r w:rsidRPr="00D5096F">
        <w:rPr>
          <w:rFonts w:ascii="Times New Roman" w:hAnsi="Times New Roman" w:cs="Times New Roman"/>
          <w:i/>
          <w:sz w:val="28"/>
          <w:szCs w:val="28"/>
        </w:rPr>
        <w:t>ratione personae</w:t>
      </w:r>
      <w:r w:rsidRPr="00386122">
        <w:rPr>
          <w:rFonts w:ascii="Times New Roman" w:hAnsi="Times New Roman" w:cs="Times New Roman"/>
          <w:sz w:val="28"/>
          <w:szCs w:val="28"/>
        </w:rPr>
        <w:t xml:space="preserve">, </w:t>
      </w:r>
      <w:r w:rsidRPr="00D5096F">
        <w:rPr>
          <w:rFonts w:ascii="Times New Roman" w:hAnsi="Times New Roman" w:cs="Times New Roman"/>
          <w:i/>
          <w:sz w:val="28"/>
          <w:szCs w:val="28"/>
        </w:rPr>
        <w:t>loci</w:t>
      </w:r>
      <w:r>
        <w:rPr>
          <w:rFonts w:ascii="Times New Roman" w:hAnsi="Times New Roman" w:cs="Times New Roman"/>
          <w:sz w:val="28"/>
          <w:szCs w:val="28"/>
        </w:rPr>
        <w:t xml:space="preserve"> </w:t>
      </w:r>
      <w:r w:rsidRPr="00386122">
        <w:rPr>
          <w:rFonts w:ascii="Times New Roman" w:hAnsi="Times New Roman" w:cs="Times New Roman"/>
          <w:sz w:val="28"/>
          <w:szCs w:val="28"/>
        </w:rPr>
        <w:t xml:space="preserve">che </w:t>
      </w:r>
      <w:r w:rsidRPr="00D5096F">
        <w:rPr>
          <w:rFonts w:ascii="Times New Roman" w:hAnsi="Times New Roman" w:cs="Times New Roman"/>
          <w:i/>
          <w:sz w:val="28"/>
          <w:szCs w:val="28"/>
        </w:rPr>
        <w:t>materiae</w:t>
      </w:r>
      <w:r w:rsidRPr="00386122">
        <w:rPr>
          <w:rFonts w:ascii="Times New Roman" w:hAnsi="Times New Roman" w:cs="Times New Roman"/>
          <w:sz w:val="28"/>
          <w:szCs w:val="28"/>
        </w:rPr>
        <w:t>,</w:t>
      </w:r>
      <w:r>
        <w:rPr>
          <w:rFonts w:ascii="Times New Roman" w:hAnsi="Times New Roman" w:cs="Times New Roman"/>
          <w:sz w:val="28"/>
          <w:szCs w:val="28"/>
        </w:rPr>
        <w:t xml:space="preserve"> si formularono nuove formule per le facoltà</w:t>
      </w:r>
      <w:r>
        <w:rPr>
          <w:rStyle w:val="Rimandonotaapidipagina"/>
          <w:rFonts w:ascii="Times New Roman" w:hAnsi="Times New Roman" w:cs="Times New Roman"/>
          <w:sz w:val="28"/>
          <w:szCs w:val="28"/>
        </w:rPr>
        <w:footnoteReference w:id="538"/>
      </w:r>
      <w:r>
        <w:rPr>
          <w:rFonts w:ascii="Times New Roman" w:hAnsi="Times New Roman" w:cs="Times New Roman"/>
          <w:sz w:val="28"/>
          <w:szCs w:val="28"/>
        </w:rPr>
        <w:t>.</w:t>
      </w:r>
    </w:p>
    <w:p w14:paraId="2B6008AB" w14:textId="77777777" w:rsidR="00140247" w:rsidRDefault="00140247" w:rsidP="00484F9B">
      <w:pPr>
        <w:spacing w:after="0" w:line="360" w:lineRule="auto"/>
        <w:ind w:left="680" w:right="340"/>
        <w:jc w:val="both"/>
        <w:rPr>
          <w:rFonts w:ascii="Times New Roman" w:hAnsi="Times New Roman" w:cs="Times New Roman"/>
          <w:sz w:val="28"/>
          <w:szCs w:val="28"/>
        </w:rPr>
      </w:pPr>
      <w:r w:rsidRPr="00386122">
        <w:rPr>
          <w:rFonts w:ascii="Times New Roman" w:hAnsi="Times New Roman" w:cs="Times New Roman"/>
          <w:sz w:val="28"/>
          <w:szCs w:val="28"/>
        </w:rPr>
        <w:t xml:space="preserve"> Con Pio X rimasero in vigore le formule I-</w:t>
      </w:r>
      <w:r>
        <w:rPr>
          <w:rFonts w:ascii="Times New Roman" w:hAnsi="Times New Roman" w:cs="Times New Roman"/>
          <w:sz w:val="28"/>
          <w:szCs w:val="28"/>
        </w:rPr>
        <w:t xml:space="preserve">IV e anche le formule particolari VI e X </w:t>
      </w:r>
      <w:r w:rsidRPr="00386122">
        <w:rPr>
          <w:rFonts w:ascii="Times New Roman" w:hAnsi="Times New Roman" w:cs="Times New Roman"/>
          <w:sz w:val="28"/>
          <w:szCs w:val="28"/>
        </w:rPr>
        <w:t xml:space="preserve">e nel 1915 si </w:t>
      </w:r>
      <w:r>
        <w:rPr>
          <w:rFonts w:ascii="Times New Roman" w:hAnsi="Times New Roman" w:cs="Times New Roman"/>
          <w:sz w:val="28"/>
          <w:szCs w:val="28"/>
        </w:rPr>
        <w:t xml:space="preserve">aggiunsero </w:t>
      </w:r>
      <w:r w:rsidRPr="00386122">
        <w:rPr>
          <w:rFonts w:ascii="Times New Roman" w:hAnsi="Times New Roman" w:cs="Times New Roman"/>
          <w:sz w:val="28"/>
          <w:szCs w:val="28"/>
        </w:rPr>
        <w:t>quattro formule, con una nuova denominazione:</w:t>
      </w:r>
      <w:r>
        <w:rPr>
          <w:rFonts w:ascii="Times New Roman" w:hAnsi="Times New Roman" w:cs="Times New Roman"/>
          <w:sz w:val="28"/>
          <w:szCs w:val="28"/>
        </w:rPr>
        <w:t xml:space="preserve"> formula I e formula T, m</w:t>
      </w:r>
      <w:r w:rsidRPr="00386122">
        <w:rPr>
          <w:rFonts w:ascii="Times New Roman" w:hAnsi="Times New Roman" w:cs="Times New Roman"/>
          <w:sz w:val="28"/>
          <w:szCs w:val="28"/>
        </w:rPr>
        <w:t>aggio</w:t>
      </w:r>
      <w:r>
        <w:rPr>
          <w:rFonts w:ascii="Times New Roman" w:hAnsi="Times New Roman" w:cs="Times New Roman"/>
          <w:sz w:val="28"/>
          <w:szCs w:val="28"/>
        </w:rPr>
        <w:t>ri e minori. Le maggiori per i p</w:t>
      </w:r>
      <w:r w:rsidRPr="00386122">
        <w:rPr>
          <w:rFonts w:ascii="Times New Roman" w:hAnsi="Times New Roman" w:cs="Times New Roman"/>
          <w:sz w:val="28"/>
          <w:szCs w:val="28"/>
        </w:rPr>
        <w:t>relati insigniti del</w:t>
      </w:r>
      <w:r>
        <w:rPr>
          <w:rFonts w:ascii="Times New Roman" w:hAnsi="Times New Roman" w:cs="Times New Roman"/>
          <w:sz w:val="28"/>
          <w:szCs w:val="28"/>
        </w:rPr>
        <w:t xml:space="preserve"> carattere episcopale, le m</w:t>
      </w:r>
      <w:r w:rsidRPr="00386122">
        <w:rPr>
          <w:rFonts w:ascii="Times New Roman" w:hAnsi="Times New Roman" w:cs="Times New Roman"/>
          <w:sz w:val="28"/>
          <w:szCs w:val="28"/>
        </w:rPr>
        <w:t xml:space="preserve">inori per </w:t>
      </w:r>
      <w:r>
        <w:rPr>
          <w:rFonts w:ascii="Times New Roman" w:hAnsi="Times New Roman" w:cs="Times New Roman"/>
          <w:sz w:val="28"/>
          <w:szCs w:val="28"/>
        </w:rPr>
        <w:t>gli ordinari non vescovi</w:t>
      </w:r>
      <w:r w:rsidRPr="00386122">
        <w:rPr>
          <w:rFonts w:ascii="Times New Roman" w:hAnsi="Times New Roman" w:cs="Times New Roman"/>
          <w:sz w:val="28"/>
          <w:szCs w:val="28"/>
        </w:rPr>
        <w:t>. Anche Benedetto</w:t>
      </w:r>
      <w:r>
        <w:rPr>
          <w:rFonts w:ascii="Times New Roman" w:hAnsi="Times New Roman" w:cs="Times New Roman"/>
          <w:sz w:val="28"/>
          <w:szCs w:val="28"/>
        </w:rPr>
        <w:t xml:space="preserve"> </w:t>
      </w:r>
      <w:r w:rsidRPr="00386122">
        <w:rPr>
          <w:rFonts w:ascii="Times New Roman" w:hAnsi="Times New Roman" w:cs="Times New Roman"/>
          <w:sz w:val="28"/>
          <w:szCs w:val="28"/>
        </w:rPr>
        <w:t>XV, approvò nuove formule il 6 febbraio 1919, infatti la formula I era unica</w:t>
      </w:r>
      <w:r>
        <w:rPr>
          <w:rFonts w:ascii="Times New Roman" w:hAnsi="Times New Roman" w:cs="Times New Roman"/>
          <w:sz w:val="28"/>
          <w:szCs w:val="28"/>
        </w:rPr>
        <w:t xml:space="preserve">, </w:t>
      </w:r>
      <w:r w:rsidRPr="00386122">
        <w:rPr>
          <w:rFonts w:ascii="Times New Roman" w:hAnsi="Times New Roman" w:cs="Times New Roman"/>
          <w:sz w:val="28"/>
          <w:szCs w:val="28"/>
        </w:rPr>
        <w:t>mentre le formule II e III erano duplici: maggiori e minori</w:t>
      </w:r>
      <w:r>
        <w:rPr>
          <w:rStyle w:val="Rimandonotaapidipagina"/>
          <w:rFonts w:ascii="Times New Roman" w:hAnsi="Times New Roman" w:cs="Times New Roman"/>
          <w:sz w:val="28"/>
          <w:szCs w:val="28"/>
        </w:rPr>
        <w:footnoteReference w:id="539"/>
      </w:r>
      <w:r w:rsidRPr="00386122">
        <w:rPr>
          <w:rFonts w:ascii="Times New Roman" w:hAnsi="Times New Roman" w:cs="Times New Roman"/>
          <w:sz w:val="28"/>
          <w:szCs w:val="28"/>
        </w:rPr>
        <w:t>. Criteri ispiratori per</w:t>
      </w:r>
      <w:r>
        <w:rPr>
          <w:rFonts w:ascii="Times New Roman" w:hAnsi="Times New Roman" w:cs="Times New Roman"/>
          <w:sz w:val="28"/>
          <w:szCs w:val="28"/>
        </w:rPr>
        <w:t xml:space="preserve"> </w:t>
      </w:r>
      <w:r w:rsidRPr="00386122">
        <w:rPr>
          <w:rFonts w:ascii="Times New Roman" w:hAnsi="Times New Roman" w:cs="Times New Roman"/>
          <w:sz w:val="28"/>
          <w:szCs w:val="28"/>
        </w:rPr>
        <w:t>la concessione e</w:t>
      </w:r>
      <w:r>
        <w:rPr>
          <w:rFonts w:ascii="Times New Roman" w:hAnsi="Times New Roman" w:cs="Times New Roman"/>
          <w:sz w:val="28"/>
          <w:szCs w:val="28"/>
        </w:rPr>
        <w:t xml:space="preserve">rano la distanza da Roma e </w:t>
      </w:r>
      <w:r w:rsidRPr="00386122">
        <w:rPr>
          <w:rFonts w:ascii="Times New Roman" w:hAnsi="Times New Roman" w:cs="Times New Roman"/>
          <w:sz w:val="28"/>
          <w:szCs w:val="28"/>
        </w:rPr>
        <w:t>la situazione dei luoghi. Le</w:t>
      </w:r>
      <w:r>
        <w:rPr>
          <w:rFonts w:ascii="Times New Roman" w:hAnsi="Times New Roman" w:cs="Times New Roman"/>
          <w:sz w:val="28"/>
          <w:szCs w:val="28"/>
        </w:rPr>
        <w:t xml:space="preserve"> </w:t>
      </w:r>
      <w:r w:rsidRPr="00386122">
        <w:rPr>
          <w:rFonts w:ascii="Times New Roman" w:hAnsi="Times New Roman" w:cs="Times New Roman"/>
          <w:sz w:val="28"/>
          <w:szCs w:val="28"/>
        </w:rPr>
        <w:t>formule avevano una durata decennale e la formula</w:t>
      </w:r>
      <w:r>
        <w:rPr>
          <w:rFonts w:ascii="Times New Roman" w:hAnsi="Times New Roman" w:cs="Times New Roman"/>
          <w:sz w:val="28"/>
          <w:szCs w:val="28"/>
        </w:rPr>
        <w:t xml:space="preserve"> III era destinata all’Asia, al</w:t>
      </w:r>
      <w:r w:rsidRPr="00386122">
        <w:rPr>
          <w:rFonts w:ascii="Times New Roman" w:hAnsi="Times New Roman" w:cs="Times New Roman"/>
          <w:sz w:val="28"/>
          <w:szCs w:val="28"/>
        </w:rPr>
        <w:t>l’Africa, alle</w:t>
      </w:r>
      <w:r>
        <w:rPr>
          <w:rFonts w:ascii="Times New Roman" w:hAnsi="Times New Roman" w:cs="Times New Roman"/>
          <w:sz w:val="28"/>
          <w:szCs w:val="28"/>
        </w:rPr>
        <w:t xml:space="preserve"> p</w:t>
      </w:r>
      <w:r w:rsidRPr="00386122">
        <w:rPr>
          <w:rFonts w:ascii="Times New Roman" w:hAnsi="Times New Roman" w:cs="Times New Roman"/>
          <w:sz w:val="28"/>
          <w:szCs w:val="28"/>
        </w:rPr>
        <w:t xml:space="preserve">refetture d’Oceania, ma anche, </w:t>
      </w:r>
      <w:r>
        <w:rPr>
          <w:rFonts w:ascii="Times New Roman" w:hAnsi="Times New Roman" w:cs="Times New Roman"/>
          <w:sz w:val="28"/>
          <w:szCs w:val="28"/>
        </w:rPr>
        <w:t>alla Cina. Le formu</w:t>
      </w:r>
      <w:r w:rsidRPr="00386122">
        <w:rPr>
          <w:rFonts w:ascii="Times New Roman" w:hAnsi="Times New Roman" w:cs="Times New Roman"/>
          <w:sz w:val="28"/>
          <w:szCs w:val="28"/>
        </w:rPr>
        <w:t>le maggiori erano concesse a coloro che nelle diverse regioni erano insigniti del</w:t>
      </w:r>
      <w:r>
        <w:rPr>
          <w:rFonts w:ascii="Times New Roman" w:hAnsi="Times New Roman" w:cs="Times New Roman"/>
          <w:sz w:val="28"/>
          <w:szCs w:val="28"/>
        </w:rPr>
        <w:t xml:space="preserve"> </w:t>
      </w:r>
      <w:r w:rsidRPr="00386122">
        <w:rPr>
          <w:rFonts w:ascii="Times New Roman" w:hAnsi="Times New Roman" w:cs="Times New Roman"/>
          <w:sz w:val="28"/>
          <w:szCs w:val="28"/>
        </w:rPr>
        <w:t>carattere episcopale e le minori agli altri superiori</w:t>
      </w:r>
      <w:r>
        <w:rPr>
          <w:rStyle w:val="Rimandonotaapidipagina"/>
          <w:rFonts w:ascii="Times New Roman" w:hAnsi="Times New Roman" w:cs="Times New Roman"/>
          <w:sz w:val="28"/>
          <w:szCs w:val="28"/>
        </w:rPr>
        <w:footnoteReference w:id="540"/>
      </w:r>
      <w:r w:rsidRPr="00386122">
        <w:rPr>
          <w:rFonts w:ascii="Times New Roman" w:hAnsi="Times New Roman" w:cs="Times New Roman"/>
          <w:sz w:val="28"/>
          <w:szCs w:val="28"/>
        </w:rPr>
        <w:t>.</w:t>
      </w:r>
    </w:p>
    <w:p w14:paraId="67395AF1" w14:textId="77777777" w:rsidR="00140247" w:rsidRDefault="00140247" w:rsidP="00484F9B">
      <w:pPr>
        <w:spacing w:after="0" w:line="360" w:lineRule="auto"/>
        <w:ind w:left="680" w:right="340"/>
        <w:jc w:val="both"/>
        <w:rPr>
          <w:rFonts w:ascii="Times New Roman" w:hAnsi="Times New Roman" w:cs="Times New Roman"/>
          <w:sz w:val="28"/>
          <w:szCs w:val="28"/>
        </w:rPr>
      </w:pPr>
      <w:r w:rsidRPr="00386122">
        <w:rPr>
          <w:rFonts w:ascii="Times New Roman" w:hAnsi="Times New Roman" w:cs="Times New Roman"/>
          <w:sz w:val="28"/>
          <w:szCs w:val="28"/>
        </w:rPr>
        <w:t>Nelle formule si davano tre tipolo</w:t>
      </w:r>
      <w:r>
        <w:rPr>
          <w:rFonts w:ascii="Times New Roman" w:hAnsi="Times New Roman" w:cs="Times New Roman"/>
          <w:sz w:val="28"/>
          <w:szCs w:val="28"/>
        </w:rPr>
        <w:t>gie di facoltà per i missionari</w:t>
      </w:r>
      <w:r w:rsidRPr="00386122">
        <w:rPr>
          <w:rFonts w:ascii="Times New Roman" w:hAnsi="Times New Roman" w:cs="Times New Roman"/>
          <w:sz w:val="28"/>
          <w:szCs w:val="28"/>
        </w:rPr>
        <w:t>.</w:t>
      </w:r>
      <w:r>
        <w:rPr>
          <w:rFonts w:ascii="Times New Roman" w:hAnsi="Times New Roman" w:cs="Times New Roman"/>
          <w:sz w:val="28"/>
          <w:szCs w:val="28"/>
        </w:rPr>
        <w:t xml:space="preserve"> </w:t>
      </w:r>
      <w:r w:rsidRPr="00386122">
        <w:rPr>
          <w:rFonts w:ascii="Times New Roman" w:hAnsi="Times New Roman" w:cs="Times New Roman"/>
          <w:sz w:val="28"/>
          <w:szCs w:val="28"/>
        </w:rPr>
        <w:t>Tra queste, la prima riguardava la facoltà relativ</w:t>
      </w:r>
      <w:r>
        <w:rPr>
          <w:rFonts w:ascii="Times New Roman" w:hAnsi="Times New Roman" w:cs="Times New Roman"/>
          <w:sz w:val="28"/>
          <w:szCs w:val="28"/>
        </w:rPr>
        <w:t>a all’amministrazione dei sacra</w:t>
      </w:r>
      <w:r w:rsidRPr="00386122">
        <w:rPr>
          <w:rFonts w:ascii="Times New Roman" w:hAnsi="Times New Roman" w:cs="Times New Roman"/>
          <w:sz w:val="28"/>
          <w:szCs w:val="28"/>
        </w:rPr>
        <w:t xml:space="preserve">menti. Per le questioni attinenti alla parrocchia i </w:t>
      </w:r>
      <w:r>
        <w:rPr>
          <w:rFonts w:ascii="Times New Roman" w:hAnsi="Times New Roman" w:cs="Times New Roman"/>
          <w:sz w:val="28"/>
          <w:szCs w:val="28"/>
        </w:rPr>
        <w:t>missionari dovevano avere la licenza del vescovo e de</w:t>
      </w:r>
      <w:r w:rsidRPr="00386122">
        <w:rPr>
          <w:rFonts w:ascii="Times New Roman" w:hAnsi="Times New Roman" w:cs="Times New Roman"/>
          <w:sz w:val="28"/>
          <w:szCs w:val="28"/>
        </w:rPr>
        <w:t>l parro</w:t>
      </w:r>
      <w:r>
        <w:rPr>
          <w:rFonts w:ascii="Times New Roman" w:hAnsi="Times New Roman" w:cs="Times New Roman"/>
          <w:sz w:val="28"/>
          <w:szCs w:val="28"/>
        </w:rPr>
        <w:t>co, e tale licenza serviva anche per cele</w:t>
      </w:r>
      <w:r w:rsidRPr="00386122">
        <w:rPr>
          <w:rFonts w:ascii="Times New Roman" w:hAnsi="Times New Roman" w:cs="Times New Roman"/>
          <w:sz w:val="28"/>
          <w:szCs w:val="28"/>
        </w:rPr>
        <w:t>brar</w:t>
      </w:r>
      <w:r>
        <w:rPr>
          <w:rFonts w:ascii="Times New Roman" w:hAnsi="Times New Roman" w:cs="Times New Roman"/>
          <w:sz w:val="28"/>
          <w:szCs w:val="28"/>
        </w:rPr>
        <w:t>e la messa due volte al giorno</w:t>
      </w:r>
      <w:r>
        <w:rPr>
          <w:rStyle w:val="Rimandonotaapidipagina"/>
          <w:rFonts w:ascii="Times New Roman" w:hAnsi="Times New Roman" w:cs="Times New Roman"/>
          <w:sz w:val="28"/>
          <w:szCs w:val="28"/>
        </w:rPr>
        <w:footnoteReference w:id="541"/>
      </w:r>
      <w:r w:rsidRPr="00386122">
        <w:rPr>
          <w:rFonts w:ascii="Times New Roman" w:hAnsi="Times New Roman" w:cs="Times New Roman"/>
          <w:sz w:val="28"/>
          <w:szCs w:val="28"/>
        </w:rPr>
        <w:t xml:space="preserve">. La </w:t>
      </w:r>
      <w:r>
        <w:rPr>
          <w:rFonts w:ascii="Times New Roman" w:hAnsi="Times New Roman" w:cs="Times New Roman"/>
          <w:sz w:val="28"/>
          <w:szCs w:val="28"/>
        </w:rPr>
        <w:t xml:space="preserve">seconda </w:t>
      </w:r>
      <w:r w:rsidRPr="00386122">
        <w:rPr>
          <w:rFonts w:ascii="Times New Roman" w:hAnsi="Times New Roman" w:cs="Times New Roman"/>
          <w:sz w:val="28"/>
          <w:szCs w:val="28"/>
        </w:rPr>
        <w:t xml:space="preserve">facoltà </w:t>
      </w:r>
      <w:r>
        <w:rPr>
          <w:rFonts w:ascii="Times New Roman" w:hAnsi="Times New Roman" w:cs="Times New Roman"/>
          <w:sz w:val="28"/>
          <w:szCs w:val="28"/>
        </w:rPr>
        <w:t>era connessa all’esercizio del</w:t>
      </w:r>
      <w:r w:rsidRPr="00386122">
        <w:rPr>
          <w:rFonts w:ascii="Times New Roman" w:hAnsi="Times New Roman" w:cs="Times New Roman"/>
          <w:sz w:val="28"/>
          <w:szCs w:val="28"/>
        </w:rPr>
        <w:t xml:space="preserve">la giurisdizione delegata. I missionari potevano </w:t>
      </w:r>
      <w:r>
        <w:rPr>
          <w:rFonts w:ascii="Times New Roman" w:hAnsi="Times New Roman" w:cs="Times New Roman"/>
          <w:sz w:val="28"/>
          <w:szCs w:val="28"/>
        </w:rPr>
        <w:t>concedere dispense dagli impedim</w:t>
      </w:r>
      <w:r w:rsidRPr="00386122">
        <w:rPr>
          <w:rFonts w:ascii="Times New Roman" w:hAnsi="Times New Roman" w:cs="Times New Roman"/>
          <w:sz w:val="28"/>
          <w:szCs w:val="28"/>
        </w:rPr>
        <w:t>enti matrimoniali, dai voti, dal digiuno e anc</w:t>
      </w:r>
      <w:r>
        <w:rPr>
          <w:rFonts w:ascii="Times New Roman" w:hAnsi="Times New Roman" w:cs="Times New Roman"/>
          <w:sz w:val="28"/>
          <w:szCs w:val="28"/>
        </w:rPr>
        <w:t>he assolvere dalle irregolarità, purché autorizzati d</w:t>
      </w:r>
      <w:r w:rsidRPr="00386122">
        <w:rPr>
          <w:rFonts w:ascii="Times New Roman" w:hAnsi="Times New Roman" w:cs="Times New Roman"/>
          <w:sz w:val="28"/>
          <w:szCs w:val="28"/>
        </w:rPr>
        <w:t xml:space="preserve">alla Santa Sede e concedere indulgenze. La </w:t>
      </w:r>
      <w:r>
        <w:rPr>
          <w:rFonts w:ascii="Times New Roman" w:hAnsi="Times New Roman" w:cs="Times New Roman"/>
          <w:sz w:val="28"/>
          <w:szCs w:val="28"/>
        </w:rPr>
        <w:t xml:space="preserve">terza </w:t>
      </w:r>
      <w:r w:rsidRPr="00386122">
        <w:rPr>
          <w:rFonts w:ascii="Times New Roman" w:hAnsi="Times New Roman" w:cs="Times New Roman"/>
          <w:sz w:val="28"/>
          <w:szCs w:val="28"/>
        </w:rPr>
        <w:t>facoltà era quella</w:t>
      </w:r>
      <w:r>
        <w:rPr>
          <w:rFonts w:ascii="Times New Roman" w:hAnsi="Times New Roman" w:cs="Times New Roman"/>
          <w:sz w:val="28"/>
          <w:szCs w:val="28"/>
        </w:rPr>
        <w:t xml:space="preserve"> </w:t>
      </w:r>
      <w:r w:rsidRPr="00386122">
        <w:rPr>
          <w:rFonts w:ascii="Times New Roman" w:hAnsi="Times New Roman" w:cs="Times New Roman"/>
          <w:sz w:val="28"/>
          <w:szCs w:val="28"/>
        </w:rPr>
        <w:t xml:space="preserve">relativa ai privilegi personali, vale a dire la facoltà di </w:t>
      </w:r>
      <w:r w:rsidRPr="00386122">
        <w:rPr>
          <w:rFonts w:ascii="Times New Roman" w:hAnsi="Times New Roman" w:cs="Times New Roman"/>
          <w:sz w:val="28"/>
          <w:szCs w:val="28"/>
        </w:rPr>
        <w:lastRenderedPageBreak/>
        <w:t>recitare il rosario o altre</w:t>
      </w:r>
      <w:r w:rsidRPr="00D76F5F">
        <w:t xml:space="preserve"> </w:t>
      </w:r>
      <w:r>
        <w:rPr>
          <w:rFonts w:ascii="Times New Roman" w:hAnsi="Times New Roman" w:cs="Times New Roman"/>
          <w:sz w:val="28"/>
          <w:szCs w:val="28"/>
        </w:rPr>
        <w:t>preghiere invece dell’officio divino o breviario, o ancora la possibilità di usare un abito secolare o un al</w:t>
      </w:r>
      <w:r w:rsidRPr="00D76F5F">
        <w:rPr>
          <w:rFonts w:ascii="Times New Roman" w:hAnsi="Times New Roman" w:cs="Times New Roman"/>
          <w:sz w:val="28"/>
          <w:szCs w:val="28"/>
        </w:rPr>
        <w:t>tare privil</w:t>
      </w:r>
      <w:r>
        <w:rPr>
          <w:rFonts w:ascii="Times New Roman" w:hAnsi="Times New Roman" w:cs="Times New Roman"/>
          <w:sz w:val="28"/>
          <w:szCs w:val="28"/>
        </w:rPr>
        <w:t xml:space="preserve">egiato e di </w:t>
      </w:r>
      <w:r w:rsidRPr="00D76F5F">
        <w:rPr>
          <w:rFonts w:ascii="Times New Roman" w:hAnsi="Times New Roman" w:cs="Times New Roman"/>
          <w:sz w:val="28"/>
          <w:szCs w:val="28"/>
        </w:rPr>
        <w:t>leggere libri proibiti. Per tali privilegi i missionari non erano</w:t>
      </w:r>
      <w:r>
        <w:rPr>
          <w:rFonts w:ascii="Times New Roman" w:hAnsi="Times New Roman" w:cs="Times New Roman"/>
          <w:sz w:val="28"/>
          <w:szCs w:val="28"/>
        </w:rPr>
        <w:t xml:space="preserve"> </w:t>
      </w:r>
      <w:r w:rsidRPr="00D76F5F">
        <w:rPr>
          <w:rFonts w:ascii="Times New Roman" w:hAnsi="Times New Roman" w:cs="Times New Roman"/>
          <w:sz w:val="28"/>
          <w:szCs w:val="28"/>
        </w:rPr>
        <w:t>sottoposti all’autorità del vescovo del luogo.</w:t>
      </w:r>
    </w:p>
    <w:p w14:paraId="4D75EB8E" w14:textId="77777777" w:rsidR="00140247" w:rsidRDefault="00140247" w:rsidP="00484F9B">
      <w:pPr>
        <w:spacing w:after="0" w:line="360" w:lineRule="auto"/>
        <w:ind w:left="680" w:right="340"/>
        <w:jc w:val="both"/>
        <w:rPr>
          <w:rFonts w:ascii="Times New Roman" w:hAnsi="Times New Roman" w:cs="Times New Roman"/>
          <w:sz w:val="28"/>
          <w:szCs w:val="28"/>
        </w:rPr>
      </w:pPr>
      <w:r w:rsidRPr="00D76F5F">
        <w:rPr>
          <w:rFonts w:ascii="Times New Roman" w:hAnsi="Times New Roman" w:cs="Times New Roman"/>
          <w:sz w:val="28"/>
          <w:szCs w:val="28"/>
        </w:rPr>
        <w:t>Nel 1941 Propaganda</w:t>
      </w:r>
      <w:r>
        <w:rPr>
          <w:rFonts w:ascii="Times New Roman" w:hAnsi="Times New Roman" w:cs="Times New Roman"/>
          <w:sz w:val="28"/>
          <w:szCs w:val="28"/>
        </w:rPr>
        <w:t xml:space="preserve"> emanò </w:t>
      </w:r>
      <w:r w:rsidRPr="00D76F5F">
        <w:rPr>
          <w:rFonts w:ascii="Times New Roman" w:hAnsi="Times New Roman" w:cs="Times New Roman"/>
          <w:sz w:val="28"/>
          <w:szCs w:val="28"/>
        </w:rPr>
        <w:t>nuove formule di facoltà che furono approvate da</w:t>
      </w:r>
      <w:r>
        <w:rPr>
          <w:rFonts w:ascii="Times New Roman" w:hAnsi="Times New Roman" w:cs="Times New Roman"/>
          <w:sz w:val="28"/>
          <w:szCs w:val="28"/>
        </w:rPr>
        <w:t xml:space="preserve"> </w:t>
      </w:r>
      <w:r w:rsidRPr="00D76F5F">
        <w:rPr>
          <w:rFonts w:ascii="Times New Roman" w:hAnsi="Times New Roman" w:cs="Times New Roman"/>
          <w:sz w:val="28"/>
          <w:szCs w:val="28"/>
        </w:rPr>
        <w:t>Pio XII il primo gennaio dello stesso anno. Le for</w:t>
      </w:r>
      <w:r>
        <w:rPr>
          <w:rFonts w:ascii="Times New Roman" w:hAnsi="Times New Roman" w:cs="Times New Roman"/>
          <w:sz w:val="28"/>
          <w:szCs w:val="28"/>
        </w:rPr>
        <w:t>mule erano state ridotte a due: l</w:t>
      </w:r>
      <w:r w:rsidRPr="00D76F5F">
        <w:rPr>
          <w:rFonts w:ascii="Times New Roman" w:hAnsi="Times New Roman" w:cs="Times New Roman"/>
          <w:sz w:val="28"/>
          <w:szCs w:val="28"/>
        </w:rPr>
        <w:t>a f</w:t>
      </w:r>
      <w:r>
        <w:rPr>
          <w:rFonts w:ascii="Times New Roman" w:hAnsi="Times New Roman" w:cs="Times New Roman"/>
          <w:sz w:val="28"/>
          <w:szCs w:val="28"/>
        </w:rPr>
        <w:t>ormula maggiore riservata agli o</w:t>
      </w:r>
      <w:r w:rsidRPr="00D76F5F">
        <w:rPr>
          <w:rFonts w:ascii="Times New Roman" w:hAnsi="Times New Roman" w:cs="Times New Roman"/>
          <w:sz w:val="28"/>
          <w:szCs w:val="28"/>
        </w:rPr>
        <w:t>rdinari vescovi e la formula minore destinata</w:t>
      </w:r>
      <w:r>
        <w:rPr>
          <w:rFonts w:ascii="Times New Roman" w:hAnsi="Times New Roman" w:cs="Times New Roman"/>
          <w:sz w:val="28"/>
          <w:szCs w:val="28"/>
        </w:rPr>
        <w:t xml:space="preserve"> </w:t>
      </w:r>
      <w:r w:rsidRPr="00D76F5F">
        <w:rPr>
          <w:rFonts w:ascii="Times New Roman" w:hAnsi="Times New Roman" w:cs="Times New Roman"/>
          <w:sz w:val="28"/>
          <w:szCs w:val="28"/>
        </w:rPr>
        <w:t xml:space="preserve">ai non vescovi. Le formule </w:t>
      </w:r>
      <w:r>
        <w:rPr>
          <w:rFonts w:ascii="Times New Roman" w:hAnsi="Times New Roman" w:cs="Times New Roman"/>
          <w:sz w:val="28"/>
          <w:szCs w:val="28"/>
        </w:rPr>
        <w:t xml:space="preserve">venivano </w:t>
      </w:r>
      <w:r w:rsidRPr="00D76F5F">
        <w:rPr>
          <w:rFonts w:ascii="Times New Roman" w:hAnsi="Times New Roman" w:cs="Times New Roman"/>
          <w:sz w:val="28"/>
          <w:szCs w:val="28"/>
        </w:rPr>
        <w:t xml:space="preserve">concesse </w:t>
      </w:r>
      <w:r w:rsidRPr="00D76F5F">
        <w:rPr>
          <w:rFonts w:ascii="Times New Roman" w:hAnsi="Times New Roman" w:cs="Times New Roman"/>
          <w:i/>
          <w:sz w:val="28"/>
          <w:szCs w:val="28"/>
        </w:rPr>
        <w:t>ad decennium</w:t>
      </w:r>
      <w:r>
        <w:rPr>
          <w:rStyle w:val="Rimandonotaapidipagina"/>
          <w:rFonts w:ascii="Times New Roman" w:hAnsi="Times New Roman" w:cs="Times New Roman"/>
          <w:i/>
          <w:sz w:val="28"/>
          <w:szCs w:val="28"/>
        </w:rPr>
        <w:footnoteReference w:id="542"/>
      </w:r>
      <w:r w:rsidRPr="00D76F5F">
        <w:rPr>
          <w:rFonts w:ascii="Times New Roman" w:hAnsi="Times New Roman" w:cs="Times New Roman"/>
          <w:sz w:val="28"/>
          <w:szCs w:val="28"/>
        </w:rPr>
        <w:t xml:space="preserve">. </w:t>
      </w:r>
    </w:p>
    <w:p w14:paraId="5CF0DE4C" w14:textId="6BCF882E" w:rsidR="00484F9B"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Accanto a tali for</w:t>
      </w:r>
      <w:r w:rsidRPr="00D76F5F">
        <w:rPr>
          <w:rFonts w:ascii="Times New Roman" w:hAnsi="Times New Roman" w:cs="Times New Roman"/>
          <w:sz w:val="28"/>
          <w:szCs w:val="28"/>
        </w:rPr>
        <w:t xml:space="preserve">mule </w:t>
      </w:r>
      <w:r>
        <w:rPr>
          <w:rFonts w:ascii="Times New Roman" w:hAnsi="Times New Roman" w:cs="Times New Roman"/>
          <w:sz w:val="28"/>
          <w:szCs w:val="28"/>
        </w:rPr>
        <w:t>“</w:t>
      </w:r>
      <w:r w:rsidRPr="00D76F5F">
        <w:rPr>
          <w:rFonts w:ascii="Times New Roman" w:hAnsi="Times New Roman" w:cs="Times New Roman"/>
          <w:sz w:val="28"/>
          <w:szCs w:val="28"/>
        </w:rPr>
        <w:t>ordinarie</w:t>
      </w:r>
      <w:r>
        <w:rPr>
          <w:rFonts w:ascii="Times New Roman" w:hAnsi="Times New Roman" w:cs="Times New Roman"/>
          <w:sz w:val="28"/>
          <w:szCs w:val="28"/>
        </w:rPr>
        <w:t>”</w:t>
      </w:r>
      <w:r w:rsidRPr="00D76F5F">
        <w:rPr>
          <w:rFonts w:ascii="Times New Roman" w:hAnsi="Times New Roman" w:cs="Times New Roman"/>
          <w:sz w:val="28"/>
          <w:szCs w:val="28"/>
        </w:rPr>
        <w:t>, divise in maggiori e minori, ap</w:t>
      </w:r>
      <w:r>
        <w:rPr>
          <w:rFonts w:ascii="Times New Roman" w:hAnsi="Times New Roman" w:cs="Times New Roman"/>
          <w:sz w:val="28"/>
          <w:szCs w:val="28"/>
        </w:rPr>
        <w:t>parvero anche le formule “straordi</w:t>
      </w:r>
      <w:r w:rsidRPr="00D76F5F">
        <w:rPr>
          <w:rFonts w:ascii="Times New Roman" w:hAnsi="Times New Roman" w:cs="Times New Roman"/>
          <w:sz w:val="28"/>
          <w:szCs w:val="28"/>
        </w:rPr>
        <w:t>narie”, che erano orientate a risolvere necessità pa</w:t>
      </w:r>
      <w:r>
        <w:rPr>
          <w:rFonts w:ascii="Times New Roman" w:hAnsi="Times New Roman" w:cs="Times New Roman"/>
          <w:sz w:val="28"/>
          <w:szCs w:val="28"/>
        </w:rPr>
        <w:t>rticolari fuori del contesto eu</w:t>
      </w:r>
      <w:r w:rsidRPr="00D76F5F">
        <w:rPr>
          <w:rFonts w:ascii="Times New Roman" w:hAnsi="Times New Roman" w:cs="Times New Roman"/>
          <w:sz w:val="28"/>
          <w:szCs w:val="28"/>
        </w:rPr>
        <w:t>ropeo. Infatti alle soglie del Concilio Vaticano II tutte le facoltà concesse dalla</w:t>
      </w:r>
      <w:r>
        <w:rPr>
          <w:rFonts w:ascii="Times New Roman" w:hAnsi="Times New Roman" w:cs="Times New Roman"/>
          <w:sz w:val="28"/>
          <w:szCs w:val="28"/>
        </w:rPr>
        <w:t xml:space="preserve"> </w:t>
      </w:r>
      <w:r w:rsidRPr="00D76F5F">
        <w:rPr>
          <w:rFonts w:ascii="Times New Roman" w:hAnsi="Times New Roman" w:cs="Times New Roman"/>
          <w:sz w:val="28"/>
          <w:szCs w:val="28"/>
        </w:rPr>
        <w:t>Congregazione di Propaganda Fide</w:t>
      </w:r>
      <w:r>
        <w:rPr>
          <w:rFonts w:ascii="Times New Roman" w:hAnsi="Times New Roman" w:cs="Times New Roman"/>
          <w:sz w:val="28"/>
          <w:szCs w:val="28"/>
        </w:rPr>
        <w:t xml:space="preserve"> </w:t>
      </w:r>
      <w:r w:rsidRPr="00D76F5F">
        <w:rPr>
          <w:rFonts w:ascii="Times New Roman" w:hAnsi="Times New Roman" w:cs="Times New Roman"/>
          <w:sz w:val="28"/>
          <w:szCs w:val="28"/>
        </w:rPr>
        <w:t>furono unificate in un’unica formula, a partire</w:t>
      </w:r>
      <w:r>
        <w:rPr>
          <w:rFonts w:ascii="Times New Roman" w:hAnsi="Times New Roman" w:cs="Times New Roman"/>
          <w:sz w:val="28"/>
          <w:szCs w:val="28"/>
        </w:rPr>
        <w:t xml:space="preserve"> dal 1961</w:t>
      </w:r>
      <w:r w:rsidRPr="00D76F5F">
        <w:rPr>
          <w:rFonts w:ascii="Times New Roman" w:hAnsi="Times New Roman" w:cs="Times New Roman"/>
          <w:sz w:val="28"/>
          <w:szCs w:val="28"/>
        </w:rPr>
        <w:t>. Sulla consistenza giuridica di tali facolt</w:t>
      </w:r>
      <w:r>
        <w:rPr>
          <w:rFonts w:ascii="Times New Roman" w:hAnsi="Times New Roman" w:cs="Times New Roman"/>
          <w:sz w:val="28"/>
          <w:szCs w:val="28"/>
        </w:rPr>
        <w:t>à concesse ai missionari, si de</w:t>
      </w:r>
      <w:r w:rsidRPr="00D76F5F">
        <w:rPr>
          <w:rFonts w:ascii="Times New Roman" w:hAnsi="Times New Roman" w:cs="Times New Roman"/>
          <w:sz w:val="28"/>
          <w:szCs w:val="28"/>
        </w:rPr>
        <w:t>ve ricordare la loro natura, era di tipo giurisdizionale. Tali</w:t>
      </w:r>
      <w:r>
        <w:rPr>
          <w:rFonts w:ascii="Times New Roman" w:hAnsi="Times New Roman" w:cs="Times New Roman"/>
          <w:sz w:val="28"/>
          <w:szCs w:val="28"/>
        </w:rPr>
        <w:t xml:space="preserve"> </w:t>
      </w:r>
      <w:r w:rsidRPr="00D76F5F">
        <w:rPr>
          <w:rFonts w:ascii="Times New Roman" w:hAnsi="Times New Roman" w:cs="Times New Roman"/>
          <w:sz w:val="28"/>
          <w:szCs w:val="28"/>
        </w:rPr>
        <w:t>facoltà ricadevano nell</w:t>
      </w:r>
      <w:r>
        <w:rPr>
          <w:rFonts w:ascii="Times New Roman" w:hAnsi="Times New Roman" w:cs="Times New Roman"/>
          <w:sz w:val="28"/>
          <w:szCs w:val="28"/>
        </w:rPr>
        <w:t>a disciplina prevista dal can.</w:t>
      </w:r>
      <w:r w:rsidRPr="00D76F5F">
        <w:rPr>
          <w:rFonts w:ascii="Times New Roman" w:hAnsi="Times New Roman" w:cs="Times New Roman"/>
          <w:sz w:val="28"/>
          <w:szCs w:val="28"/>
        </w:rPr>
        <w:t xml:space="preserve"> 66 CIC 1917</w:t>
      </w:r>
      <w:r>
        <w:rPr>
          <w:rStyle w:val="Rimandonotaapidipagina"/>
          <w:rFonts w:ascii="Times New Roman" w:hAnsi="Times New Roman" w:cs="Times New Roman"/>
          <w:sz w:val="28"/>
          <w:szCs w:val="28"/>
        </w:rPr>
        <w:footnoteReference w:id="543"/>
      </w:r>
      <w:r w:rsidRPr="00D76F5F">
        <w:rPr>
          <w:rFonts w:ascii="Times New Roman" w:hAnsi="Times New Roman" w:cs="Times New Roman"/>
          <w:sz w:val="28"/>
          <w:szCs w:val="28"/>
        </w:rPr>
        <w:t>.</w:t>
      </w:r>
    </w:p>
    <w:p w14:paraId="13A84858" w14:textId="77777777" w:rsidR="00484F9B" w:rsidRDefault="00484F9B" w:rsidP="00484F9B">
      <w:pPr>
        <w:spacing w:after="0" w:line="360" w:lineRule="auto"/>
        <w:ind w:left="680" w:right="340"/>
        <w:jc w:val="both"/>
        <w:rPr>
          <w:rFonts w:ascii="Times New Roman" w:hAnsi="Times New Roman" w:cs="Times New Roman"/>
          <w:sz w:val="28"/>
          <w:szCs w:val="28"/>
        </w:rPr>
      </w:pPr>
    </w:p>
    <w:p w14:paraId="21C3C21F" w14:textId="754BC445" w:rsidR="00140247" w:rsidRDefault="00484F9B"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3.1.2 </w:t>
      </w:r>
      <w:r w:rsidR="00140247" w:rsidRPr="00484F9B">
        <w:rPr>
          <w:rFonts w:ascii="Times New Roman" w:hAnsi="Times New Roman" w:cs="Times New Roman"/>
          <w:i/>
          <w:sz w:val="28"/>
          <w:szCs w:val="28"/>
        </w:rPr>
        <w:t>Privilegi di cui godevano gli organi dipendenti da Propaganda Fide</w:t>
      </w:r>
    </w:p>
    <w:p w14:paraId="76B5717E" w14:textId="77777777" w:rsidR="00484F9B" w:rsidRPr="00484F9B" w:rsidRDefault="00484F9B" w:rsidP="00484F9B">
      <w:pPr>
        <w:spacing w:after="0" w:line="360" w:lineRule="auto"/>
        <w:ind w:left="680" w:right="340"/>
        <w:jc w:val="both"/>
        <w:rPr>
          <w:rFonts w:ascii="Times New Roman" w:hAnsi="Times New Roman" w:cs="Times New Roman"/>
          <w:sz w:val="28"/>
          <w:szCs w:val="28"/>
        </w:rPr>
      </w:pPr>
    </w:p>
    <w:p w14:paraId="4F7574A7" w14:textId="77777777" w:rsidR="00140247" w:rsidRPr="007A3FEC" w:rsidRDefault="00140247" w:rsidP="00484F9B">
      <w:pPr>
        <w:spacing w:after="0" w:line="360" w:lineRule="auto"/>
        <w:ind w:left="680" w:right="340"/>
        <w:jc w:val="both"/>
        <w:rPr>
          <w:rFonts w:ascii="Times New Roman" w:hAnsi="Times New Roman" w:cs="Times New Roman"/>
          <w:sz w:val="28"/>
          <w:szCs w:val="28"/>
        </w:rPr>
      </w:pPr>
      <w:r w:rsidRPr="007A3FEC">
        <w:rPr>
          <w:rFonts w:ascii="Times New Roman" w:hAnsi="Times New Roman" w:cs="Times New Roman"/>
          <w:sz w:val="28"/>
          <w:szCs w:val="28"/>
        </w:rPr>
        <w:t>Nel 1921 Propaganda decise di concedere ai singoli sacerdoti che erano a capo o che erano in procinto di essere posti a capo della Pia Unione del Clero un privilegio spirituale, che si concretizzava nella possibilità di recitare le preghiere del mattino a mezzogiorno, purché avessero già adempiuto ai doveri</w:t>
      </w:r>
      <w:r>
        <w:rPr>
          <w:rFonts w:ascii="Times New Roman" w:hAnsi="Times New Roman" w:cs="Times New Roman"/>
          <w:sz w:val="28"/>
          <w:szCs w:val="28"/>
        </w:rPr>
        <w:t xml:space="preserve"> giornalieri</w:t>
      </w:r>
      <w:r>
        <w:rPr>
          <w:rStyle w:val="Rimandonotaapidipagina"/>
          <w:rFonts w:ascii="Times New Roman" w:hAnsi="Times New Roman" w:cs="Times New Roman"/>
          <w:sz w:val="28"/>
          <w:szCs w:val="28"/>
        </w:rPr>
        <w:footnoteReference w:id="544"/>
      </w:r>
      <w:r w:rsidRPr="007A3FEC">
        <w:rPr>
          <w:rFonts w:ascii="Times New Roman" w:hAnsi="Times New Roman" w:cs="Times New Roman"/>
          <w:sz w:val="28"/>
          <w:szCs w:val="28"/>
        </w:rPr>
        <w:t>.</w:t>
      </w:r>
      <w:r>
        <w:rPr>
          <w:rFonts w:ascii="Times New Roman" w:hAnsi="Times New Roman" w:cs="Times New Roman"/>
          <w:sz w:val="28"/>
          <w:szCs w:val="28"/>
        </w:rPr>
        <w:t xml:space="preserve"> Successivamente nel 1937 Propaganda aggiunse altri privilegi, attraverso un indulto, per i membri della Pia Unione del clero e tra questi rientravano: l’amministrazione del sacramento della confessione e la </w:t>
      </w:r>
      <w:r>
        <w:rPr>
          <w:rFonts w:ascii="Times New Roman" w:hAnsi="Times New Roman" w:cs="Times New Roman"/>
          <w:sz w:val="28"/>
          <w:szCs w:val="28"/>
        </w:rPr>
        <w:lastRenderedPageBreak/>
        <w:t>possibilità</w:t>
      </w:r>
      <w:r w:rsidRPr="00F44CAB">
        <w:rPr>
          <w:rFonts w:ascii="Times New Roman" w:hAnsi="Times New Roman" w:cs="Times New Roman"/>
          <w:sz w:val="28"/>
          <w:szCs w:val="28"/>
        </w:rPr>
        <w:t xml:space="preserve"> </w:t>
      </w:r>
      <w:r>
        <w:rPr>
          <w:rFonts w:ascii="Times New Roman" w:hAnsi="Times New Roman" w:cs="Times New Roman"/>
          <w:sz w:val="28"/>
          <w:szCs w:val="28"/>
        </w:rPr>
        <w:t>di benedire corone, rosari, statue e crocifissi, fuori città, solo con il segno della croce</w:t>
      </w:r>
      <w:r>
        <w:rPr>
          <w:rStyle w:val="Rimandonotaapidipagina"/>
          <w:rFonts w:ascii="Times New Roman" w:hAnsi="Times New Roman" w:cs="Times New Roman"/>
          <w:sz w:val="28"/>
          <w:szCs w:val="28"/>
        </w:rPr>
        <w:footnoteReference w:id="545"/>
      </w:r>
      <w:r>
        <w:rPr>
          <w:rFonts w:ascii="Times New Roman" w:hAnsi="Times New Roman" w:cs="Times New Roman"/>
          <w:sz w:val="28"/>
          <w:szCs w:val="28"/>
        </w:rPr>
        <w:t>.</w:t>
      </w:r>
    </w:p>
    <w:p w14:paraId="4F3B9C92"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Qualche anno dopo Propaganda nel 1927 consentì a gruppi di religiosi poveri di iscriversi all’Opera di propagazione della fede, godendo di facoltà ed indulgenze, purché questi contribuissero economicamente, attraverso donazioni,</w:t>
      </w:r>
      <w:r w:rsidRPr="00F44CAB">
        <w:rPr>
          <w:rFonts w:ascii="Times New Roman" w:hAnsi="Times New Roman" w:cs="Times New Roman"/>
          <w:sz w:val="28"/>
          <w:szCs w:val="28"/>
        </w:rPr>
        <w:t xml:space="preserve"> </w:t>
      </w:r>
      <w:r>
        <w:rPr>
          <w:rFonts w:ascii="Times New Roman" w:hAnsi="Times New Roman" w:cs="Times New Roman"/>
          <w:sz w:val="28"/>
          <w:szCs w:val="28"/>
        </w:rPr>
        <w:t>fondamentali per le missioni, nei limiti delle loro possibilità</w:t>
      </w:r>
      <w:r>
        <w:rPr>
          <w:rStyle w:val="Rimandonotaapidipagina"/>
          <w:rFonts w:ascii="Times New Roman" w:hAnsi="Times New Roman" w:cs="Times New Roman"/>
          <w:sz w:val="28"/>
          <w:szCs w:val="28"/>
        </w:rPr>
        <w:footnoteReference w:id="546"/>
      </w:r>
      <w:r>
        <w:rPr>
          <w:rFonts w:ascii="Times New Roman" w:hAnsi="Times New Roman" w:cs="Times New Roman"/>
          <w:sz w:val="28"/>
          <w:szCs w:val="28"/>
        </w:rPr>
        <w:t xml:space="preserve">. </w:t>
      </w:r>
    </w:p>
    <w:p w14:paraId="3AE2F197" w14:textId="77777777" w:rsidR="00B3403A"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Nel 1935 Propaganda concesse agli alunni del Collegio Urbano delle facoltà con valenza quinquennale ossia: la possibilità d</w:t>
      </w:r>
      <w:r w:rsidRPr="00D25670">
        <w:rPr>
          <w:rFonts w:ascii="Times New Roman" w:hAnsi="Times New Roman" w:cs="Times New Roman"/>
          <w:sz w:val="28"/>
          <w:szCs w:val="28"/>
        </w:rPr>
        <w:t xml:space="preserve">i recitare quindici decadi del rosario, </w:t>
      </w:r>
      <w:r>
        <w:rPr>
          <w:rFonts w:ascii="Times New Roman" w:hAnsi="Times New Roman" w:cs="Times New Roman"/>
          <w:sz w:val="28"/>
          <w:szCs w:val="28"/>
        </w:rPr>
        <w:t xml:space="preserve">in caso di viaggio </w:t>
      </w:r>
      <w:r w:rsidRPr="00D25670">
        <w:rPr>
          <w:rFonts w:ascii="Times New Roman" w:hAnsi="Times New Roman" w:cs="Times New Roman"/>
          <w:sz w:val="28"/>
          <w:szCs w:val="28"/>
        </w:rPr>
        <w:t xml:space="preserve">o </w:t>
      </w:r>
      <w:r>
        <w:rPr>
          <w:rFonts w:ascii="Times New Roman" w:hAnsi="Times New Roman" w:cs="Times New Roman"/>
          <w:sz w:val="28"/>
          <w:szCs w:val="28"/>
        </w:rPr>
        <w:t xml:space="preserve">se </w:t>
      </w:r>
      <w:r w:rsidRPr="00D25670">
        <w:rPr>
          <w:rFonts w:ascii="Times New Roman" w:hAnsi="Times New Roman" w:cs="Times New Roman"/>
          <w:sz w:val="28"/>
          <w:szCs w:val="28"/>
        </w:rPr>
        <w:t>pe</w:t>
      </w:r>
      <w:r>
        <w:rPr>
          <w:rFonts w:ascii="Times New Roman" w:hAnsi="Times New Roman" w:cs="Times New Roman"/>
          <w:sz w:val="28"/>
          <w:szCs w:val="28"/>
        </w:rPr>
        <w:t xml:space="preserve">r qualche altro motivo, non si trovavano nella condizione di poter assolvere il dovere divino, la possibilità di </w:t>
      </w:r>
      <w:r w:rsidRPr="00D25670">
        <w:rPr>
          <w:rFonts w:ascii="Times New Roman" w:hAnsi="Times New Roman" w:cs="Times New Roman"/>
          <w:sz w:val="28"/>
          <w:szCs w:val="28"/>
        </w:rPr>
        <w:t>celebrare la messa s</w:t>
      </w:r>
      <w:r>
        <w:rPr>
          <w:rFonts w:ascii="Times New Roman" w:hAnsi="Times New Roman" w:cs="Times New Roman"/>
          <w:sz w:val="28"/>
          <w:szCs w:val="28"/>
        </w:rPr>
        <w:t>u un altare portatile durante un</w:t>
      </w:r>
      <w:r w:rsidRPr="00D25670">
        <w:rPr>
          <w:rFonts w:ascii="Times New Roman" w:hAnsi="Times New Roman" w:cs="Times New Roman"/>
          <w:sz w:val="28"/>
          <w:szCs w:val="28"/>
        </w:rPr>
        <w:t xml:space="preserve"> viaggio per mare con l'assistenza, </w:t>
      </w:r>
      <w:r>
        <w:rPr>
          <w:rFonts w:ascii="Times New Roman" w:hAnsi="Times New Roman" w:cs="Times New Roman"/>
          <w:sz w:val="28"/>
          <w:szCs w:val="28"/>
        </w:rPr>
        <w:t xml:space="preserve">di un altro sacerdote e il diritto di </w:t>
      </w:r>
      <w:r w:rsidRPr="00D25670">
        <w:rPr>
          <w:rFonts w:ascii="Times New Roman" w:hAnsi="Times New Roman" w:cs="Times New Roman"/>
          <w:sz w:val="28"/>
          <w:szCs w:val="28"/>
        </w:rPr>
        <w:t>benedire fuori città</w:t>
      </w:r>
      <w:r>
        <w:rPr>
          <w:rFonts w:ascii="Times New Roman" w:hAnsi="Times New Roman" w:cs="Times New Roman"/>
          <w:sz w:val="28"/>
          <w:szCs w:val="28"/>
        </w:rPr>
        <w:t xml:space="preserve"> solo con il segno della croce</w:t>
      </w:r>
      <w:r>
        <w:rPr>
          <w:rStyle w:val="Rimandonotaapidipagina"/>
          <w:rFonts w:ascii="Times New Roman" w:hAnsi="Times New Roman" w:cs="Times New Roman"/>
          <w:sz w:val="28"/>
          <w:szCs w:val="28"/>
        </w:rPr>
        <w:footnoteReference w:id="547"/>
      </w:r>
      <w:r w:rsidR="00B3403A">
        <w:rPr>
          <w:rFonts w:ascii="Times New Roman" w:hAnsi="Times New Roman" w:cs="Times New Roman"/>
          <w:sz w:val="28"/>
          <w:szCs w:val="28"/>
        </w:rPr>
        <w:t>.</w:t>
      </w:r>
    </w:p>
    <w:p w14:paraId="53261F1E" w14:textId="77777777" w:rsidR="00B3403A" w:rsidRDefault="00B3403A" w:rsidP="00484F9B">
      <w:pPr>
        <w:spacing w:after="0" w:line="360" w:lineRule="auto"/>
        <w:ind w:left="680" w:right="340"/>
        <w:jc w:val="both"/>
        <w:rPr>
          <w:rFonts w:ascii="Times New Roman" w:hAnsi="Times New Roman" w:cs="Times New Roman"/>
          <w:sz w:val="28"/>
          <w:szCs w:val="28"/>
        </w:rPr>
      </w:pPr>
    </w:p>
    <w:p w14:paraId="7884AEFE" w14:textId="77777777" w:rsidR="00B3403A" w:rsidRDefault="00B3403A" w:rsidP="00484F9B">
      <w:pPr>
        <w:spacing w:after="0" w:line="360" w:lineRule="auto"/>
        <w:ind w:left="680" w:right="340"/>
        <w:jc w:val="both"/>
        <w:rPr>
          <w:rFonts w:ascii="Times New Roman" w:hAnsi="Times New Roman" w:cs="Times New Roman"/>
          <w:sz w:val="28"/>
          <w:szCs w:val="28"/>
        </w:rPr>
      </w:pPr>
    </w:p>
    <w:p w14:paraId="153A3219" w14:textId="77777777" w:rsidR="00B3403A" w:rsidRDefault="00B3403A" w:rsidP="00484F9B">
      <w:pPr>
        <w:spacing w:after="0" w:line="360" w:lineRule="auto"/>
        <w:ind w:left="680" w:right="340"/>
        <w:jc w:val="both"/>
        <w:rPr>
          <w:rFonts w:ascii="Times New Roman" w:hAnsi="Times New Roman" w:cs="Times New Roman"/>
          <w:sz w:val="28"/>
          <w:szCs w:val="28"/>
        </w:rPr>
      </w:pPr>
    </w:p>
    <w:p w14:paraId="74A0AB3E" w14:textId="605783C3" w:rsidR="00140247" w:rsidRDefault="00B3403A" w:rsidP="00484F9B">
      <w:pPr>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t xml:space="preserve">3.1.3 </w:t>
      </w:r>
      <w:r w:rsidR="00140247" w:rsidRPr="00484F9B">
        <w:rPr>
          <w:rFonts w:ascii="Times New Roman" w:hAnsi="Times New Roman" w:cs="Times New Roman"/>
          <w:i/>
          <w:sz w:val="28"/>
          <w:szCs w:val="28"/>
        </w:rPr>
        <w:t>Privilegi concessi alle società che vivevano in comune senza voti</w:t>
      </w:r>
    </w:p>
    <w:p w14:paraId="1866A782" w14:textId="77777777" w:rsidR="00484F9B" w:rsidRDefault="00484F9B" w:rsidP="00484F9B">
      <w:pPr>
        <w:spacing w:after="0" w:line="360" w:lineRule="auto"/>
        <w:ind w:left="680" w:right="340"/>
        <w:jc w:val="both"/>
        <w:rPr>
          <w:rFonts w:ascii="Times New Roman" w:hAnsi="Times New Roman" w:cs="Times New Roman"/>
          <w:sz w:val="28"/>
          <w:szCs w:val="28"/>
        </w:rPr>
      </w:pPr>
    </w:p>
    <w:p w14:paraId="5BF029E0" w14:textId="77777777" w:rsidR="00140247" w:rsidRPr="00F3387E"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Nel 1923 Propaganda concesse ad una </w:t>
      </w:r>
      <w:r w:rsidRPr="007F5EC7">
        <w:rPr>
          <w:rFonts w:ascii="Times New Roman" w:hAnsi="Times New Roman" w:cs="Times New Roman"/>
          <w:sz w:val="28"/>
          <w:szCs w:val="28"/>
        </w:rPr>
        <w:t>società che vive</w:t>
      </w:r>
      <w:r>
        <w:rPr>
          <w:rFonts w:ascii="Times New Roman" w:hAnsi="Times New Roman" w:cs="Times New Roman"/>
          <w:sz w:val="28"/>
          <w:szCs w:val="28"/>
        </w:rPr>
        <w:t>va</w:t>
      </w:r>
      <w:r w:rsidRPr="007F5EC7">
        <w:rPr>
          <w:rFonts w:ascii="Times New Roman" w:hAnsi="Times New Roman" w:cs="Times New Roman"/>
          <w:sz w:val="28"/>
          <w:szCs w:val="28"/>
        </w:rPr>
        <w:t xml:space="preserve"> in comune senza voti</w:t>
      </w:r>
      <w:r>
        <w:rPr>
          <w:rFonts w:ascii="Times New Roman" w:hAnsi="Times New Roman" w:cs="Times New Roman"/>
          <w:sz w:val="28"/>
          <w:szCs w:val="28"/>
        </w:rPr>
        <w:t>, di</w:t>
      </w:r>
      <w:r w:rsidRPr="007F5EC7">
        <w:rPr>
          <w:rFonts w:ascii="Times New Roman" w:hAnsi="Times New Roman" w:cs="Times New Roman"/>
          <w:sz w:val="28"/>
          <w:szCs w:val="28"/>
        </w:rPr>
        <w:t xml:space="preserve"> incardinare i membri della </w:t>
      </w:r>
      <w:r>
        <w:rPr>
          <w:rFonts w:ascii="Times New Roman" w:hAnsi="Times New Roman" w:cs="Times New Roman"/>
          <w:sz w:val="28"/>
          <w:szCs w:val="28"/>
        </w:rPr>
        <w:t xml:space="preserve">medesima </w:t>
      </w:r>
      <w:r w:rsidRPr="007F5EC7">
        <w:rPr>
          <w:rFonts w:ascii="Times New Roman" w:hAnsi="Times New Roman" w:cs="Times New Roman"/>
          <w:sz w:val="28"/>
          <w:szCs w:val="28"/>
        </w:rPr>
        <w:t xml:space="preserve">per promuoverli agli ordini sacri </w:t>
      </w:r>
      <w:r>
        <w:rPr>
          <w:rFonts w:ascii="Times New Roman" w:hAnsi="Times New Roman" w:cs="Times New Roman"/>
          <w:sz w:val="28"/>
          <w:szCs w:val="28"/>
        </w:rPr>
        <w:t xml:space="preserve"> o mandarli in missione attraverso: o giuramento, che era corrispondente all’incardinazione, oppure con lettera di testimonianza del rettore dello stesso seminario</w:t>
      </w:r>
      <w:r>
        <w:rPr>
          <w:rStyle w:val="Rimandonotaapidipagina"/>
          <w:rFonts w:ascii="Times New Roman" w:hAnsi="Times New Roman" w:cs="Times New Roman"/>
          <w:sz w:val="28"/>
          <w:szCs w:val="28"/>
        </w:rPr>
        <w:footnoteReference w:id="548"/>
      </w:r>
      <w:r>
        <w:rPr>
          <w:rFonts w:ascii="Times New Roman" w:hAnsi="Times New Roman" w:cs="Times New Roman"/>
          <w:sz w:val="28"/>
          <w:szCs w:val="28"/>
        </w:rPr>
        <w:t>. Si trattava di un privilegio limitato nel tempo, poiché la sua durata corrispondeva alla durata dell’eventuale  seminario</w:t>
      </w:r>
      <w:r>
        <w:rPr>
          <w:rStyle w:val="Rimandonotaapidipagina"/>
          <w:rFonts w:ascii="Times New Roman" w:hAnsi="Times New Roman" w:cs="Times New Roman"/>
          <w:sz w:val="28"/>
          <w:szCs w:val="28"/>
        </w:rPr>
        <w:footnoteReference w:id="549"/>
      </w:r>
      <w:r>
        <w:rPr>
          <w:rFonts w:ascii="Times New Roman" w:hAnsi="Times New Roman" w:cs="Times New Roman"/>
          <w:sz w:val="28"/>
          <w:szCs w:val="28"/>
        </w:rPr>
        <w:t>. G</w:t>
      </w:r>
      <w:r w:rsidRPr="00F3387E">
        <w:rPr>
          <w:rFonts w:ascii="Times New Roman" w:hAnsi="Times New Roman" w:cs="Times New Roman"/>
          <w:sz w:val="28"/>
          <w:szCs w:val="28"/>
        </w:rPr>
        <w:t xml:space="preserve">li studenti </w:t>
      </w:r>
      <w:r w:rsidRPr="00F3387E">
        <w:rPr>
          <w:rFonts w:ascii="Times New Roman" w:hAnsi="Times New Roman" w:cs="Times New Roman"/>
          <w:sz w:val="28"/>
          <w:szCs w:val="28"/>
        </w:rPr>
        <w:lastRenderedPageBreak/>
        <w:t>vincolati dal giuramen</w:t>
      </w:r>
      <w:r>
        <w:rPr>
          <w:rFonts w:ascii="Times New Roman" w:hAnsi="Times New Roman" w:cs="Times New Roman"/>
          <w:sz w:val="28"/>
          <w:szCs w:val="28"/>
        </w:rPr>
        <w:t>to di associazione alla società ricevevano</w:t>
      </w:r>
      <w:r w:rsidRPr="00F3387E">
        <w:rPr>
          <w:rFonts w:ascii="Times New Roman" w:hAnsi="Times New Roman" w:cs="Times New Roman"/>
          <w:sz w:val="28"/>
          <w:szCs w:val="28"/>
        </w:rPr>
        <w:t xml:space="preserve"> il titolo d</w:t>
      </w:r>
      <w:r>
        <w:rPr>
          <w:rFonts w:ascii="Times New Roman" w:hAnsi="Times New Roman" w:cs="Times New Roman"/>
          <w:sz w:val="28"/>
          <w:szCs w:val="28"/>
        </w:rPr>
        <w:t>i</w:t>
      </w:r>
      <w:r w:rsidRPr="00F3387E">
        <w:rPr>
          <w:rFonts w:ascii="Times New Roman" w:hAnsi="Times New Roman" w:cs="Times New Roman"/>
          <w:sz w:val="28"/>
          <w:szCs w:val="28"/>
        </w:rPr>
        <w:t xml:space="preserve"> </w:t>
      </w:r>
      <w:r w:rsidRPr="00553ACA">
        <w:rPr>
          <w:rFonts w:ascii="Times New Roman" w:hAnsi="Times New Roman" w:cs="Times New Roman"/>
          <w:i/>
          <w:sz w:val="28"/>
          <w:szCs w:val="28"/>
        </w:rPr>
        <w:t>mensae communis</w:t>
      </w:r>
      <w:r>
        <w:rPr>
          <w:rStyle w:val="Rimandonotaapidipagina"/>
          <w:rFonts w:ascii="Times New Roman" w:hAnsi="Times New Roman" w:cs="Times New Roman"/>
          <w:sz w:val="28"/>
          <w:szCs w:val="28"/>
        </w:rPr>
        <w:footnoteReference w:id="550"/>
      </w:r>
      <w:r w:rsidRPr="00F3387E">
        <w:rPr>
          <w:rFonts w:ascii="Times New Roman" w:hAnsi="Times New Roman" w:cs="Times New Roman"/>
          <w:sz w:val="28"/>
          <w:szCs w:val="28"/>
        </w:rPr>
        <w:t>.</w:t>
      </w:r>
    </w:p>
    <w:p w14:paraId="712B0D75" w14:textId="77777777" w:rsidR="00140247" w:rsidRDefault="00140247" w:rsidP="00484F9B">
      <w:pPr>
        <w:spacing w:after="0" w:line="360" w:lineRule="auto"/>
        <w:ind w:left="680" w:right="340"/>
        <w:jc w:val="both"/>
        <w:rPr>
          <w:rFonts w:ascii="Times New Roman" w:hAnsi="Times New Roman" w:cs="Times New Roman"/>
          <w:sz w:val="28"/>
          <w:szCs w:val="28"/>
        </w:rPr>
      </w:pPr>
      <w:r w:rsidRPr="00F3387E">
        <w:rPr>
          <w:rFonts w:ascii="Times New Roman" w:hAnsi="Times New Roman" w:cs="Times New Roman"/>
          <w:sz w:val="28"/>
          <w:szCs w:val="28"/>
        </w:rPr>
        <w:t xml:space="preserve">Poiché il giuramento di associazione </w:t>
      </w:r>
      <w:r>
        <w:rPr>
          <w:rFonts w:ascii="Times New Roman" w:hAnsi="Times New Roman" w:cs="Times New Roman"/>
          <w:sz w:val="28"/>
          <w:szCs w:val="28"/>
        </w:rPr>
        <w:t xml:space="preserve">aveva valore </w:t>
      </w:r>
      <w:r w:rsidRPr="00F3387E">
        <w:rPr>
          <w:rFonts w:ascii="Times New Roman" w:hAnsi="Times New Roman" w:cs="Times New Roman"/>
          <w:sz w:val="28"/>
          <w:szCs w:val="28"/>
        </w:rPr>
        <w:t xml:space="preserve">di incardinazione </w:t>
      </w:r>
      <w:r>
        <w:rPr>
          <w:rFonts w:ascii="Times New Roman" w:hAnsi="Times New Roman" w:cs="Times New Roman"/>
          <w:sz w:val="28"/>
          <w:szCs w:val="28"/>
        </w:rPr>
        <w:t>canonica nella società, ne conseguiva</w:t>
      </w:r>
      <w:r w:rsidRPr="00F3387E">
        <w:rPr>
          <w:rFonts w:ascii="Times New Roman" w:hAnsi="Times New Roman" w:cs="Times New Roman"/>
          <w:sz w:val="28"/>
          <w:szCs w:val="28"/>
        </w:rPr>
        <w:t xml:space="preserve"> necessa</w:t>
      </w:r>
      <w:r>
        <w:rPr>
          <w:rFonts w:ascii="Times New Roman" w:hAnsi="Times New Roman" w:cs="Times New Roman"/>
          <w:sz w:val="28"/>
          <w:szCs w:val="28"/>
        </w:rPr>
        <w:t>riamente che i membri, più che al titolo di missione, eran</w:t>
      </w:r>
      <w:r w:rsidRPr="00F3387E">
        <w:rPr>
          <w:rFonts w:ascii="Times New Roman" w:hAnsi="Times New Roman" w:cs="Times New Roman"/>
          <w:sz w:val="28"/>
          <w:szCs w:val="28"/>
        </w:rPr>
        <w:t xml:space="preserve">o promossi agli ordini sacri dal titolo della </w:t>
      </w:r>
      <w:r w:rsidRPr="00553ACA">
        <w:rPr>
          <w:rFonts w:ascii="Times New Roman" w:hAnsi="Times New Roman" w:cs="Times New Roman"/>
          <w:i/>
          <w:sz w:val="28"/>
          <w:szCs w:val="28"/>
        </w:rPr>
        <w:t>mensae communis</w:t>
      </w:r>
      <w:r>
        <w:rPr>
          <w:rStyle w:val="Rimandonotaapidipagina"/>
          <w:rFonts w:ascii="Times New Roman" w:hAnsi="Times New Roman" w:cs="Times New Roman"/>
          <w:i/>
          <w:sz w:val="28"/>
          <w:szCs w:val="28"/>
        </w:rPr>
        <w:footnoteReference w:id="551"/>
      </w:r>
      <w:r>
        <w:rPr>
          <w:rFonts w:ascii="Times New Roman" w:hAnsi="Times New Roman" w:cs="Times New Roman"/>
          <w:sz w:val="28"/>
          <w:szCs w:val="28"/>
        </w:rPr>
        <w:t>.</w:t>
      </w:r>
    </w:p>
    <w:p w14:paraId="53BBAFBD"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Nel 1938 Propaganda concesse al v</w:t>
      </w:r>
      <w:r w:rsidRPr="00310D97">
        <w:rPr>
          <w:rFonts w:ascii="Times New Roman" w:hAnsi="Times New Roman" w:cs="Times New Roman"/>
          <w:sz w:val="28"/>
          <w:szCs w:val="28"/>
        </w:rPr>
        <w:t>icario apostolico ordinario di Batavia</w:t>
      </w:r>
      <w:r>
        <w:rPr>
          <w:rFonts w:ascii="Times New Roman" w:hAnsi="Times New Roman" w:cs="Times New Roman"/>
          <w:sz w:val="28"/>
          <w:szCs w:val="28"/>
        </w:rPr>
        <w:t>, che teneva un seminario nello stesso territorio di</w:t>
      </w:r>
      <w:r w:rsidRPr="00310D97">
        <w:rPr>
          <w:rFonts w:ascii="Times New Roman" w:hAnsi="Times New Roman" w:cs="Times New Roman"/>
          <w:sz w:val="28"/>
          <w:szCs w:val="28"/>
        </w:rPr>
        <w:t xml:space="preserve"> trattenere in seminario i figli di</w:t>
      </w:r>
      <w:r>
        <w:rPr>
          <w:rFonts w:ascii="Times New Roman" w:hAnsi="Times New Roman" w:cs="Times New Roman"/>
          <w:sz w:val="28"/>
          <w:szCs w:val="28"/>
        </w:rPr>
        <w:t xml:space="preserve"> maomettani o anche di gentili e</w:t>
      </w:r>
      <w:r w:rsidRPr="00310D97">
        <w:rPr>
          <w:rFonts w:ascii="Times New Roman" w:hAnsi="Times New Roman" w:cs="Times New Roman"/>
          <w:sz w:val="28"/>
          <w:szCs w:val="28"/>
        </w:rPr>
        <w:t xml:space="preserve"> di accoglierli, senza nessuna ulteriore indagine sulla loro nascita,</w:t>
      </w:r>
      <w:r>
        <w:rPr>
          <w:rFonts w:ascii="Times New Roman" w:hAnsi="Times New Roman" w:cs="Times New Roman"/>
          <w:sz w:val="28"/>
          <w:szCs w:val="28"/>
        </w:rPr>
        <w:t xml:space="preserve"> poiché si trattava di giovani provenienti da paesi molto lontani, che spesso non sapevano nulla sulla validità o meno del matrimonio dei loro genitori, oppure sulle modalità con cui venivano battezzati</w:t>
      </w:r>
      <w:r>
        <w:rPr>
          <w:rStyle w:val="Rimandonotaapidipagina"/>
          <w:rFonts w:ascii="Times New Roman" w:hAnsi="Times New Roman" w:cs="Times New Roman"/>
          <w:sz w:val="28"/>
          <w:szCs w:val="28"/>
        </w:rPr>
        <w:footnoteReference w:id="552"/>
      </w:r>
      <w:r>
        <w:rPr>
          <w:rFonts w:ascii="Times New Roman" w:hAnsi="Times New Roman" w:cs="Times New Roman"/>
          <w:sz w:val="28"/>
          <w:szCs w:val="28"/>
        </w:rPr>
        <w:t>. Nel 1951 Propaganda chiarì i dubbi sulla durata dell’anno di prova o di noviziato nelle società che vivevano in comune e senza voti. Difatti Propaganda chiarì come questo anno di prova potesse essere ridotto anche a 345 giorni da parte del superiore, in caso di specifici impedimenti e che il novizio poteva trasferirsi in un’altra casa, senza interrompere il noviziato</w:t>
      </w:r>
      <w:r>
        <w:rPr>
          <w:rStyle w:val="Rimandonotaapidipagina"/>
          <w:rFonts w:ascii="Times New Roman" w:hAnsi="Times New Roman" w:cs="Times New Roman"/>
          <w:sz w:val="28"/>
          <w:szCs w:val="28"/>
        </w:rPr>
        <w:footnoteReference w:id="553"/>
      </w:r>
      <w:r>
        <w:rPr>
          <w:rFonts w:ascii="Times New Roman" w:hAnsi="Times New Roman" w:cs="Times New Roman"/>
          <w:sz w:val="28"/>
          <w:szCs w:val="28"/>
        </w:rPr>
        <w:t xml:space="preserve">. </w:t>
      </w:r>
    </w:p>
    <w:p w14:paraId="79BAD48C" w14:textId="77777777" w:rsidR="00140247" w:rsidRPr="00A91D7B" w:rsidRDefault="00140247" w:rsidP="00484F9B">
      <w:pPr>
        <w:spacing w:after="0" w:line="360" w:lineRule="auto"/>
        <w:ind w:left="680" w:right="340"/>
        <w:jc w:val="both"/>
        <w:rPr>
          <w:rFonts w:ascii="Times New Roman" w:hAnsi="Times New Roman" w:cs="Times New Roman"/>
          <w:sz w:val="28"/>
          <w:szCs w:val="28"/>
        </w:rPr>
      </w:pPr>
      <w:r w:rsidRPr="00A91D7B">
        <w:rPr>
          <w:rFonts w:ascii="Times New Roman" w:hAnsi="Times New Roman" w:cs="Times New Roman"/>
          <w:sz w:val="28"/>
          <w:szCs w:val="28"/>
        </w:rPr>
        <w:t>Ma si doveva rispettare quanto previsto dal can.</w:t>
      </w:r>
      <w:r>
        <w:rPr>
          <w:rFonts w:ascii="Times New Roman" w:hAnsi="Times New Roman" w:cs="Times New Roman"/>
          <w:sz w:val="28"/>
          <w:szCs w:val="28"/>
        </w:rPr>
        <w:t xml:space="preserve"> </w:t>
      </w:r>
      <w:r w:rsidRPr="00A91D7B">
        <w:rPr>
          <w:rFonts w:ascii="Times New Roman" w:hAnsi="Times New Roman" w:cs="Times New Roman"/>
          <w:sz w:val="28"/>
          <w:szCs w:val="28"/>
        </w:rPr>
        <w:t>556 CIC</w:t>
      </w:r>
      <w:r>
        <w:rPr>
          <w:rFonts w:ascii="Times New Roman" w:hAnsi="Times New Roman" w:cs="Times New Roman"/>
          <w:sz w:val="28"/>
          <w:szCs w:val="28"/>
        </w:rPr>
        <w:t>,</w:t>
      </w:r>
      <w:r w:rsidRPr="00A91D7B">
        <w:rPr>
          <w:rFonts w:ascii="Times New Roman" w:hAnsi="Times New Roman" w:cs="Times New Roman"/>
          <w:sz w:val="28"/>
          <w:szCs w:val="28"/>
        </w:rPr>
        <w:t xml:space="preserve"> ossia il noviziato si doveva interrompere e ricominciare se il novizio si fosse dimesso, uscendo dalla casa o abbandonandola per oltre 30 giorni</w:t>
      </w:r>
      <w:r>
        <w:rPr>
          <w:rStyle w:val="Rimandonotaapidipagina"/>
          <w:rFonts w:ascii="Times New Roman" w:hAnsi="Times New Roman" w:cs="Times New Roman"/>
          <w:sz w:val="28"/>
          <w:szCs w:val="28"/>
        </w:rPr>
        <w:footnoteReference w:id="554"/>
      </w:r>
      <w:r w:rsidRPr="00A91D7B">
        <w:rPr>
          <w:rFonts w:ascii="Times New Roman" w:hAnsi="Times New Roman" w:cs="Times New Roman"/>
          <w:sz w:val="28"/>
          <w:szCs w:val="28"/>
        </w:rPr>
        <w:t>. Se invece si fosse allontanato legittimamente per più di quindici, ma meno di trenta giorni, si doveva esigere il</w:t>
      </w:r>
      <w:r>
        <w:rPr>
          <w:rFonts w:ascii="Times New Roman" w:hAnsi="Times New Roman" w:cs="Times New Roman"/>
          <w:sz w:val="28"/>
          <w:szCs w:val="28"/>
        </w:rPr>
        <w:t xml:space="preserve"> pagamento di un</w:t>
      </w:r>
      <w:r w:rsidRPr="00A91D7B">
        <w:rPr>
          <w:rFonts w:ascii="Times New Roman" w:hAnsi="Times New Roman" w:cs="Times New Roman"/>
          <w:sz w:val="28"/>
          <w:szCs w:val="28"/>
        </w:rPr>
        <w:t xml:space="preserve"> supplemento. Non era permesso vivere fuori il recinto del noviziato, se non per grave e giusta causa</w:t>
      </w:r>
      <w:r>
        <w:rPr>
          <w:rFonts w:ascii="Times New Roman" w:hAnsi="Times New Roman" w:cs="Times New Roman"/>
          <w:sz w:val="28"/>
          <w:szCs w:val="28"/>
        </w:rPr>
        <w:t>.</w:t>
      </w:r>
    </w:p>
    <w:p w14:paraId="3187476C" w14:textId="77777777" w:rsidR="00140247" w:rsidRPr="00A91D7B" w:rsidRDefault="00140247" w:rsidP="00484F9B">
      <w:pPr>
        <w:spacing w:after="0" w:line="360" w:lineRule="auto"/>
        <w:ind w:left="680" w:right="340"/>
        <w:jc w:val="both"/>
        <w:rPr>
          <w:rFonts w:ascii="Times New Roman" w:hAnsi="Times New Roman" w:cs="Times New Roman"/>
          <w:sz w:val="28"/>
          <w:szCs w:val="28"/>
        </w:rPr>
      </w:pPr>
    </w:p>
    <w:p w14:paraId="2DCBB820" w14:textId="77777777" w:rsidR="00140247" w:rsidRDefault="00140247" w:rsidP="00484F9B">
      <w:pPr>
        <w:spacing w:after="0" w:line="360" w:lineRule="auto"/>
        <w:ind w:left="680" w:right="340"/>
        <w:jc w:val="both"/>
        <w:rPr>
          <w:rFonts w:ascii="Times New Roman" w:hAnsi="Times New Roman" w:cs="Times New Roman"/>
          <w:sz w:val="28"/>
          <w:szCs w:val="28"/>
        </w:rPr>
      </w:pPr>
    </w:p>
    <w:p w14:paraId="7B637ECF"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lastRenderedPageBreak/>
        <w:t>3.1.4 Privilegi, facoltà e indulti concessi ai vicari apostolici e agli ordinari</w:t>
      </w:r>
    </w:p>
    <w:p w14:paraId="5A4F5C57"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Nel 1922 Propaganda, rispondendo ad un dubbio sollevato da un vicario apostolico in Cina, chiarì come tali vicari potessero dispensare i fedeli dall’obbligo di astinenza dal lavoro, nel rispetto di determinate condizioni</w:t>
      </w:r>
      <w:r>
        <w:rPr>
          <w:rStyle w:val="Rimandonotaapidipagina"/>
          <w:rFonts w:ascii="Times New Roman" w:hAnsi="Times New Roman" w:cs="Times New Roman"/>
          <w:sz w:val="28"/>
          <w:szCs w:val="28"/>
        </w:rPr>
        <w:footnoteReference w:id="555"/>
      </w:r>
      <w:r>
        <w:rPr>
          <w:rFonts w:ascii="Times New Roman" w:hAnsi="Times New Roman" w:cs="Times New Roman"/>
          <w:sz w:val="28"/>
          <w:szCs w:val="28"/>
        </w:rPr>
        <w:t>. Innanzitutto vi era l’obbligo di rispettare quanto sancito dai cann.1245 e 1248 del CIC. Il primo dava ai vicari il potere di dispensare dall’astinenza in singole occasioni circoscritte, mentre il secondo consentiva ai fedeli di non partecipare alla messa laddove questa interferisse con la quotidianità dei singoli, formata attraverso delle legittime consuetudini</w:t>
      </w:r>
      <w:r>
        <w:rPr>
          <w:rStyle w:val="Rimandonotaapidipagina"/>
          <w:rFonts w:ascii="Times New Roman" w:hAnsi="Times New Roman" w:cs="Times New Roman"/>
          <w:sz w:val="28"/>
          <w:szCs w:val="28"/>
        </w:rPr>
        <w:footnoteReference w:id="556"/>
      </w:r>
      <w:r>
        <w:rPr>
          <w:rFonts w:ascii="Times New Roman" w:hAnsi="Times New Roman" w:cs="Times New Roman"/>
          <w:sz w:val="28"/>
          <w:szCs w:val="28"/>
        </w:rPr>
        <w:t>. Inoltre l’astinenza non valeva per qualsiasi tipologia di lavoro, ma solo per quelli indicati di volta in volta.</w:t>
      </w:r>
    </w:p>
    <w:p w14:paraId="3DAD347D"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Nel 1923 Propaganda fide concesse ai prefetti degli ordini religiosi in alcune zone dell’Africa, in virtù del fatto che lo aveva già concesso ai Padri Bianchi, di poter utilizzare una casula, che era l’abito da indossare per la messa, in due colori da una parte nera e da una parte gialla</w:t>
      </w:r>
      <w:r>
        <w:rPr>
          <w:rStyle w:val="Rimandonotaapidipagina"/>
          <w:rFonts w:ascii="Times New Roman" w:hAnsi="Times New Roman" w:cs="Times New Roman"/>
          <w:sz w:val="28"/>
          <w:szCs w:val="28"/>
        </w:rPr>
        <w:footnoteReference w:id="557"/>
      </w:r>
      <w:r>
        <w:rPr>
          <w:rFonts w:ascii="Times New Roman" w:hAnsi="Times New Roman" w:cs="Times New Roman"/>
          <w:sz w:val="28"/>
          <w:szCs w:val="28"/>
        </w:rPr>
        <w:t>. Tale concessione venne fatta con rescritto</w:t>
      </w:r>
      <w:r>
        <w:rPr>
          <w:rStyle w:val="Rimandonotaapidipagina"/>
          <w:rFonts w:ascii="Times New Roman" w:hAnsi="Times New Roman" w:cs="Times New Roman"/>
          <w:sz w:val="28"/>
          <w:szCs w:val="28"/>
        </w:rPr>
        <w:footnoteReference w:id="558"/>
      </w:r>
      <w:r>
        <w:rPr>
          <w:rFonts w:ascii="Times New Roman" w:hAnsi="Times New Roman" w:cs="Times New Roman"/>
          <w:sz w:val="28"/>
          <w:szCs w:val="28"/>
        </w:rPr>
        <w:t>.</w:t>
      </w:r>
    </w:p>
    <w:p w14:paraId="37603CA0"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Nel 1924 Propaganda decise di ritirare alcuni privilegi concessi ai missionari apostolici per favorire la mutua carità tra i missionari, soprattutto per garantirne il rafforzamento, rispetto a quelli indigeni</w:t>
      </w:r>
      <w:r>
        <w:rPr>
          <w:rStyle w:val="Rimandonotaapidipagina"/>
          <w:rFonts w:ascii="Times New Roman" w:hAnsi="Times New Roman" w:cs="Times New Roman"/>
          <w:sz w:val="28"/>
          <w:szCs w:val="28"/>
        </w:rPr>
        <w:footnoteReference w:id="559"/>
      </w:r>
      <w:r>
        <w:rPr>
          <w:rFonts w:ascii="Times New Roman" w:hAnsi="Times New Roman" w:cs="Times New Roman"/>
          <w:sz w:val="28"/>
          <w:szCs w:val="28"/>
        </w:rPr>
        <w:t>. Per questo motivo sancì che la loro condizione dovesse essere disciplinata dal can. 106 del CIC, che indicava le regole da seguire, salvo casi speciali, per disciplinare la reciproca precedenza dei religiosi</w:t>
      </w:r>
      <w:r>
        <w:rPr>
          <w:rStyle w:val="Rimandonotaapidipagina"/>
          <w:rFonts w:ascii="Times New Roman" w:hAnsi="Times New Roman" w:cs="Times New Roman"/>
          <w:sz w:val="28"/>
          <w:szCs w:val="28"/>
        </w:rPr>
        <w:footnoteReference w:id="560"/>
      </w:r>
      <w:r>
        <w:rPr>
          <w:rFonts w:ascii="Times New Roman" w:hAnsi="Times New Roman" w:cs="Times New Roman"/>
          <w:sz w:val="28"/>
          <w:szCs w:val="28"/>
        </w:rPr>
        <w:t>.</w:t>
      </w:r>
    </w:p>
    <w:p w14:paraId="2DA69244"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lastRenderedPageBreak/>
        <w:t xml:space="preserve">Nel 1932 Propaganda con formula </w:t>
      </w:r>
      <w:r w:rsidRPr="007A3FEC">
        <w:rPr>
          <w:rFonts w:ascii="Times New Roman" w:hAnsi="Times New Roman" w:cs="Times New Roman"/>
          <w:i/>
          <w:sz w:val="28"/>
          <w:szCs w:val="28"/>
        </w:rPr>
        <w:t>extra ordinem</w:t>
      </w:r>
      <w:r>
        <w:rPr>
          <w:rFonts w:ascii="Times New Roman" w:hAnsi="Times New Roman" w:cs="Times New Roman"/>
          <w:sz w:val="28"/>
          <w:szCs w:val="28"/>
        </w:rPr>
        <w:t xml:space="preserve"> concesse una facoltà decennale agli ordinari delle diocesi di </w:t>
      </w:r>
      <w:r w:rsidRPr="007A3FEC">
        <w:rPr>
          <w:rFonts w:ascii="Times New Roman" w:hAnsi="Times New Roman" w:cs="Times New Roman"/>
          <w:sz w:val="28"/>
          <w:szCs w:val="28"/>
        </w:rPr>
        <w:t>Sarajevo, Banj</w:t>
      </w:r>
      <w:r>
        <w:rPr>
          <w:rFonts w:ascii="Times New Roman" w:hAnsi="Times New Roman" w:cs="Times New Roman"/>
          <w:sz w:val="28"/>
          <w:szCs w:val="28"/>
        </w:rPr>
        <w:t>aluca, Mostar, Antirari, Skopje, riguardante l’amministrazione dei riti e dei sacramenti</w:t>
      </w:r>
      <w:r>
        <w:rPr>
          <w:rStyle w:val="Rimandonotaapidipagina"/>
          <w:rFonts w:ascii="Times New Roman" w:hAnsi="Times New Roman" w:cs="Times New Roman"/>
          <w:sz w:val="28"/>
          <w:szCs w:val="28"/>
        </w:rPr>
        <w:footnoteReference w:id="561"/>
      </w:r>
      <w:r>
        <w:rPr>
          <w:rFonts w:ascii="Times New Roman" w:hAnsi="Times New Roman" w:cs="Times New Roman"/>
          <w:sz w:val="28"/>
          <w:szCs w:val="28"/>
        </w:rPr>
        <w:t>.</w:t>
      </w:r>
    </w:p>
    <w:p w14:paraId="19CBF57F" w14:textId="77777777" w:rsidR="00140247" w:rsidRPr="00EF55FE" w:rsidRDefault="00140247" w:rsidP="00484F9B">
      <w:pPr>
        <w:spacing w:after="0" w:line="360" w:lineRule="auto"/>
        <w:ind w:left="680" w:right="340"/>
        <w:jc w:val="both"/>
        <w:rPr>
          <w:rFonts w:ascii="Times New Roman" w:eastAsia="Times New Roman" w:hAnsi="Times New Roman" w:cs="Times New Roman"/>
          <w:color w:val="202124"/>
          <w:sz w:val="28"/>
          <w:szCs w:val="28"/>
          <w:lang w:eastAsia="it-IT"/>
        </w:rPr>
      </w:pPr>
      <w:r>
        <w:rPr>
          <w:rFonts w:ascii="Times New Roman" w:hAnsi="Times New Roman" w:cs="Times New Roman"/>
          <w:sz w:val="28"/>
          <w:szCs w:val="28"/>
        </w:rPr>
        <w:t>La Sacra Congregazione concedeva una deroga rispetto al can. 821 del CIC, dando la possibilità di celebrare 3 messe la notte di Natale anche nelle chiese dei religiosi non contemplate all’interno del canone, purché venissero celebrate tutte dallo stesso sacerdote</w:t>
      </w:r>
      <w:r>
        <w:rPr>
          <w:rStyle w:val="Rimandonotaapidipagina"/>
          <w:rFonts w:ascii="Times New Roman" w:hAnsi="Times New Roman" w:cs="Times New Roman"/>
          <w:sz w:val="28"/>
          <w:szCs w:val="28"/>
        </w:rPr>
        <w:footnoteReference w:id="562"/>
      </w:r>
      <w:r>
        <w:rPr>
          <w:rFonts w:ascii="Times New Roman" w:hAnsi="Times New Roman" w:cs="Times New Roman"/>
          <w:sz w:val="28"/>
          <w:szCs w:val="28"/>
        </w:rPr>
        <w:t xml:space="preserve">. Inoltre venne concessa la possibilità all’ordinario di </w:t>
      </w:r>
      <w:r w:rsidRPr="002E5886">
        <w:rPr>
          <w:rFonts w:ascii="Times New Roman" w:hAnsi="Times New Roman" w:cs="Times New Roman"/>
          <w:sz w:val="28"/>
          <w:szCs w:val="28"/>
        </w:rPr>
        <w:t xml:space="preserve">celebrare la messa da </w:t>
      </w:r>
      <w:r w:rsidRPr="002E5886">
        <w:rPr>
          <w:rFonts w:ascii="Times New Roman" w:hAnsi="Times New Roman" w:cs="Times New Roman"/>
          <w:i/>
          <w:sz w:val="28"/>
          <w:szCs w:val="28"/>
        </w:rPr>
        <w:t>requiem</w:t>
      </w:r>
      <w:r>
        <w:rPr>
          <w:rFonts w:ascii="Times New Roman" w:hAnsi="Times New Roman" w:cs="Times New Roman"/>
          <w:sz w:val="28"/>
          <w:szCs w:val="28"/>
        </w:rPr>
        <w:t xml:space="preserve"> una volta alla settimana nel proprio oratorio,</w:t>
      </w:r>
      <w:r w:rsidRPr="002E5886">
        <w:rPr>
          <w:rFonts w:ascii="Times New Roman" w:hAnsi="Times New Roman" w:cs="Times New Roman"/>
          <w:sz w:val="28"/>
          <w:szCs w:val="28"/>
        </w:rPr>
        <w:t xml:space="preserve"> purché la fes</w:t>
      </w:r>
      <w:r>
        <w:rPr>
          <w:rFonts w:ascii="Times New Roman" w:hAnsi="Times New Roman" w:cs="Times New Roman"/>
          <w:sz w:val="28"/>
          <w:szCs w:val="28"/>
        </w:rPr>
        <w:t>ta del doppio rito non si ripetesse</w:t>
      </w:r>
      <w:r w:rsidRPr="002E5886">
        <w:rPr>
          <w:rFonts w:ascii="Times New Roman" w:hAnsi="Times New Roman" w:cs="Times New Roman"/>
          <w:sz w:val="28"/>
          <w:szCs w:val="28"/>
        </w:rPr>
        <w:t xml:space="preserve"> in una domenica </w:t>
      </w:r>
      <w:r>
        <w:rPr>
          <w:rFonts w:ascii="Times New Roman" w:hAnsi="Times New Roman" w:cs="Times New Roman"/>
          <w:sz w:val="28"/>
          <w:szCs w:val="28"/>
        </w:rPr>
        <w:t>destinata al</w:t>
      </w:r>
      <w:r w:rsidRPr="002E5886">
        <w:rPr>
          <w:rFonts w:ascii="Times New Roman" w:hAnsi="Times New Roman" w:cs="Times New Roman"/>
          <w:sz w:val="28"/>
          <w:szCs w:val="28"/>
        </w:rPr>
        <w:t>le feste di Quaresima</w:t>
      </w:r>
      <w:r>
        <w:rPr>
          <w:rFonts w:ascii="Times New Roman" w:hAnsi="Times New Roman" w:cs="Times New Roman"/>
          <w:sz w:val="28"/>
          <w:szCs w:val="28"/>
        </w:rPr>
        <w:t xml:space="preserve">. Tra le altre indicazioni fornite da Propaganda si dava la possibilità: </w:t>
      </w:r>
      <w:r w:rsidRPr="0057079E">
        <w:rPr>
          <w:rFonts w:ascii="Times New Roman" w:eastAsia="Times New Roman" w:hAnsi="Times New Roman" w:cs="Times New Roman"/>
          <w:color w:val="202124"/>
          <w:sz w:val="28"/>
          <w:szCs w:val="28"/>
          <w:lang w:eastAsia="it-IT"/>
        </w:rPr>
        <w:t>di ridurre per un periodo di cinque anni, per diminuzione di reddito, l'onere perpetuo delle</w:t>
      </w:r>
      <w:r>
        <w:rPr>
          <w:rFonts w:ascii="Times New Roman" w:eastAsia="Times New Roman" w:hAnsi="Times New Roman" w:cs="Times New Roman"/>
          <w:color w:val="202124"/>
          <w:sz w:val="28"/>
          <w:szCs w:val="28"/>
          <w:lang w:eastAsia="it-IT"/>
        </w:rPr>
        <w:t xml:space="preserve"> messe da tenersi per elemosina,</w:t>
      </w:r>
      <w:r w:rsidRPr="0057079E">
        <w:t xml:space="preserve"> </w:t>
      </w:r>
      <w:r w:rsidRPr="0057079E">
        <w:rPr>
          <w:rFonts w:ascii="Times New Roman" w:hAnsi="Times New Roman" w:cs="Times New Roman"/>
          <w:sz w:val="28"/>
          <w:szCs w:val="28"/>
        </w:rPr>
        <w:t xml:space="preserve">di </w:t>
      </w:r>
      <w:r w:rsidRPr="0057079E">
        <w:rPr>
          <w:rFonts w:ascii="Times New Roman" w:eastAsia="Times New Roman" w:hAnsi="Times New Roman" w:cs="Times New Roman"/>
          <w:color w:val="202124"/>
          <w:sz w:val="28"/>
          <w:szCs w:val="28"/>
          <w:lang w:eastAsia="it-IT"/>
        </w:rPr>
        <w:t xml:space="preserve">trasferire per cinque anni entro i limiti della diocesi gli oneri </w:t>
      </w:r>
      <w:r>
        <w:rPr>
          <w:rFonts w:ascii="Times New Roman" w:eastAsia="Times New Roman" w:hAnsi="Times New Roman" w:cs="Times New Roman"/>
          <w:color w:val="202124"/>
          <w:sz w:val="28"/>
          <w:szCs w:val="28"/>
          <w:lang w:eastAsia="it-IT"/>
        </w:rPr>
        <w:t>delle messe nei giorni, nelle chiese e</w:t>
      </w:r>
      <w:r w:rsidRPr="0057079E">
        <w:rPr>
          <w:rFonts w:ascii="Times New Roman" w:eastAsia="Times New Roman" w:hAnsi="Times New Roman" w:cs="Times New Roman"/>
          <w:color w:val="202124"/>
          <w:sz w:val="28"/>
          <w:szCs w:val="28"/>
          <w:lang w:eastAsia="it-IT"/>
        </w:rPr>
        <w:t xml:space="preserve"> </w:t>
      </w:r>
      <w:r>
        <w:rPr>
          <w:rFonts w:ascii="Times New Roman" w:eastAsia="Times New Roman" w:hAnsi="Times New Roman" w:cs="Times New Roman"/>
          <w:color w:val="202124"/>
          <w:sz w:val="28"/>
          <w:szCs w:val="28"/>
          <w:lang w:eastAsia="it-IT"/>
        </w:rPr>
        <w:t xml:space="preserve">negli </w:t>
      </w:r>
      <w:r w:rsidRPr="0057079E">
        <w:rPr>
          <w:rFonts w:ascii="Times New Roman" w:eastAsia="Times New Roman" w:hAnsi="Times New Roman" w:cs="Times New Roman"/>
          <w:color w:val="202124"/>
          <w:sz w:val="28"/>
          <w:szCs w:val="28"/>
          <w:lang w:eastAsia="it-IT"/>
        </w:rPr>
        <w:t>altri altari stabiliti da</w:t>
      </w:r>
      <w:r>
        <w:rPr>
          <w:rFonts w:ascii="Times New Roman" w:eastAsia="Times New Roman" w:hAnsi="Times New Roman" w:cs="Times New Roman"/>
          <w:color w:val="202124"/>
          <w:sz w:val="28"/>
          <w:szCs w:val="28"/>
          <w:lang w:eastAsia="it-IT"/>
        </w:rPr>
        <w:t>lla fondazione, purché ve ne fosse</w:t>
      </w:r>
      <w:r w:rsidRPr="0057079E">
        <w:rPr>
          <w:rFonts w:ascii="Times New Roman" w:eastAsia="Times New Roman" w:hAnsi="Times New Roman" w:cs="Times New Roman"/>
          <w:color w:val="202124"/>
          <w:sz w:val="28"/>
          <w:szCs w:val="28"/>
          <w:lang w:eastAsia="it-IT"/>
        </w:rPr>
        <w:t xml:space="preserve"> una reale necessità e il culto divino non </w:t>
      </w:r>
      <w:r>
        <w:rPr>
          <w:rFonts w:ascii="Times New Roman" w:eastAsia="Times New Roman" w:hAnsi="Times New Roman" w:cs="Times New Roman"/>
          <w:color w:val="202124"/>
          <w:sz w:val="28"/>
          <w:szCs w:val="28"/>
          <w:lang w:eastAsia="it-IT"/>
        </w:rPr>
        <w:t>venisse ridotto e non venisse pregiudicata</w:t>
      </w:r>
      <w:r w:rsidRPr="0057079E">
        <w:rPr>
          <w:rFonts w:ascii="Times New Roman" w:eastAsia="Times New Roman" w:hAnsi="Times New Roman" w:cs="Times New Roman"/>
          <w:color w:val="202124"/>
          <w:sz w:val="28"/>
          <w:szCs w:val="28"/>
          <w:lang w:eastAsia="it-IT"/>
        </w:rPr>
        <w:t xml:space="preserve"> la convenienza del popolo, ad eccezione, però, delle legaz</w:t>
      </w:r>
      <w:r>
        <w:rPr>
          <w:rFonts w:ascii="Times New Roman" w:eastAsia="Times New Roman" w:hAnsi="Times New Roman" w:cs="Times New Roman"/>
          <w:color w:val="202124"/>
          <w:sz w:val="28"/>
          <w:szCs w:val="28"/>
          <w:lang w:eastAsia="it-IT"/>
        </w:rPr>
        <w:t>ioni che in certi luoghi potevano</w:t>
      </w:r>
      <w:r w:rsidRPr="0057079E">
        <w:rPr>
          <w:rFonts w:ascii="Times New Roman" w:eastAsia="Times New Roman" w:hAnsi="Times New Roman" w:cs="Times New Roman"/>
          <w:color w:val="202124"/>
          <w:sz w:val="28"/>
          <w:szCs w:val="28"/>
          <w:lang w:eastAsia="it-IT"/>
        </w:rPr>
        <w:t xml:space="preserve"> essere facilmente adempiut</w:t>
      </w:r>
      <w:r>
        <w:rPr>
          <w:rFonts w:ascii="Times New Roman" w:eastAsia="Times New Roman" w:hAnsi="Times New Roman" w:cs="Times New Roman"/>
          <w:color w:val="202124"/>
          <w:sz w:val="28"/>
          <w:szCs w:val="28"/>
          <w:lang w:eastAsia="it-IT"/>
        </w:rPr>
        <w:t xml:space="preserve">e con l'aumento delle elemosine. Si ribadiva l’obbligo dei singoli celebranti, ogni anno di avvisare il tribunale diocesano </w:t>
      </w:r>
      <w:r w:rsidRPr="0057079E">
        <w:rPr>
          <w:rFonts w:ascii="Times New Roman" w:eastAsia="Times New Roman" w:hAnsi="Times New Roman" w:cs="Times New Roman"/>
          <w:color w:val="202124"/>
          <w:sz w:val="28"/>
          <w:szCs w:val="28"/>
          <w:lang w:eastAsia="it-IT"/>
        </w:rPr>
        <w:t>sulla soddisfazione delle messe tr</w:t>
      </w:r>
      <w:r>
        <w:rPr>
          <w:rFonts w:ascii="Times New Roman" w:eastAsia="Times New Roman" w:hAnsi="Times New Roman" w:cs="Times New Roman"/>
          <w:color w:val="202124"/>
          <w:sz w:val="28"/>
          <w:szCs w:val="28"/>
          <w:lang w:eastAsia="it-IT"/>
        </w:rPr>
        <w:t>asferite</w:t>
      </w:r>
      <w:r w:rsidRPr="0057079E">
        <w:rPr>
          <w:rFonts w:ascii="Times New Roman" w:eastAsia="Times New Roman" w:hAnsi="Times New Roman" w:cs="Times New Roman"/>
          <w:color w:val="202124"/>
          <w:sz w:val="28"/>
          <w:szCs w:val="28"/>
          <w:lang w:eastAsia="it-IT"/>
        </w:rPr>
        <w:t>.</w:t>
      </w:r>
      <w:r>
        <w:rPr>
          <w:rFonts w:ascii="Times New Roman" w:eastAsia="Times New Roman" w:hAnsi="Times New Roman" w:cs="Times New Roman"/>
          <w:color w:val="202124"/>
          <w:sz w:val="28"/>
          <w:szCs w:val="28"/>
          <w:lang w:eastAsia="it-IT"/>
        </w:rPr>
        <w:t xml:space="preserve"> Inoltre la S. Congregazione forniva anche la possibilità </w:t>
      </w:r>
      <w:r w:rsidRPr="00EF55FE">
        <w:rPr>
          <w:rFonts w:ascii="Times New Roman" w:eastAsia="Times New Roman" w:hAnsi="Times New Roman" w:cs="Times New Roman"/>
          <w:color w:val="202124"/>
          <w:sz w:val="28"/>
          <w:szCs w:val="28"/>
          <w:lang w:eastAsia="it-IT"/>
        </w:rPr>
        <w:t xml:space="preserve">di trasferire per cinque anni </w:t>
      </w:r>
      <w:r>
        <w:rPr>
          <w:rFonts w:ascii="Times New Roman" w:eastAsia="Times New Roman" w:hAnsi="Times New Roman" w:cs="Times New Roman"/>
          <w:color w:val="202124"/>
          <w:sz w:val="28"/>
          <w:szCs w:val="28"/>
          <w:lang w:eastAsia="it-IT"/>
        </w:rPr>
        <w:t>la celebrazione del</w:t>
      </w:r>
      <w:r w:rsidRPr="00EF55FE">
        <w:rPr>
          <w:rFonts w:ascii="Times New Roman" w:eastAsia="Times New Roman" w:hAnsi="Times New Roman" w:cs="Times New Roman"/>
          <w:color w:val="202124"/>
          <w:sz w:val="28"/>
          <w:szCs w:val="28"/>
          <w:lang w:eastAsia="it-IT"/>
        </w:rPr>
        <w:t xml:space="preserve">le messe anche </w:t>
      </w:r>
      <w:r>
        <w:rPr>
          <w:rFonts w:ascii="Times New Roman" w:eastAsia="Times New Roman" w:hAnsi="Times New Roman" w:cs="Times New Roman"/>
          <w:color w:val="202124"/>
          <w:sz w:val="28"/>
          <w:szCs w:val="28"/>
          <w:lang w:eastAsia="it-IT"/>
        </w:rPr>
        <w:t xml:space="preserve">al di </w:t>
      </w:r>
      <w:r w:rsidRPr="00EF55FE">
        <w:rPr>
          <w:rFonts w:ascii="Times New Roman" w:eastAsia="Times New Roman" w:hAnsi="Times New Roman" w:cs="Times New Roman"/>
          <w:color w:val="202124"/>
          <w:sz w:val="28"/>
          <w:szCs w:val="28"/>
          <w:lang w:eastAsia="it-IT"/>
        </w:rPr>
        <w:t>fuori della</w:t>
      </w:r>
      <w:r>
        <w:rPr>
          <w:rFonts w:ascii="Times New Roman" w:eastAsia="Times New Roman" w:hAnsi="Times New Roman" w:cs="Times New Roman"/>
          <w:color w:val="202124"/>
          <w:sz w:val="28"/>
          <w:szCs w:val="28"/>
          <w:lang w:eastAsia="it-IT"/>
        </w:rPr>
        <w:t xml:space="preserve"> parrocchia</w:t>
      </w:r>
      <w:r w:rsidRPr="00EF55FE">
        <w:rPr>
          <w:rFonts w:ascii="Times New Roman" w:eastAsia="Times New Roman" w:hAnsi="Times New Roman" w:cs="Times New Roman"/>
          <w:color w:val="202124"/>
          <w:sz w:val="28"/>
          <w:szCs w:val="28"/>
          <w:lang w:eastAsia="it-IT"/>
        </w:rPr>
        <w:t xml:space="preserve">, </w:t>
      </w:r>
      <w:r>
        <w:rPr>
          <w:rFonts w:ascii="Times New Roman" w:eastAsia="Times New Roman" w:hAnsi="Times New Roman" w:cs="Times New Roman"/>
          <w:color w:val="202124"/>
          <w:sz w:val="28"/>
          <w:szCs w:val="28"/>
          <w:lang w:eastAsia="it-IT"/>
        </w:rPr>
        <w:t xml:space="preserve">sempre rimanendo però </w:t>
      </w:r>
      <w:r w:rsidRPr="00EF55FE">
        <w:rPr>
          <w:rFonts w:ascii="Times New Roman" w:eastAsia="Times New Roman" w:hAnsi="Times New Roman" w:cs="Times New Roman"/>
          <w:color w:val="202124"/>
          <w:sz w:val="28"/>
          <w:szCs w:val="28"/>
          <w:lang w:eastAsia="it-IT"/>
        </w:rPr>
        <w:t xml:space="preserve">entro i confini della </w:t>
      </w:r>
      <w:r>
        <w:rPr>
          <w:rFonts w:ascii="Times New Roman" w:eastAsia="Times New Roman" w:hAnsi="Times New Roman" w:cs="Times New Roman"/>
          <w:color w:val="202124"/>
          <w:sz w:val="28"/>
          <w:szCs w:val="28"/>
          <w:lang w:eastAsia="it-IT"/>
        </w:rPr>
        <w:t xml:space="preserve">diocesi </w:t>
      </w:r>
      <w:r w:rsidRPr="00EF55FE">
        <w:rPr>
          <w:rFonts w:ascii="Times New Roman" w:eastAsia="Times New Roman" w:hAnsi="Times New Roman" w:cs="Times New Roman"/>
          <w:color w:val="202124"/>
          <w:sz w:val="28"/>
          <w:szCs w:val="28"/>
          <w:lang w:eastAsia="it-IT"/>
        </w:rPr>
        <w:t xml:space="preserve">e </w:t>
      </w:r>
      <w:r>
        <w:rPr>
          <w:rFonts w:ascii="Times New Roman" w:eastAsia="Times New Roman" w:hAnsi="Times New Roman" w:cs="Times New Roman"/>
          <w:color w:val="202124"/>
          <w:sz w:val="28"/>
          <w:szCs w:val="28"/>
          <w:lang w:eastAsia="it-IT"/>
        </w:rPr>
        <w:t xml:space="preserve">nel pieno rispetto delle </w:t>
      </w:r>
      <w:r w:rsidRPr="00EF55FE">
        <w:rPr>
          <w:rFonts w:ascii="Times New Roman" w:eastAsia="Times New Roman" w:hAnsi="Times New Roman" w:cs="Times New Roman"/>
          <w:color w:val="202124"/>
          <w:sz w:val="28"/>
          <w:szCs w:val="28"/>
          <w:lang w:eastAsia="it-IT"/>
        </w:rPr>
        <w:t>disposizioni del</w:t>
      </w:r>
      <w:r>
        <w:rPr>
          <w:rFonts w:ascii="Times New Roman" w:eastAsia="Times New Roman" w:hAnsi="Times New Roman" w:cs="Times New Roman"/>
          <w:color w:val="202124"/>
          <w:sz w:val="28"/>
          <w:szCs w:val="28"/>
          <w:lang w:eastAsia="it-IT"/>
        </w:rPr>
        <w:t xml:space="preserve"> CIC</w:t>
      </w:r>
      <w:r w:rsidRPr="00EF55FE">
        <w:rPr>
          <w:rFonts w:ascii="Times New Roman" w:eastAsia="Times New Roman" w:hAnsi="Times New Roman" w:cs="Times New Roman"/>
          <w:color w:val="202124"/>
          <w:sz w:val="28"/>
          <w:szCs w:val="28"/>
          <w:lang w:eastAsia="it-IT"/>
        </w:rPr>
        <w:t xml:space="preserve"> in merito alle precau</w:t>
      </w:r>
      <w:r>
        <w:rPr>
          <w:rFonts w:ascii="Times New Roman" w:eastAsia="Times New Roman" w:hAnsi="Times New Roman" w:cs="Times New Roman"/>
          <w:color w:val="202124"/>
          <w:sz w:val="28"/>
          <w:szCs w:val="28"/>
          <w:lang w:eastAsia="it-IT"/>
        </w:rPr>
        <w:t>zioni da utilizzare nella messa.</w:t>
      </w:r>
      <w:r w:rsidRPr="00EF55FE">
        <w:t xml:space="preserve"> </w:t>
      </w:r>
      <w:r>
        <w:t xml:space="preserve"> </w:t>
      </w:r>
      <w:r w:rsidRPr="00EF55FE">
        <w:rPr>
          <w:rFonts w:ascii="Times New Roman" w:hAnsi="Times New Roman" w:cs="Times New Roman"/>
          <w:sz w:val="28"/>
          <w:szCs w:val="28"/>
        </w:rPr>
        <w:t>Propa</w:t>
      </w:r>
      <w:r>
        <w:rPr>
          <w:rFonts w:ascii="Times New Roman" w:hAnsi="Times New Roman" w:cs="Times New Roman"/>
          <w:sz w:val="28"/>
          <w:szCs w:val="28"/>
        </w:rPr>
        <w:t xml:space="preserve">ganda </w:t>
      </w:r>
      <w:r>
        <w:rPr>
          <w:rFonts w:ascii="Times New Roman" w:eastAsia="Times New Roman" w:hAnsi="Times New Roman" w:cs="Times New Roman"/>
          <w:color w:val="202124"/>
          <w:sz w:val="28"/>
          <w:szCs w:val="28"/>
          <w:lang w:eastAsia="it-IT"/>
        </w:rPr>
        <w:t>delegava</w:t>
      </w:r>
      <w:r w:rsidRPr="00EF55FE">
        <w:rPr>
          <w:rFonts w:ascii="Times New Roman" w:eastAsia="Times New Roman" w:hAnsi="Times New Roman" w:cs="Times New Roman"/>
          <w:color w:val="202124"/>
          <w:sz w:val="28"/>
          <w:szCs w:val="28"/>
          <w:lang w:eastAsia="it-IT"/>
        </w:rPr>
        <w:t xml:space="preserve"> il vicario generale o altro sacerdote, nomin</w:t>
      </w:r>
      <w:r>
        <w:rPr>
          <w:rFonts w:ascii="Times New Roman" w:eastAsia="Times New Roman" w:hAnsi="Times New Roman" w:cs="Times New Roman"/>
          <w:color w:val="202124"/>
          <w:sz w:val="28"/>
          <w:szCs w:val="28"/>
          <w:lang w:eastAsia="it-IT"/>
        </w:rPr>
        <w:t>ato in una posizione ecclesiastica</w:t>
      </w:r>
      <w:r w:rsidRPr="00EF55FE">
        <w:rPr>
          <w:rFonts w:ascii="Times New Roman" w:eastAsia="Times New Roman" w:hAnsi="Times New Roman" w:cs="Times New Roman"/>
          <w:color w:val="202124"/>
          <w:sz w:val="28"/>
          <w:szCs w:val="28"/>
          <w:lang w:eastAsia="it-IT"/>
        </w:rPr>
        <w:t>, a consac</w:t>
      </w:r>
      <w:r>
        <w:rPr>
          <w:rFonts w:ascii="Times New Roman" w:eastAsia="Times New Roman" w:hAnsi="Times New Roman" w:cs="Times New Roman"/>
          <w:color w:val="202124"/>
          <w:sz w:val="28"/>
          <w:szCs w:val="28"/>
          <w:lang w:eastAsia="it-IT"/>
        </w:rPr>
        <w:t xml:space="preserve">rare altari fissi e portatili, rispettando </w:t>
      </w:r>
      <w:r w:rsidRPr="00EF55FE">
        <w:rPr>
          <w:rFonts w:ascii="Times New Roman" w:eastAsia="Times New Roman" w:hAnsi="Times New Roman" w:cs="Times New Roman"/>
          <w:color w:val="202124"/>
          <w:sz w:val="28"/>
          <w:szCs w:val="28"/>
          <w:lang w:eastAsia="it-IT"/>
        </w:rPr>
        <w:t>il ri</w:t>
      </w:r>
      <w:r>
        <w:rPr>
          <w:rFonts w:ascii="Times New Roman" w:eastAsia="Times New Roman" w:hAnsi="Times New Roman" w:cs="Times New Roman"/>
          <w:color w:val="202124"/>
          <w:sz w:val="28"/>
          <w:szCs w:val="28"/>
          <w:lang w:eastAsia="it-IT"/>
        </w:rPr>
        <w:t>to e la forma pontificia romana e dava tale potere anche ai s</w:t>
      </w:r>
      <w:r w:rsidRPr="00EF55FE">
        <w:rPr>
          <w:rFonts w:ascii="Times New Roman" w:eastAsia="Times New Roman" w:hAnsi="Times New Roman" w:cs="Times New Roman"/>
          <w:color w:val="202124"/>
          <w:sz w:val="28"/>
          <w:szCs w:val="28"/>
          <w:lang w:eastAsia="it-IT"/>
        </w:rPr>
        <w:t xml:space="preserve">acerdoti, </w:t>
      </w:r>
      <w:r>
        <w:rPr>
          <w:rFonts w:ascii="Times New Roman" w:eastAsia="Times New Roman" w:hAnsi="Times New Roman" w:cs="Times New Roman"/>
          <w:color w:val="202124"/>
          <w:sz w:val="28"/>
          <w:szCs w:val="28"/>
          <w:lang w:eastAsia="it-IT"/>
        </w:rPr>
        <w:t>che potevano utilizzare la formula più breve nei casi contemplati dal can.1200 del CIC.</w:t>
      </w:r>
    </w:p>
    <w:p w14:paraId="4B4C4663" w14:textId="77777777" w:rsidR="00140247" w:rsidRDefault="00140247" w:rsidP="00484F9B">
      <w:pPr>
        <w:spacing w:after="0" w:line="360" w:lineRule="auto"/>
        <w:ind w:left="680" w:right="340"/>
        <w:jc w:val="both"/>
        <w:rPr>
          <w:rFonts w:ascii="Times New Roman" w:eastAsia="Times New Roman" w:hAnsi="Times New Roman" w:cs="Times New Roman"/>
          <w:color w:val="202124"/>
          <w:sz w:val="28"/>
          <w:szCs w:val="28"/>
          <w:lang w:eastAsia="it-IT"/>
        </w:rPr>
      </w:pPr>
      <w:r>
        <w:rPr>
          <w:rFonts w:ascii="Times New Roman" w:eastAsia="Times New Roman" w:hAnsi="Times New Roman" w:cs="Times New Roman"/>
          <w:color w:val="202124"/>
          <w:sz w:val="28"/>
          <w:szCs w:val="28"/>
          <w:lang w:eastAsia="it-IT"/>
        </w:rPr>
        <w:lastRenderedPageBreak/>
        <w:t xml:space="preserve">Inoltre Propaganda dava la possibilità di </w:t>
      </w:r>
      <w:r w:rsidRPr="00EF55FE">
        <w:rPr>
          <w:rFonts w:ascii="Times New Roman" w:eastAsia="Times New Roman" w:hAnsi="Times New Roman" w:cs="Times New Roman"/>
          <w:color w:val="202124"/>
          <w:sz w:val="28"/>
          <w:szCs w:val="28"/>
          <w:lang w:eastAsia="it-IT"/>
        </w:rPr>
        <w:t xml:space="preserve">officiare, </w:t>
      </w:r>
      <w:r>
        <w:rPr>
          <w:rFonts w:ascii="Times New Roman" w:eastAsia="Times New Roman" w:hAnsi="Times New Roman" w:cs="Times New Roman"/>
          <w:color w:val="202124"/>
          <w:sz w:val="28"/>
          <w:szCs w:val="28"/>
          <w:lang w:eastAsia="it-IT"/>
        </w:rPr>
        <w:t xml:space="preserve">concedendo dei privilegi, </w:t>
      </w:r>
      <w:r w:rsidRPr="00EF55FE">
        <w:rPr>
          <w:rFonts w:ascii="Times New Roman" w:eastAsia="Times New Roman" w:hAnsi="Times New Roman" w:cs="Times New Roman"/>
          <w:color w:val="202124"/>
          <w:sz w:val="28"/>
          <w:szCs w:val="28"/>
          <w:lang w:eastAsia="it-IT"/>
        </w:rPr>
        <w:t xml:space="preserve">anche </w:t>
      </w:r>
      <w:r>
        <w:rPr>
          <w:rFonts w:ascii="Times New Roman" w:eastAsia="Times New Roman" w:hAnsi="Times New Roman" w:cs="Times New Roman"/>
          <w:color w:val="202124"/>
          <w:sz w:val="28"/>
          <w:szCs w:val="28"/>
          <w:lang w:eastAsia="it-IT"/>
        </w:rPr>
        <w:t>ai religiosi a cui mancavano alcuni requisiti per accedere al sacerdozio, tra questi vi era: la dispensa (compresa tra i 12 e i 16 mesi) per l</w:t>
      </w:r>
      <w:r w:rsidRPr="00EF55FE">
        <w:rPr>
          <w:rFonts w:ascii="Times New Roman" w:eastAsia="Times New Roman" w:hAnsi="Times New Roman" w:cs="Times New Roman"/>
          <w:color w:val="202124"/>
          <w:sz w:val="28"/>
          <w:szCs w:val="28"/>
          <w:lang w:eastAsia="it-IT"/>
        </w:rPr>
        <w:t>'età canonica</w:t>
      </w:r>
      <w:r>
        <w:rPr>
          <w:rFonts w:ascii="Times New Roman" w:eastAsia="Times New Roman" w:hAnsi="Times New Roman" w:cs="Times New Roman"/>
          <w:color w:val="202124"/>
          <w:sz w:val="28"/>
          <w:szCs w:val="28"/>
          <w:lang w:eastAsia="it-IT"/>
        </w:rPr>
        <w:t xml:space="preserve"> necessaria per accedere al sacerdozio</w:t>
      </w:r>
      <w:r w:rsidRPr="00EF55FE">
        <w:rPr>
          <w:rFonts w:ascii="Times New Roman" w:eastAsia="Times New Roman" w:hAnsi="Times New Roman" w:cs="Times New Roman"/>
          <w:color w:val="202124"/>
          <w:sz w:val="28"/>
          <w:szCs w:val="28"/>
          <w:lang w:eastAsia="it-IT"/>
        </w:rPr>
        <w:t xml:space="preserve">, purché </w:t>
      </w:r>
      <w:r>
        <w:rPr>
          <w:rFonts w:ascii="Times New Roman" w:eastAsia="Times New Roman" w:hAnsi="Times New Roman" w:cs="Times New Roman"/>
          <w:color w:val="202124"/>
          <w:sz w:val="28"/>
          <w:szCs w:val="28"/>
          <w:lang w:eastAsia="it-IT"/>
        </w:rPr>
        <w:t xml:space="preserve">i soggetti avessero </w:t>
      </w:r>
      <w:r w:rsidRPr="00EF55FE">
        <w:rPr>
          <w:rFonts w:ascii="Times New Roman" w:eastAsia="Times New Roman" w:hAnsi="Times New Roman" w:cs="Times New Roman"/>
          <w:color w:val="202124"/>
          <w:sz w:val="28"/>
          <w:szCs w:val="28"/>
          <w:lang w:eastAsia="it-IT"/>
        </w:rPr>
        <w:t xml:space="preserve">ricevuto lettere di dimissione dai superiori e </w:t>
      </w:r>
      <w:r>
        <w:rPr>
          <w:rFonts w:ascii="Times New Roman" w:eastAsia="Times New Roman" w:hAnsi="Times New Roman" w:cs="Times New Roman"/>
          <w:color w:val="202124"/>
          <w:sz w:val="28"/>
          <w:szCs w:val="28"/>
          <w:lang w:eastAsia="it-IT"/>
        </w:rPr>
        <w:t>possedessero</w:t>
      </w:r>
      <w:r w:rsidRPr="00EF55FE">
        <w:rPr>
          <w:rFonts w:ascii="Times New Roman" w:eastAsia="Times New Roman" w:hAnsi="Times New Roman" w:cs="Times New Roman"/>
          <w:color w:val="202124"/>
          <w:sz w:val="28"/>
          <w:szCs w:val="28"/>
          <w:lang w:eastAsia="it-IT"/>
        </w:rPr>
        <w:t xml:space="preserve"> altre qualità richieste dai sacri canoni e soprattutto </w:t>
      </w:r>
      <w:r>
        <w:rPr>
          <w:rFonts w:ascii="Times New Roman" w:eastAsia="Times New Roman" w:hAnsi="Times New Roman" w:cs="Times New Roman"/>
          <w:color w:val="202124"/>
          <w:sz w:val="28"/>
          <w:szCs w:val="28"/>
          <w:lang w:eastAsia="it-IT"/>
        </w:rPr>
        <w:t xml:space="preserve">un ricco bagaglio </w:t>
      </w:r>
      <w:r w:rsidRPr="00EF55FE">
        <w:rPr>
          <w:rFonts w:ascii="Times New Roman" w:eastAsia="Times New Roman" w:hAnsi="Times New Roman" w:cs="Times New Roman"/>
          <w:color w:val="202124"/>
          <w:sz w:val="28"/>
          <w:szCs w:val="28"/>
          <w:lang w:eastAsia="it-IT"/>
        </w:rPr>
        <w:t xml:space="preserve">teologico </w:t>
      </w:r>
      <w:r>
        <w:rPr>
          <w:rFonts w:ascii="Times New Roman" w:eastAsia="Times New Roman" w:hAnsi="Times New Roman" w:cs="Times New Roman"/>
          <w:color w:val="202124"/>
          <w:sz w:val="28"/>
          <w:szCs w:val="28"/>
          <w:lang w:eastAsia="it-IT"/>
        </w:rPr>
        <w:t>norma del can. 976 del CIC</w:t>
      </w:r>
      <w:r>
        <w:rPr>
          <w:rStyle w:val="Rimandonotaapidipagina"/>
          <w:rFonts w:ascii="Times New Roman" w:eastAsia="Times New Roman" w:hAnsi="Times New Roman" w:cs="Times New Roman"/>
          <w:color w:val="202124"/>
          <w:sz w:val="28"/>
          <w:szCs w:val="28"/>
          <w:lang w:eastAsia="it-IT"/>
        </w:rPr>
        <w:footnoteReference w:id="563"/>
      </w:r>
      <w:r>
        <w:rPr>
          <w:rFonts w:ascii="Times New Roman" w:eastAsia="Times New Roman" w:hAnsi="Times New Roman" w:cs="Times New Roman"/>
          <w:color w:val="202124"/>
          <w:sz w:val="28"/>
          <w:szCs w:val="28"/>
          <w:lang w:eastAsia="it-IT"/>
        </w:rPr>
        <w:t>.</w:t>
      </w:r>
    </w:p>
    <w:p w14:paraId="3AFB8008" w14:textId="77777777" w:rsidR="00140247" w:rsidRDefault="00140247" w:rsidP="00484F9B">
      <w:pPr>
        <w:spacing w:after="0" w:line="360" w:lineRule="auto"/>
        <w:ind w:left="680" w:right="340"/>
        <w:jc w:val="both"/>
        <w:rPr>
          <w:rFonts w:ascii="Times New Roman" w:eastAsia="Times New Roman" w:hAnsi="Times New Roman" w:cs="Times New Roman"/>
          <w:color w:val="202124"/>
          <w:sz w:val="28"/>
          <w:szCs w:val="28"/>
          <w:lang w:eastAsia="it-IT"/>
        </w:rPr>
      </w:pPr>
      <w:r>
        <w:rPr>
          <w:rFonts w:ascii="Times New Roman" w:eastAsia="Times New Roman" w:hAnsi="Times New Roman" w:cs="Times New Roman"/>
          <w:color w:val="202124"/>
          <w:sz w:val="28"/>
          <w:szCs w:val="28"/>
          <w:lang w:eastAsia="it-IT"/>
        </w:rPr>
        <w:t>Successivamente nel 1934 Propaganda concesse con rescritto, a determinate condizioni, un indulto, con validità quinquennale.  Tale indulto venne richiesto dall</w:t>
      </w:r>
      <w:r w:rsidRPr="00A27625">
        <w:rPr>
          <w:rFonts w:ascii="Times New Roman" w:eastAsia="Times New Roman" w:hAnsi="Times New Roman" w:cs="Times New Roman"/>
          <w:color w:val="202124"/>
          <w:sz w:val="28"/>
          <w:szCs w:val="28"/>
          <w:lang w:eastAsia="it-IT"/>
        </w:rPr>
        <w:t xml:space="preserve">'abate, </w:t>
      </w:r>
      <w:r>
        <w:rPr>
          <w:rFonts w:ascii="Times New Roman" w:eastAsia="Times New Roman" w:hAnsi="Times New Roman" w:cs="Times New Roman"/>
          <w:color w:val="202124"/>
          <w:sz w:val="28"/>
          <w:szCs w:val="28"/>
          <w:lang w:eastAsia="it-IT"/>
        </w:rPr>
        <w:t xml:space="preserve">che poi divenne </w:t>
      </w:r>
      <w:r w:rsidRPr="00A27625">
        <w:rPr>
          <w:rFonts w:ascii="Times New Roman" w:eastAsia="Times New Roman" w:hAnsi="Times New Roman" w:cs="Times New Roman"/>
          <w:color w:val="202124"/>
          <w:sz w:val="28"/>
          <w:szCs w:val="28"/>
          <w:lang w:eastAsia="it-IT"/>
        </w:rPr>
        <w:t>visitatore apostolico dell'abbazia della Beata Vergine Maria di Montserra</w:t>
      </w:r>
      <w:r>
        <w:rPr>
          <w:rFonts w:ascii="Times New Roman" w:eastAsia="Times New Roman" w:hAnsi="Times New Roman" w:cs="Times New Roman"/>
          <w:color w:val="202124"/>
          <w:sz w:val="28"/>
          <w:szCs w:val="28"/>
          <w:lang w:eastAsia="it-IT"/>
        </w:rPr>
        <w:t>t, sul fiume Januari in Brasile</w:t>
      </w:r>
      <w:r>
        <w:rPr>
          <w:rStyle w:val="Rimandonotaapidipagina"/>
          <w:rFonts w:ascii="Times New Roman" w:eastAsia="Times New Roman" w:hAnsi="Times New Roman" w:cs="Times New Roman"/>
          <w:color w:val="202124"/>
          <w:sz w:val="28"/>
          <w:szCs w:val="28"/>
          <w:lang w:eastAsia="it-IT"/>
        </w:rPr>
        <w:footnoteReference w:id="564"/>
      </w:r>
      <w:r>
        <w:rPr>
          <w:rFonts w:ascii="Times New Roman" w:eastAsia="Times New Roman" w:hAnsi="Times New Roman" w:cs="Times New Roman"/>
          <w:color w:val="202124"/>
          <w:sz w:val="28"/>
          <w:szCs w:val="28"/>
          <w:lang w:eastAsia="it-IT"/>
        </w:rPr>
        <w:t xml:space="preserve">. L’abate chiedeva che venisse affidata a lui ed a coloro che esercitavano la cura delle anime l’amministrazione del sacramento della cresima insieme alla possibilità di celebrare, anche </w:t>
      </w:r>
      <w:r w:rsidRPr="00A27625">
        <w:rPr>
          <w:rFonts w:ascii="Times New Roman" w:eastAsia="Times New Roman" w:hAnsi="Times New Roman" w:cs="Times New Roman"/>
          <w:color w:val="202124"/>
          <w:sz w:val="28"/>
          <w:szCs w:val="28"/>
          <w:lang w:eastAsia="it-IT"/>
        </w:rPr>
        <w:t xml:space="preserve">senza ministro, </w:t>
      </w:r>
      <w:r>
        <w:rPr>
          <w:rFonts w:ascii="Times New Roman" w:eastAsia="Times New Roman" w:hAnsi="Times New Roman" w:cs="Times New Roman"/>
          <w:color w:val="202124"/>
          <w:sz w:val="28"/>
          <w:szCs w:val="28"/>
          <w:lang w:eastAsia="it-IT"/>
        </w:rPr>
        <w:t xml:space="preserve">ed in casi di necessità ed urgenza, anche </w:t>
      </w:r>
      <w:r w:rsidRPr="00A27625">
        <w:rPr>
          <w:rFonts w:ascii="Times New Roman" w:eastAsia="Times New Roman" w:hAnsi="Times New Roman" w:cs="Times New Roman"/>
          <w:color w:val="202124"/>
          <w:sz w:val="28"/>
          <w:szCs w:val="28"/>
          <w:lang w:eastAsia="it-IT"/>
        </w:rPr>
        <w:t>senza luce o con luce non co</w:t>
      </w:r>
      <w:r>
        <w:rPr>
          <w:rFonts w:ascii="Times New Roman" w:eastAsia="Times New Roman" w:hAnsi="Times New Roman" w:cs="Times New Roman"/>
          <w:color w:val="202124"/>
          <w:sz w:val="28"/>
          <w:szCs w:val="28"/>
          <w:lang w:eastAsia="it-IT"/>
        </w:rPr>
        <w:t>nforme ai precetti della chiesa e su un altare rotto, nel caso in cui non si potesse avere altro</w:t>
      </w:r>
      <w:r w:rsidRPr="00A27625">
        <w:rPr>
          <w:rFonts w:ascii="Times New Roman" w:eastAsia="Times New Roman" w:hAnsi="Times New Roman" w:cs="Times New Roman"/>
          <w:color w:val="202124"/>
          <w:sz w:val="28"/>
          <w:szCs w:val="28"/>
          <w:lang w:eastAsia="it-IT"/>
        </w:rPr>
        <w:t>, indossando un solo colore di paramenti</w:t>
      </w:r>
      <w:r>
        <w:rPr>
          <w:rStyle w:val="Rimandonotaapidipagina"/>
          <w:rFonts w:ascii="Times New Roman" w:eastAsia="Times New Roman" w:hAnsi="Times New Roman" w:cs="Times New Roman"/>
          <w:color w:val="202124"/>
          <w:sz w:val="28"/>
          <w:szCs w:val="28"/>
          <w:lang w:eastAsia="it-IT"/>
        </w:rPr>
        <w:footnoteReference w:id="565"/>
      </w:r>
      <w:r w:rsidRPr="00A27625">
        <w:rPr>
          <w:rFonts w:ascii="Times New Roman" w:eastAsia="Times New Roman" w:hAnsi="Times New Roman" w:cs="Times New Roman"/>
          <w:color w:val="202124"/>
          <w:sz w:val="28"/>
          <w:szCs w:val="28"/>
          <w:lang w:eastAsia="it-IT"/>
        </w:rPr>
        <w:t>.</w:t>
      </w:r>
      <w:r>
        <w:rPr>
          <w:rFonts w:ascii="Times New Roman" w:eastAsia="Times New Roman" w:hAnsi="Times New Roman" w:cs="Times New Roman"/>
          <w:color w:val="202124"/>
          <w:sz w:val="28"/>
          <w:szCs w:val="28"/>
          <w:lang w:eastAsia="it-IT"/>
        </w:rPr>
        <w:t xml:space="preserve"> Inoltre l’abate richiedeva che tali facoltà, venendo riconosciute ad un semplice sacerdote, in quanto ministro straordinario dello stesso sacramento, dovessero essere estese a tutti i suoi aiutanti, affinché ai bambini venisse</w:t>
      </w:r>
      <w:r w:rsidRPr="00A27625">
        <w:rPr>
          <w:rFonts w:ascii="Times New Roman" w:eastAsia="Times New Roman" w:hAnsi="Times New Roman" w:cs="Times New Roman"/>
          <w:color w:val="202124"/>
          <w:sz w:val="28"/>
          <w:szCs w:val="28"/>
          <w:lang w:eastAsia="it-IT"/>
        </w:rPr>
        <w:t xml:space="preserve"> insegnato il modo di servire</w:t>
      </w:r>
      <w:r>
        <w:rPr>
          <w:rFonts w:ascii="Times New Roman" w:eastAsia="Times New Roman" w:hAnsi="Times New Roman" w:cs="Times New Roman"/>
          <w:color w:val="202124"/>
          <w:sz w:val="28"/>
          <w:szCs w:val="28"/>
          <w:lang w:eastAsia="it-IT"/>
        </w:rPr>
        <w:t xml:space="preserve"> la santa messa, ma anche per garantire che</w:t>
      </w:r>
      <w:r w:rsidRPr="00A27625">
        <w:rPr>
          <w:rFonts w:ascii="Times New Roman" w:eastAsia="Times New Roman" w:hAnsi="Times New Roman" w:cs="Times New Roman"/>
          <w:color w:val="202124"/>
          <w:sz w:val="28"/>
          <w:szCs w:val="28"/>
          <w:lang w:eastAsia="it-IT"/>
        </w:rPr>
        <w:t xml:space="preserve"> i fe</w:t>
      </w:r>
      <w:r>
        <w:rPr>
          <w:rFonts w:ascii="Times New Roman" w:eastAsia="Times New Roman" w:hAnsi="Times New Roman" w:cs="Times New Roman"/>
          <w:color w:val="202124"/>
          <w:sz w:val="28"/>
          <w:szCs w:val="28"/>
          <w:lang w:eastAsia="it-IT"/>
        </w:rPr>
        <w:t xml:space="preserve">deli e le stesse donne imparassero a </w:t>
      </w:r>
      <w:r w:rsidRPr="00A27625">
        <w:rPr>
          <w:rFonts w:ascii="Times New Roman" w:eastAsia="Times New Roman" w:hAnsi="Times New Roman" w:cs="Times New Roman"/>
          <w:color w:val="202124"/>
          <w:sz w:val="28"/>
          <w:szCs w:val="28"/>
          <w:lang w:eastAsia="it-IT"/>
        </w:rPr>
        <w:t>servire la messa, leggendo le risposte da dare al sacerdote celebrante</w:t>
      </w:r>
      <w:r>
        <w:rPr>
          <w:rStyle w:val="Rimandonotaapidipagina"/>
          <w:rFonts w:ascii="Times New Roman" w:eastAsia="Times New Roman" w:hAnsi="Times New Roman" w:cs="Times New Roman"/>
          <w:color w:val="202124"/>
          <w:sz w:val="28"/>
          <w:szCs w:val="28"/>
          <w:lang w:eastAsia="it-IT"/>
        </w:rPr>
        <w:footnoteReference w:id="566"/>
      </w:r>
      <w:r w:rsidRPr="00A27625">
        <w:rPr>
          <w:rFonts w:ascii="Times New Roman" w:eastAsia="Times New Roman" w:hAnsi="Times New Roman" w:cs="Times New Roman"/>
          <w:color w:val="202124"/>
          <w:sz w:val="28"/>
          <w:szCs w:val="28"/>
          <w:lang w:eastAsia="it-IT"/>
        </w:rPr>
        <w:t>.</w:t>
      </w:r>
    </w:p>
    <w:p w14:paraId="7F215148" w14:textId="77777777" w:rsidR="00140247" w:rsidRDefault="00140247" w:rsidP="00484F9B">
      <w:pPr>
        <w:spacing w:after="0" w:line="360" w:lineRule="auto"/>
        <w:ind w:left="680" w:right="340"/>
        <w:jc w:val="both"/>
        <w:rPr>
          <w:rFonts w:ascii="Times New Roman" w:eastAsia="Times New Roman" w:hAnsi="Times New Roman" w:cs="Times New Roman"/>
          <w:color w:val="202124"/>
          <w:sz w:val="28"/>
          <w:szCs w:val="28"/>
          <w:lang w:eastAsia="it-IT"/>
        </w:rPr>
      </w:pPr>
      <w:r>
        <w:rPr>
          <w:rFonts w:ascii="Times New Roman" w:eastAsia="Times New Roman" w:hAnsi="Times New Roman" w:cs="Times New Roman"/>
          <w:color w:val="202124"/>
          <w:sz w:val="28"/>
          <w:szCs w:val="28"/>
          <w:lang w:eastAsia="it-IT"/>
        </w:rPr>
        <w:t xml:space="preserve">Nel 1941 Propaganda, con formula maggiore e minore, concesse delle facoltà, con valenza decennale, agli ordinari ad essa soggetti. Tra le facoltà che vennero concesse agli ordinari vi era: la possibilità di benedire l’acqua </w:t>
      </w:r>
      <w:r>
        <w:rPr>
          <w:rFonts w:ascii="Times New Roman" w:eastAsia="Times New Roman" w:hAnsi="Times New Roman" w:cs="Times New Roman"/>
          <w:color w:val="202124"/>
          <w:sz w:val="28"/>
          <w:szCs w:val="28"/>
          <w:lang w:eastAsia="it-IT"/>
        </w:rPr>
        <w:lastRenderedPageBreak/>
        <w:t>battesimale, con formula abbreviata, di celebrare la messa su altari mobili e con luci ridotte, in caso di necessità, di dispensare dal matrimonio nel rispetto del can. 1042 CIC, che sottolineava come questo dovesse nascere dal consenso di entrambe le parti</w:t>
      </w:r>
      <w:r>
        <w:rPr>
          <w:rStyle w:val="Rimandonotaapidipagina"/>
          <w:rFonts w:ascii="Times New Roman" w:eastAsia="Times New Roman" w:hAnsi="Times New Roman" w:cs="Times New Roman"/>
          <w:color w:val="202124"/>
          <w:sz w:val="28"/>
          <w:szCs w:val="28"/>
          <w:lang w:eastAsia="it-IT"/>
        </w:rPr>
        <w:footnoteReference w:id="567"/>
      </w:r>
      <w:r>
        <w:rPr>
          <w:rFonts w:ascii="Times New Roman" w:eastAsia="Times New Roman" w:hAnsi="Times New Roman" w:cs="Times New Roman"/>
          <w:color w:val="202124"/>
          <w:sz w:val="28"/>
          <w:szCs w:val="28"/>
          <w:lang w:eastAsia="it-IT"/>
        </w:rPr>
        <w:t>. Inoltre venne affidata l’amministrazione del sacramento della cresima a pochi sacerdoti circoscritti</w:t>
      </w:r>
      <w:r>
        <w:rPr>
          <w:rStyle w:val="Rimandonotaapidipagina"/>
          <w:rFonts w:ascii="Times New Roman" w:eastAsia="Times New Roman" w:hAnsi="Times New Roman" w:cs="Times New Roman"/>
          <w:color w:val="202124"/>
          <w:sz w:val="28"/>
          <w:szCs w:val="28"/>
          <w:lang w:eastAsia="it-IT"/>
        </w:rPr>
        <w:footnoteReference w:id="568"/>
      </w:r>
      <w:r>
        <w:rPr>
          <w:rFonts w:ascii="Times New Roman" w:eastAsia="Times New Roman" w:hAnsi="Times New Roman" w:cs="Times New Roman"/>
          <w:color w:val="202124"/>
          <w:sz w:val="28"/>
          <w:szCs w:val="28"/>
          <w:lang w:eastAsia="it-IT"/>
        </w:rPr>
        <w:t>.</w:t>
      </w:r>
    </w:p>
    <w:p w14:paraId="7B582612"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eastAsia="Times New Roman" w:hAnsi="Times New Roman" w:cs="Times New Roman"/>
          <w:color w:val="202124"/>
          <w:sz w:val="28"/>
          <w:szCs w:val="28"/>
          <w:lang w:eastAsia="it-IT"/>
        </w:rPr>
        <w:t>Propaganda Fide nel 1945 ribadì che un missionario addetto ad un vicariato apostolico, poteva celebrare messa senza ministro, fuori dal territorio del proprio vicariato, chiedendo eventualmente l’autorizzazione all’ordinario del luogo. Inoltre il missionario aveva la possibilità di celebrare su altari mobili, nel rispetto però di quanto previsto dal can. 822 CIC</w:t>
      </w:r>
      <w:r>
        <w:rPr>
          <w:rStyle w:val="Rimandonotaapidipagina"/>
          <w:rFonts w:ascii="Times New Roman" w:eastAsia="Times New Roman" w:hAnsi="Times New Roman" w:cs="Times New Roman"/>
          <w:color w:val="202124"/>
          <w:sz w:val="28"/>
          <w:szCs w:val="28"/>
          <w:lang w:eastAsia="it-IT"/>
        </w:rPr>
        <w:footnoteReference w:id="569"/>
      </w:r>
      <w:r>
        <w:rPr>
          <w:rFonts w:ascii="Times New Roman" w:eastAsia="Times New Roman" w:hAnsi="Times New Roman" w:cs="Times New Roman"/>
          <w:color w:val="202124"/>
          <w:sz w:val="28"/>
          <w:szCs w:val="28"/>
          <w:lang w:eastAsia="it-IT"/>
        </w:rPr>
        <w:t xml:space="preserve">: </w:t>
      </w:r>
      <w:r w:rsidRPr="00FC4C80">
        <w:rPr>
          <w:rFonts w:ascii="Times New Roman" w:hAnsi="Times New Roman" w:cs="Times New Roman"/>
          <w:sz w:val="28"/>
          <w:szCs w:val="28"/>
        </w:rPr>
        <w:t xml:space="preserve">l’altare portabile adibito per diritto o per indulto apostolico permetteva di celebrare dovunque, purché si trattasse di luogo decoroso e </w:t>
      </w:r>
      <w:r>
        <w:rPr>
          <w:rFonts w:ascii="Times New Roman" w:hAnsi="Times New Roman" w:cs="Times New Roman"/>
          <w:sz w:val="28"/>
          <w:szCs w:val="28"/>
        </w:rPr>
        <w:t xml:space="preserve">purché la celebrazione venisse fatta </w:t>
      </w:r>
      <w:r w:rsidRPr="00FC4C80">
        <w:rPr>
          <w:rFonts w:ascii="Times New Roman" w:hAnsi="Times New Roman" w:cs="Times New Roman"/>
          <w:sz w:val="28"/>
          <w:szCs w:val="28"/>
        </w:rPr>
        <w:t>sulla p</w:t>
      </w:r>
      <w:r>
        <w:rPr>
          <w:rFonts w:ascii="Times New Roman" w:hAnsi="Times New Roman" w:cs="Times New Roman"/>
          <w:sz w:val="28"/>
          <w:szCs w:val="28"/>
        </w:rPr>
        <w:t>ietra sacra, ma non in mare</w:t>
      </w:r>
      <w:r>
        <w:rPr>
          <w:rStyle w:val="Rimandonotaapidipagina"/>
          <w:rFonts w:ascii="Times New Roman" w:hAnsi="Times New Roman" w:cs="Times New Roman"/>
          <w:sz w:val="28"/>
          <w:szCs w:val="28"/>
        </w:rPr>
        <w:footnoteReference w:id="570"/>
      </w:r>
      <w:r>
        <w:rPr>
          <w:rFonts w:ascii="Times New Roman" w:hAnsi="Times New Roman" w:cs="Times New Roman"/>
          <w:sz w:val="28"/>
          <w:szCs w:val="28"/>
        </w:rPr>
        <w:t>. L’ordinario locale o il s</w:t>
      </w:r>
      <w:r w:rsidRPr="00FC4C80">
        <w:rPr>
          <w:rFonts w:ascii="Times New Roman" w:hAnsi="Times New Roman" w:cs="Times New Roman"/>
          <w:sz w:val="28"/>
          <w:szCs w:val="28"/>
        </w:rPr>
        <w:t>uperiore maggiore</w:t>
      </w:r>
      <w:r>
        <w:rPr>
          <w:rFonts w:ascii="Times New Roman" w:hAnsi="Times New Roman" w:cs="Times New Roman"/>
          <w:sz w:val="28"/>
          <w:szCs w:val="28"/>
        </w:rPr>
        <w:t>,</w:t>
      </w:r>
      <w:r w:rsidRPr="00FC4C80">
        <w:rPr>
          <w:rFonts w:ascii="Times New Roman" w:hAnsi="Times New Roman" w:cs="Times New Roman"/>
          <w:sz w:val="28"/>
          <w:szCs w:val="28"/>
        </w:rPr>
        <w:t xml:space="preserve"> in casi straordina</w:t>
      </w:r>
      <w:r>
        <w:rPr>
          <w:rFonts w:ascii="Times New Roman" w:hAnsi="Times New Roman" w:cs="Times New Roman"/>
          <w:sz w:val="28"/>
          <w:szCs w:val="28"/>
        </w:rPr>
        <w:t>ri, e per la circostanza potevano</w:t>
      </w:r>
      <w:r w:rsidRPr="00FC4C80">
        <w:rPr>
          <w:rFonts w:ascii="Times New Roman" w:hAnsi="Times New Roman" w:cs="Times New Roman"/>
          <w:sz w:val="28"/>
          <w:szCs w:val="28"/>
        </w:rPr>
        <w:t xml:space="preserve"> permettere di celebrare sulla pietra sacra fuori </w:t>
      </w:r>
      <w:r>
        <w:rPr>
          <w:rFonts w:ascii="Times New Roman" w:hAnsi="Times New Roman" w:cs="Times New Roman"/>
          <w:sz w:val="28"/>
          <w:szCs w:val="28"/>
        </w:rPr>
        <w:t xml:space="preserve">dalla </w:t>
      </w:r>
      <w:r w:rsidRPr="00FC4C80">
        <w:rPr>
          <w:rFonts w:ascii="Times New Roman" w:hAnsi="Times New Roman" w:cs="Times New Roman"/>
          <w:sz w:val="28"/>
          <w:szCs w:val="28"/>
        </w:rPr>
        <w:t xml:space="preserve">chiesa o </w:t>
      </w:r>
      <w:r>
        <w:rPr>
          <w:rFonts w:ascii="Times New Roman" w:hAnsi="Times New Roman" w:cs="Times New Roman"/>
          <w:sz w:val="28"/>
          <w:szCs w:val="28"/>
        </w:rPr>
        <w:t>dall’</w:t>
      </w:r>
      <w:r w:rsidRPr="00FC4C80">
        <w:rPr>
          <w:rFonts w:ascii="Times New Roman" w:hAnsi="Times New Roman" w:cs="Times New Roman"/>
          <w:sz w:val="28"/>
          <w:szCs w:val="28"/>
        </w:rPr>
        <w:t xml:space="preserve">oratorio in luogo decente, </w:t>
      </w:r>
      <w:r>
        <w:rPr>
          <w:rFonts w:ascii="Times New Roman" w:hAnsi="Times New Roman" w:cs="Times New Roman"/>
          <w:sz w:val="28"/>
          <w:szCs w:val="28"/>
        </w:rPr>
        <w:t>ma non in camera da letto</w:t>
      </w:r>
      <w:r>
        <w:rPr>
          <w:rStyle w:val="Rimandonotaapidipagina"/>
          <w:rFonts w:ascii="Times New Roman" w:hAnsi="Times New Roman" w:cs="Times New Roman"/>
          <w:sz w:val="28"/>
          <w:szCs w:val="28"/>
        </w:rPr>
        <w:footnoteReference w:id="571"/>
      </w:r>
      <w:r>
        <w:rPr>
          <w:rFonts w:ascii="Times New Roman" w:hAnsi="Times New Roman" w:cs="Times New Roman"/>
          <w:sz w:val="28"/>
          <w:szCs w:val="28"/>
        </w:rPr>
        <w:t>. Non era</w:t>
      </w:r>
      <w:r w:rsidRPr="00FC4C80">
        <w:rPr>
          <w:rFonts w:ascii="Times New Roman" w:hAnsi="Times New Roman" w:cs="Times New Roman"/>
          <w:sz w:val="28"/>
          <w:szCs w:val="28"/>
        </w:rPr>
        <w:t xml:space="preserve"> lecito celebrare in chiese di eretici o scismatici, sebbene </w:t>
      </w:r>
      <w:r>
        <w:rPr>
          <w:rFonts w:ascii="Times New Roman" w:hAnsi="Times New Roman" w:cs="Times New Roman"/>
          <w:sz w:val="28"/>
          <w:szCs w:val="28"/>
        </w:rPr>
        <w:t xml:space="preserve">fossero state già </w:t>
      </w:r>
      <w:r w:rsidRPr="00FC4C80">
        <w:rPr>
          <w:rFonts w:ascii="Times New Roman" w:hAnsi="Times New Roman" w:cs="Times New Roman"/>
          <w:sz w:val="28"/>
          <w:szCs w:val="28"/>
        </w:rPr>
        <w:t xml:space="preserve">consacrate o benedette. </w:t>
      </w:r>
      <w:r>
        <w:rPr>
          <w:rFonts w:ascii="Times New Roman" w:hAnsi="Times New Roman" w:cs="Times New Roman"/>
          <w:sz w:val="28"/>
          <w:szCs w:val="28"/>
        </w:rPr>
        <w:t xml:space="preserve">Però, al di fuori di questi casi, laddove mancasse </w:t>
      </w:r>
      <w:r w:rsidRPr="00FC4C80">
        <w:rPr>
          <w:rFonts w:ascii="Times New Roman" w:hAnsi="Times New Roman" w:cs="Times New Roman"/>
          <w:sz w:val="28"/>
          <w:szCs w:val="28"/>
        </w:rPr>
        <w:t>l</w:t>
      </w:r>
      <w:r>
        <w:rPr>
          <w:rFonts w:ascii="Times New Roman" w:hAnsi="Times New Roman" w:cs="Times New Roman"/>
          <w:sz w:val="28"/>
          <w:szCs w:val="28"/>
        </w:rPr>
        <w:t>’altare del proprio rito, si poteva</w:t>
      </w:r>
      <w:r w:rsidRPr="00FC4C80">
        <w:rPr>
          <w:rFonts w:ascii="Times New Roman" w:hAnsi="Times New Roman" w:cs="Times New Roman"/>
          <w:sz w:val="28"/>
          <w:szCs w:val="28"/>
        </w:rPr>
        <w:t xml:space="preserve"> </w:t>
      </w:r>
      <w:r>
        <w:rPr>
          <w:rFonts w:ascii="Times New Roman" w:hAnsi="Times New Roman" w:cs="Times New Roman"/>
          <w:sz w:val="28"/>
          <w:szCs w:val="28"/>
        </w:rPr>
        <w:t>celebrare su uno di altro rito</w:t>
      </w:r>
      <w:r>
        <w:rPr>
          <w:rStyle w:val="Rimandonotaapidipagina"/>
          <w:rFonts w:ascii="Times New Roman" w:hAnsi="Times New Roman" w:cs="Times New Roman"/>
          <w:sz w:val="28"/>
          <w:szCs w:val="28"/>
        </w:rPr>
        <w:footnoteReference w:id="572"/>
      </w:r>
      <w:r>
        <w:rPr>
          <w:rFonts w:ascii="Times New Roman" w:hAnsi="Times New Roman" w:cs="Times New Roman"/>
          <w:sz w:val="28"/>
          <w:szCs w:val="28"/>
        </w:rPr>
        <w:t>.</w:t>
      </w:r>
    </w:p>
    <w:p w14:paraId="4F98100C"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Inoltre, tra le altre forme di indulto concesse ai religiosi, Propaganda decise di concedere con rescritto (con validità quinquennale), nel 1947 la possibilità di bere acqua minerale, fino ad un’ora prima della comunione ai fedeli della diocesi di Multan in India, poiché durante le ore notturne mentre attendevano la messa mattutina era tormentati dal caldo</w:t>
      </w:r>
      <w:r>
        <w:rPr>
          <w:rStyle w:val="Rimandonotaapidipagina"/>
          <w:rFonts w:ascii="Times New Roman" w:hAnsi="Times New Roman" w:cs="Times New Roman"/>
          <w:sz w:val="28"/>
          <w:szCs w:val="28"/>
        </w:rPr>
        <w:footnoteReference w:id="573"/>
      </w:r>
      <w:r>
        <w:rPr>
          <w:rFonts w:ascii="Times New Roman" w:hAnsi="Times New Roman" w:cs="Times New Roman"/>
          <w:sz w:val="28"/>
          <w:szCs w:val="28"/>
        </w:rPr>
        <w:t xml:space="preserve">. Sempre in India, Propaganda, </w:t>
      </w:r>
      <w:r>
        <w:rPr>
          <w:rFonts w:ascii="Times New Roman" w:hAnsi="Times New Roman" w:cs="Times New Roman"/>
          <w:sz w:val="28"/>
          <w:szCs w:val="28"/>
        </w:rPr>
        <w:lastRenderedPageBreak/>
        <w:t xml:space="preserve">a seguito del concilio plenario, concesse con rescritto nel 1951 una serie di facoltà ai vescovi indiani, ossia la possibilità </w:t>
      </w:r>
      <w:r w:rsidRPr="00AF426D">
        <w:rPr>
          <w:rFonts w:ascii="Times New Roman" w:hAnsi="Times New Roman" w:cs="Times New Roman"/>
          <w:sz w:val="28"/>
          <w:szCs w:val="28"/>
        </w:rPr>
        <w:t xml:space="preserve">di celebrare la messa pontificia senza ministri assistenti, </w:t>
      </w:r>
      <w:r>
        <w:rPr>
          <w:rFonts w:ascii="Times New Roman" w:hAnsi="Times New Roman" w:cs="Times New Roman"/>
          <w:sz w:val="28"/>
          <w:szCs w:val="28"/>
        </w:rPr>
        <w:t>ma solo con due sacerdoti, in caso di necessità e urgenza e la possibilità data agli ordinari di</w:t>
      </w:r>
      <w:r w:rsidRPr="00AF426D">
        <w:rPr>
          <w:rFonts w:ascii="Times New Roman" w:hAnsi="Times New Roman" w:cs="Times New Roman"/>
          <w:sz w:val="28"/>
          <w:szCs w:val="28"/>
        </w:rPr>
        <w:t xml:space="preserve"> </w:t>
      </w:r>
      <w:r>
        <w:rPr>
          <w:rFonts w:ascii="Times New Roman" w:hAnsi="Times New Roman" w:cs="Times New Roman"/>
          <w:sz w:val="28"/>
          <w:szCs w:val="28"/>
        </w:rPr>
        <w:t xml:space="preserve">omettere </w:t>
      </w:r>
      <w:r w:rsidRPr="00AF426D">
        <w:rPr>
          <w:rFonts w:ascii="Times New Roman" w:hAnsi="Times New Roman" w:cs="Times New Roman"/>
          <w:sz w:val="28"/>
          <w:szCs w:val="28"/>
        </w:rPr>
        <w:t xml:space="preserve">la lettura delle </w:t>
      </w:r>
      <w:r>
        <w:rPr>
          <w:rFonts w:ascii="Times New Roman" w:hAnsi="Times New Roman" w:cs="Times New Roman"/>
          <w:sz w:val="28"/>
          <w:szCs w:val="28"/>
        </w:rPr>
        <w:t xml:space="preserve">preghiere </w:t>
      </w:r>
      <w:r w:rsidRPr="00AF426D">
        <w:rPr>
          <w:rFonts w:ascii="Times New Roman" w:hAnsi="Times New Roman" w:cs="Times New Roman"/>
          <w:sz w:val="28"/>
          <w:szCs w:val="28"/>
        </w:rPr>
        <w:t>nelle sacre funzioni del santo saba</w:t>
      </w:r>
      <w:r>
        <w:rPr>
          <w:rFonts w:ascii="Times New Roman" w:hAnsi="Times New Roman" w:cs="Times New Roman"/>
          <w:sz w:val="28"/>
          <w:szCs w:val="28"/>
        </w:rPr>
        <w:t>to e della veglia di Pentecoste</w:t>
      </w:r>
      <w:r>
        <w:rPr>
          <w:rStyle w:val="Rimandonotaapidipagina"/>
          <w:rFonts w:ascii="Times New Roman" w:hAnsi="Times New Roman" w:cs="Times New Roman"/>
          <w:sz w:val="28"/>
          <w:szCs w:val="28"/>
        </w:rPr>
        <w:footnoteReference w:id="574"/>
      </w:r>
      <w:r>
        <w:rPr>
          <w:rFonts w:ascii="Times New Roman" w:hAnsi="Times New Roman" w:cs="Times New Roman"/>
          <w:sz w:val="28"/>
          <w:szCs w:val="28"/>
        </w:rPr>
        <w:t xml:space="preserve">. </w:t>
      </w:r>
      <w:r w:rsidRPr="00AF426D">
        <w:rPr>
          <w:rFonts w:ascii="Times New Roman" w:hAnsi="Times New Roman" w:cs="Times New Roman"/>
          <w:sz w:val="28"/>
          <w:szCs w:val="28"/>
        </w:rPr>
        <w:t>I</w:t>
      </w:r>
      <w:r>
        <w:rPr>
          <w:rFonts w:ascii="Times New Roman" w:hAnsi="Times New Roman" w:cs="Times New Roman"/>
          <w:sz w:val="28"/>
          <w:szCs w:val="28"/>
        </w:rPr>
        <w:t>noltre i</w:t>
      </w:r>
      <w:r w:rsidRPr="00AF426D">
        <w:rPr>
          <w:rFonts w:ascii="Times New Roman" w:hAnsi="Times New Roman" w:cs="Times New Roman"/>
          <w:sz w:val="28"/>
          <w:szCs w:val="28"/>
        </w:rPr>
        <w:t xml:space="preserve"> sacerdoti, che </w:t>
      </w:r>
      <w:r>
        <w:rPr>
          <w:rFonts w:ascii="Times New Roman" w:hAnsi="Times New Roman" w:cs="Times New Roman"/>
          <w:sz w:val="28"/>
          <w:szCs w:val="28"/>
        </w:rPr>
        <w:t>dovevano celebrare due o tre volte la messa della d</w:t>
      </w:r>
      <w:r w:rsidRPr="00AF426D">
        <w:rPr>
          <w:rFonts w:ascii="Times New Roman" w:hAnsi="Times New Roman" w:cs="Times New Roman"/>
          <w:sz w:val="28"/>
          <w:szCs w:val="28"/>
        </w:rPr>
        <w:t xml:space="preserve">omenica delle Palme, </w:t>
      </w:r>
      <w:r>
        <w:rPr>
          <w:rFonts w:ascii="Times New Roman" w:hAnsi="Times New Roman" w:cs="Times New Roman"/>
          <w:sz w:val="28"/>
          <w:szCs w:val="28"/>
        </w:rPr>
        <w:t>potevano leggere la passione in una sola messa</w:t>
      </w:r>
      <w:r>
        <w:rPr>
          <w:rStyle w:val="Rimandonotaapidipagina"/>
          <w:rFonts w:ascii="Times New Roman" w:hAnsi="Times New Roman" w:cs="Times New Roman"/>
          <w:sz w:val="28"/>
          <w:szCs w:val="28"/>
        </w:rPr>
        <w:footnoteReference w:id="575"/>
      </w:r>
      <w:r>
        <w:rPr>
          <w:rFonts w:ascii="Times New Roman" w:hAnsi="Times New Roman" w:cs="Times New Roman"/>
          <w:sz w:val="28"/>
          <w:szCs w:val="28"/>
        </w:rPr>
        <w:t>. Nel 1958 in India, ad Agra Propaganda concesse delle facoltà specifiche agli ordinari per l’utilizzo della lingua volgare. Difatti permise che le messe parrocchiali cantate e lette, venissero celebrate anche in volgare per garantire la comprensione piena dei fedeli, dopo essere state celebrate in latino</w:t>
      </w:r>
      <w:r>
        <w:rPr>
          <w:rStyle w:val="Rimandonotaapidipagina"/>
          <w:rFonts w:ascii="Times New Roman" w:hAnsi="Times New Roman" w:cs="Times New Roman"/>
          <w:sz w:val="28"/>
          <w:szCs w:val="28"/>
        </w:rPr>
        <w:footnoteReference w:id="576"/>
      </w:r>
      <w:r>
        <w:rPr>
          <w:rFonts w:ascii="Times New Roman" w:hAnsi="Times New Roman" w:cs="Times New Roman"/>
          <w:sz w:val="28"/>
          <w:szCs w:val="28"/>
        </w:rPr>
        <w:t>.</w:t>
      </w:r>
    </w:p>
    <w:p w14:paraId="665E5810"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Nel 1947 Propaganda concesse ai superiori religiosi, facenti parte della congregazione del S. Cuore di Gesù la facoltà di consacrare con formula abbreviata i calici, le lastre, le pietre degli altari, perché era necessario consacrarli tempestivamente prima delle missioni, quindi non si poteva attendere che lo facesse il vescovo</w:t>
      </w:r>
      <w:r>
        <w:rPr>
          <w:rStyle w:val="Rimandonotaapidipagina"/>
          <w:rFonts w:ascii="Times New Roman" w:hAnsi="Times New Roman" w:cs="Times New Roman"/>
          <w:sz w:val="28"/>
          <w:szCs w:val="28"/>
        </w:rPr>
        <w:footnoteReference w:id="577"/>
      </w:r>
      <w:r>
        <w:rPr>
          <w:rFonts w:ascii="Times New Roman" w:hAnsi="Times New Roman" w:cs="Times New Roman"/>
          <w:sz w:val="28"/>
          <w:szCs w:val="28"/>
        </w:rPr>
        <w:t>. Inoltre Propaganda nel 1959 diede ai superiori di questa congregazione con rescritto la facoltà di istituire stazioni del via crucis nei territori dipendenti da Propaganda fide</w:t>
      </w:r>
      <w:r>
        <w:rPr>
          <w:rStyle w:val="Rimandonotaapidipagina"/>
          <w:rFonts w:ascii="Times New Roman" w:hAnsi="Times New Roman" w:cs="Times New Roman"/>
          <w:sz w:val="28"/>
          <w:szCs w:val="28"/>
        </w:rPr>
        <w:footnoteReference w:id="578"/>
      </w:r>
      <w:r>
        <w:rPr>
          <w:rFonts w:ascii="Times New Roman" w:hAnsi="Times New Roman" w:cs="Times New Roman"/>
          <w:sz w:val="28"/>
          <w:szCs w:val="28"/>
        </w:rPr>
        <w:t>.</w:t>
      </w:r>
    </w:p>
    <w:p w14:paraId="20787185"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Nel 1950 Propaganda concesse delle facoltà con valenza decennale ai missionari dell’America latina. Tali facoltà si concretizzavano nella possibilità di soddisfare il precetto annuale della confessione e della comunione fino alla festa di S.Paolo e Pietro e delle agevolazioni per i fedeli che abitavano in luoghi, dai quali non era facile accedere al confessionale, per richiedere indulgenze, che richiedevano digiuni e astinenze</w:t>
      </w:r>
      <w:r>
        <w:rPr>
          <w:rStyle w:val="Rimandonotaapidipagina"/>
          <w:rFonts w:ascii="Times New Roman" w:hAnsi="Times New Roman" w:cs="Times New Roman"/>
          <w:sz w:val="28"/>
          <w:szCs w:val="28"/>
        </w:rPr>
        <w:footnoteReference w:id="579"/>
      </w:r>
      <w:r>
        <w:rPr>
          <w:rFonts w:ascii="Times New Roman" w:hAnsi="Times New Roman" w:cs="Times New Roman"/>
          <w:sz w:val="28"/>
          <w:szCs w:val="28"/>
        </w:rPr>
        <w:t>.</w:t>
      </w:r>
    </w:p>
    <w:p w14:paraId="08E91C67"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lastRenderedPageBreak/>
        <w:t xml:space="preserve">Nel 1961 Propaganda, allo scopo di rafforzare il rapporto con gli ordinari da lei dipendenti decise di concedere una serie di facoltà, ossia: la possibilità di alienare beni mobili ed immobili fino ad un valore equivalente a trentamila dollari USA; la possibilità di far entrare in seminario figli illegittimi, permettendo la loro promozione agli ordini sacri ed il diritto di occuparsi dell’istruzione dei processi </w:t>
      </w:r>
      <w:r w:rsidRPr="00F74AD5">
        <w:rPr>
          <w:rFonts w:ascii="Times New Roman" w:hAnsi="Times New Roman" w:cs="Times New Roman"/>
          <w:i/>
          <w:sz w:val="28"/>
          <w:szCs w:val="28"/>
        </w:rPr>
        <w:t>super</w:t>
      </w:r>
      <w:r>
        <w:rPr>
          <w:rFonts w:ascii="Times New Roman" w:hAnsi="Times New Roman" w:cs="Times New Roman"/>
          <w:sz w:val="28"/>
          <w:szCs w:val="28"/>
        </w:rPr>
        <w:t xml:space="preserve"> </w:t>
      </w:r>
      <w:r w:rsidRPr="00F74AD5">
        <w:rPr>
          <w:rFonts w:ascii="Times New Roman" w:hAnsi="Times New Roman" w:cs="Times New Roman"/>
          <w:i/>
          <w:sz w:val="28"/>
          <w:szCs w:val="28"/>
        </w:rPr>
        <w:t>matrimonio rato et non consummato</w:t>
      </w:r>
      <w:r>
        <w:rPr>
          <w:rFonts w:ascii="Times New Roman" w:hAnsi="Times New Roman" w:cs="Times New Roman"/>
          <w:sz w:val="28"/>
          <w:szCs w:val="28"/>
        </w:rPr>
        <w:t>, purché poi la documentazione venisse trasferita anche a Propaganda fide</w:t>
      </w:r>
      <w:r>
        <w:rPr>
          <w:rStyle w:val="Rimandonotaapidipagina"/>
          <w:rFonts w:ascii="Times New Roman" w:hAnsi="Times New Roman" w:cs="Times New Roman"/>
          <w:sz w:val="28"/>
          <w:szCs w:val="28"/>
        </w:rPr>
        <w:footnoteReference w:id="580"/>
      </w:r>
      <w:r>
        <w:rPr>
          <w:rFonts w:ascii="Times New Roman" w:hAnsi="Times New Roman" w:cs="Times New Roman"/>
          <w:sz w:val="28"/>
          <w:szCs w:val="28"/>
        </w:rPr>
        <w:t>.</w:t>
      </w:r>
    </w:p>
    <w:p w14:paraId="1D6301A9" w14:textId="77777777" w:rsidR="00B3403A" w:rsidRDefault="00B3403A" w:rsidP="00484F9B">
      <w:pPr>
        <w:spacing w:after="0" w:line="360" w:lineRule="auto"/>
        <w:ind w:left="680" w:right="340"/>
        <w:jc w:val="both"/>
        <w:rPr>
          <w:rFonts w:ascii="Times New Roman" w:hAnsi="Times New Roman" w:cs="Times New Roman"/>
          <w:sz w:val="28"/>
          <w:szCs w:val="28"/>
        </w:rPr>
      </w:pPr>
    </w:p>
    <w:p w14:paraId="7A436F42" w14:textId="77777777" w:rsidR="00B3403A" w:rsidRDefault="00B3403A" w:rsidP="00484F9B">
      <w:pPr>
        <w:spacing w:after="0" w:line="360" w:lineRule="auto"/>
        <w:ind w:left="680" w:right="340"/>
        <w:jc w:val="both"/>
        <w:rPr>
          <w:rFonts w:ascii="Times New Roman" w:hAnsi="Times New Roman" w:cs="Times New Roman"/>
          <w:sz w:val="28"/>
          <w:szCs w:val="28"/>
        </w:rPr>
      </w:pPr>
    </w:p>
    <w:p w14:paraId="08102008" w14:textId="77777777" w:rsidR="00140247" w:rsidRDefault="00140247" w:rsidP="00484F9B">
      <w:pPr>
        <w:spacing w:after="0" w:line="360" w:lineRule="auto"/>
        <w:ind w:left="680" w:right="340"/>
        <w:jc w:val="both"/>
        <w:rPr>
          <w:rFonts w:ascii="Times New Roman" w:hAnsi="Times New Roman" w:cs="Times New Roman"/>
          <w:sz w:val="28"/>
          <w:szCs w:val="28"/>
        </w:rPr>
      </w:pPr>
    </w:p>
    <w:p w14:paraId="6DA9797E" w14:textId="33227C0F" w:rsidR="00140247" w:rsidRDefault="00140247" w:rsidP="00484F9B">
      <w:pPr>
        <w:pStyle w:val="Paragrafoelenco"/>
        <w:numPr>
          <w:ilvl w:val="2"/>
          <w:numId w:val="27"/>
        </w:numPr>
        <w:spacing w:after="0" w:line="360" w:lineRule="auto"/>
        <w:ind w:right="340"/>
        <w:jc w:val="both"/>
        <w:rPr>
          <w:rFonts w:ascii="Times New Roman" w:hAnsi="Times New Roman" w:cs="Times New Roman"/>
          <w:i/>
          <w:sz w:val="28"/>
          <w:szCs w:val="28"/>
        </w:rPr>
      </w:pPr>
      <w:r w:rsidRPr="00484F9B">
        <w:rPr>
          <w:rFonts w:ascii="Times New Roman" w:hAnsi="Times New Roman" w:cs="Times New Roman"/>
          <w:i/>
          <w:sz w:val="28"/>
          <w:szCs w:val="28"/>
        </w:rPr>
        <w:t>Privilegio paolino e missioni</w:t>
      </w:r>
    </w:p>
    <w:p w14:paraId="4CFE1B8C" w14:textId="77777777" w:rsidR="00484F9B" w:rsidRPr="00484F9B" w:rsidRDefault="00484F9B" w:rsidP="00484F9B">
      <w:pPr>
        <w:spacing w:after="0" w:line="360" w:lineRule="auto"/>
        <w:ind w:left="680" w:right="340"/>
        <w:jc w:val="both"/>
        <w:rPr>
          <w:rFonts w:ascii="Times New Roman" w:hAnsi="Times New Roman" w:cs="Times New Roman"/>
          <w:i/>
          <w:sz w:val="28"/>
          <w:szCs w:val="28"/>
        </w:rPr>
      </w:pPr>
    </w:p>
    <w:p w14:paraId="2DF444C7" w14:textId="77777777" w:rsidR="00140247" w:rsidRPr="0005612C"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Tra i privilegi che venivano concessi da Propaganda fide vi era anche il privilegio paolino. Con tale espressione si intendeva la possibilità di sciogliere un </w:t>
      </w:r>
      <w:r w:rsidRPr="0005612C">
        <w:rPr>
          <w:rFonts w:ascii="Times New Roman" w:hAnsi="Times New Roman" w:cs="Times New Roman"/>
          <w:sz w:val="28"/>
          <w:szCs w:val="28"/>
        </w:rPr>
        <w:t>matrimonio legittimo</w:t>
      </w:r>
      <w:r>
        <w:rPr>
          <w:rFonts w:ascii="Times New Roman" w:hAnsi="Times New Roman" w:cs="Times New Roman"/>
          <w:sz w:val="28"/>
          <w:szCs w:val="28"/>
        </w:rPr>
        <w:t xml:space="preserve"> e veniva concesso</w:t>
      </w:r>
      <w:r w:rsidRPr="0005612C">
        <w:rPr>
          <w:rFonts w:ascii="Times New Roman" w:hAnsi="Times New Roman" w:cs="Times New Roman"/>
          <w:sz w:val="28"/>
          <w:szCs w:val="28"/>
        </w:rPr>
        <w:t xml:space="preserve"> </w:t>
      </w:r>
      <w:r>
        <w:rPr>
          <w:rFonts w:ascii="Times New Roman" w:hAnsi="Times New Roman" w:cs="Times New Roman"/>
          <w:sz w:val="28"/>
          <w:szCs w:val="28"/>
        </w:rPr>
        <w:t>dal diritto positivo divino</w:t>
      </w:r>
      <w:r w:rsidRPr="0005612C">
        <w:rPr>
          <w:rFonts w:ascii="Times New Roman" w:hAnsi="Times New Roman" w:cs="Times New Roman"/>
          <w:sz w:val="28"/>
          <w:szCs w:val="28"/>
        </w:rPr>
        <w:t xml:space="preserve"> a favore della f</w:t>
      </w:r>
      <w:r>
        <w:rPr>
          <w:rFonts w:ascii="Times New Roman" w:hAnsi="Times New Roman" w:cs="Times New Roman"/>
          <w:sz w:val="28"/>
          <w:szCs w:val="28"/>
        </w:rPr>
        <w:t>ede. Tale privi</w:t>
      </w:r>
      <w:r w:rsidRPr="0005612C">
        <w:rPr>
          <w:rFonts w:ascii="Times New Roman" w:hAnsi="Times New Roman" w:cs="Times New Roman"/>
          <w:sz w:val="28"/>
          <w:szCs w:val="28"/>
        </w:rPr>
        <w:t>legio</w:t>
      </w:r>
      <w:r>
        <w:rPr>
          <w:rFonts w:ascii="Times New Roman" w:hAnsi="Times New Roman" w:cs="Times New Roman"/>
          <w:sz w:val="28"/>
          <w:szCs w:val="28"/>
        </w:rPr>
        <w:t xml:space="preserve"> prese questa denominazione, poiché venne proclamato da S. Paolo. Veniva chiamato anche </w:t>
      </w:r>
      <w:r w:rsidRPr="00E80EAB">
        <w:rPr>
          <w:rFonts w:ascii="Times New Roman" w:hAnsi="Times New Roman" w:cs="Times New Roman"/>
          <w:i/>
          <w:sz w:val="28"/>
          <w:szCs w:val="28"/>
        </w:rPr>
        <w:t>casus apostoli</w:t>
      </w:r>
      <w:r w:rsidRPr="0005612C">
        <w:rPr>
          <w:rFonts w:ascii="Times New Roman" w:hAnsi="Times New Roman" w:cs="Times New Roman"/>
          <w:sz w:val="28"/>
          <w:szCs w:val="28"/>
        </w:rPr>
        <w:t xml:space="preserve">, </w:t>
      </w:r>
      <w:r w:rsidRPr="00E80EAB">
        <w:rPr>
          <w:rFonts w:ascii="Times New Roman" w:hAnsi="Times New Roman" w:cs="Times New Roman"/>
          <w:i/>
          <w:sz w:val="28"/>
          <w:szCs w:val="28"/>
        </w:rPr>
        <w:t>privilegium Christi</w:t>
      </w:r>
      <w:r w:rsidRPr="0005612C">
        <w:rPr>
          <w:rFonts w:ascii="Times New Roman" w:hAnsi="Times New Roman" w:cs="Times New Roman"/>
          <w:sz w:val="28"/>
          <w:szCs w:val="28"/>
        </w:rPr>
        <w:t xml:space="preserve">, </w:t>
      </w:r>
      <w:r w:rsidRPr="00E80EAB">
        <w:rPr>
          <w:rFonts w:ascii="Times New Roman" w:hAnsi="Times New Roman" w:cs="Times New Roman"/>
          <w:i/>
          <w:sz w:val="28"/>
          <w:szCs w:val="28"/>
        </w:rPr>
        <w:t>privilegium fidei</w:t>
      </w:r>
      <w:r w:rsidRPr="0005612C">
        <w:rPr>
          <w:rFonts w:ascii="Times New Roman" w:hAnsi="Times New Roman" w:cs="Times New Roman"/>
          <w:sz w:val="28"/>
          <w:szCs w:val="28"/>
        </w:rPr>
        <w:t>.</w:t>
      </w:r>
    </w:p>
    <w:p w14:paraId="0EFF4862" w14:textId="77777777" w:rsidR="00140247" w:rsidRPr="0005612C" w:rsidRDefault="00140247" w:rsidP="00484F9B">
      <w:pPr>
        <w:spacing w:after="0" w:line="360" w:lineRule="auto"/>
        <w:ind w:left="680" w:right="340"/>
        <w:jc w:val="both"/>
        <w:rPr>
          <w:rFonts w:ascii="Times New Roman" w:hAnsi="Times New Roman" w:cs="Times New Roman"/>
          <w:sz w:val="28"/>
          <w:szCs w:val="28"/>
        </w:rPr>
      </w:pPr>
      <w:r w:rsidRPr="0005612C">
        <w:rPr>
          <w:rFonts w:ascii="Times New Roman" w:hAnsi="Times New Roman" w:cs="Times New Roman"/>
          <w:sz w:val="28"/>
          <w:szCs w:val="28"/>
        </w:rPr>
        <w:t>Il matrimonio de</w:t>
      </w:r>
      <w:r>
        <w:rPr>
          <w:rFonts w:ascii="Times New Roman" w:hAnsi="Times New Roman" w:cs="Times New Roman"/>
          <w:sz w:val="28"/>
          <w:szCs w:val="28"/>
        </w:rPr>
        <w:t xml:space="preserve">gli infedeli era da considerarsi matrimonio legittimo, nel caso in cui non vi fosse alcun </w:t>
      </w:r>
      <w:r w:rsidRPr="0005612C">
        <w:rPr>
          <w:rFonts w:ascii="Times New Roman" w:hAnsi="Times New Roman" w:cs="Times New Roman"/>
          <w:sz w:val="28"/>
          <w:szCs w:val="28"/>
        </w:rPr>
        <w:t>impediment</w:t>
      </w:r>
      <w:r>
        <w:rPr>
          <w:rFonts w:ascii="Times New Roman" w:hAnsi="Times New Roman" w:cs="Times New Roman"/>
          <w:sz w:val="28"/>
          <w:szCs w:val="28"/>
        </w:rPr>
        <w:t>o di diritto divino o naturale. Difatti questo era</w:t>
      </w:r>
      <w:r w:rsidRPr="0005612C">
        <w:rPr>
          <w:rFonts w:ascii="Times New Roman" w:hAnsi="Times New Roman" w:cs="Times New Roman"/>
          <w:sz w:val="28"/>
          <w:szCs w:val="28"/>
        </w:rPr>
        <w:t xml:space="preserve"> valido e indissolubile e non </w:t>
      </w:r>
      <w:r>
        <w:rPr>
          <w:rFonts w:ascii="Times New Roman" w:hAnsi="Times New Roman" w:cs="Times New Roman"/>
          <w:sz w:val="28"/>
          <w:szCs w:val="28"/>
        </w:rPr>
        <w:t xml:space="preserve">poteva essere sciolto, nemmeno </w:t>
      </w:r>
      <w:r w:rsidRPr="0005612C">
        <w:rPr>
          <w:rFonts w:ascii="Times New Roman" w:hAnsi="Times New Roman" w:cs="Times New Roman"/>
          <w:sz w:val="28"/>
          <w:szCs w:val="28"/>
        </w:rPr>
        <w:t>per l’arbitrario abbandono di una delle parti o per mutuo consenso e volontà dei coniugi</w:t>
      </w:r>
      <w:r>
        <w:rPr>
          <w:rStyle w:val="Rimandonotaapidipagina"/>
          <w:rFonts w:ascii="Times New Roman" w:hAnsi="Times New Roman" w:cs="Times New Roman"/>
          <w:sz w:val="28"/>
          <w:szCs w:val="28"/>
        </w:rPr>
        <w:footnoteReference w:id="581"/>
      </w:r>
      <w:r w:rsidRPr="0005612C">
        <w:rPr>
          <w:rFonts w:ascii="Times New Roman" w:hAnsi="Times New Roman" w:cs="Times New Roman"/>
          <w:sz w:val="28"/>
          <w:szCs w:val="28"/>
        </w:rPr>
        <w:t>.</w:t>
      </w:r>
    </w:p>
    <w:p w14:paraId="7C7D023A" w14:textId="77777777" w:rsidR="00140247" w:rsidRPr="0005612C" w:rsidRDefault="00140247" w:rsidP="00484F9B">
      <w:pPr>
        <w:spacing w:after="0" w:line="360" w:lineRule="auto"/>
        <w:ind w:left="680" w:right="340"/>
        <w:jc w:val="both"/>
        <w:rPr>
          <w:rFonts w:ascii="Times New Roman" w:hAnsi="Times New Roman" w:cs="Times New Roman"/>
          <w:sz w:val="28"/>
          <w:szCs w:val="28"/>
        </w:rPr>
      </w:pPr>
      <w:r w:rsidRPr="0005612C">
        <w:rPr>
          <w:rFonts w:ascii="Times New Roman" w:hAnsi="Times New Roman" w:cs="Times New Roman"/>
          <w:sz w:val="28"/>
          <w:szCs w:val="28"/>
        </w:rPr>
        <w:t>Dai matrimoni misti</w:t>
      </w:r>
      <w:r>
        <w:rPr>
          <w:rFonts w:ascii="Times New Roman" w:hAnsi="Times New Roman" w:cs="Times New Roman"/>
          <w:sz w:val="28"/>
          <w:szCs w:val="28"/>
        </w:rPr>
        <w:t>, però, generalmente non cautelati da previ accordi, potevano</w:t>
      </w:r>
      <w:r w:rsidRPr="0005612C">
        <w:rPr>
          <w:rFonts w:ascii="Times New Roman" w:hAnsi="Times New Roman" w:cs="Times New Roman"/>
          <w:sz w:val="28"/>
          <w:szCs w:val="28"/>
        </w:rPr>
        <w:t xml:space="preserve"> derivare dei gravissimi inconven</w:t>
      </w:r>
      <w:r>
        <w:rPr>
          <w:rFonts w:ascii="Times New Roman" w:hAnsi="Times New Roman" w:cs="Times New Roman"/>
          <w:sz w:val="28"/>
          <w:szCs w:val="28"/>
        </w:rPr>
        <w:t xml:space="preserve">ienti. Basti pensare alla situazione in cui uno dei coniugi si allontanava dalla fede, rendendo impossibile una convivenza pacifica. Con il venire meno della convivenza pacifica, </w:t>
      </w:r>
      <w:r w:rsidRPr="0005612C">
        <w:rPr>
          <w:rFonts w:ascii="Times New Roman" w:hAnsi="Times New Roman" w:cs="Times New Roman"/>
          <w:sz w:val="28"/>
          <w:szCs w:val="28"/>
        </w:rPr>
        <w:t xml:space="preserve">la fede del </w:t>
      </w:r>
      <w:r w:rsidRPr="0005612C">
        <w:rPr>
          <w:rFonts w:ascii="Times New Roman" w:hAnsi="Times New Roman" w:cs="Times New Roman"/>
          <w:sz w:val="28"/>
          <w:szCs w:val="28"/>
        </w:rPr>
        <w:lastRenderedPageBreak/>
        <w:t>neofita si trova</w:t>
      </w:r>
      <w:r>
        <w:rPr>
          <w:rFonts w:ascii="Times New Roman" w:hAnsi="Times New Roman" w:cs="Times New Roman"/>
          <w:sz w:val="28"/>
          <w:szCs w:val="28"/>
        </w:rPr>
        <w:t>va in pericolo e i figli divenivano</w:t>
      </w:r>
      <w:r w:rsidRPr="0005612C">
        <w:rPr>
          <w:rFonts w:ascii="Times New Roman" w:hAnsi="Times New Roman" w:cs="Times New Roman"/>
          <w:sz w:val="28"/>
          <w:szCs w:val="28"/>
        </w:rPr>
        <w:t xml:space="preserve"> oggetto di conquista dell’uno o dell’altro </w:t>
      </w:r>
      <w:r>
        <w:rPr>
          <w:rFonts w:ascii="Times New Roman" w:hAnsi="Times New Roman" w:cs="Times New Roman"/>
          <w:sz w:val="28"/>
          <w:szCs w:val="28"/>
        </w:rPr>
        <w:t>coniuge</w:t>
      </w:r>
      <w:r w:rsidRPr="0005612C">
        <w:rPr>
          <w:rFonts w:ascii="Times New Roman" w:hAnsi="Times New Roman" w:cs="Times New Roman"/>
          <w:sz w:val="28"/>
          <w:szCs w:val="28"/>
        </w:rPr>
        <w:t xml:space="preserve"> per essere attratti a diverse e opposte forme di educazione morale e religiosa.</w:t>
      </w:r>
    </w:p>
    <w:p w14:paraId="62CB5BFC" w14:textId="77777777" w:rsidR="00140247" w:rsidRDefault="00140247" w:rsidP="00484F9B">
      <w:pPr>
        <w:spacing w:after="0" w:line="360" w:lineRule="auto"/>
        <w:ind w:left="680" w:right="340"/>
        <w:jc w:val="both"/>
        <w:rPr>
          <w:rFonts w:ascii="Times New Roman" w:hAnsi="Times New Roman" w:cs="Times New Roman"/>
          <w:sz w:val="28"/>
          <w:szCs w:val="28"/>
        </w:rPr>
      </w:pPr>
      <w:r w:rsidRPr="0005612C">
        <w:rPr>
          <w:rFonts w:ascii="Times New Roman" w:hAnsi="Times New Roman" w:cs="Times New Roman"/>
          <w:sz w:val="28"/>
          <w:szCs w:val="28"/>
        </w:rPr>
        <w:t>Allora, nel concorso di un bene di ordine superiore, il mantenimento dell’indissolubilità non rimane</w:t>
      </w:r>
      <w:r>
        <w:rPr>
          <w:rFonts w:ascii="Times New Roman" w:hAnsi="Times New Roman" w:cs="Times New Roman"/>
          <w:sz w:val="28"/>
          <w:szCs w:val="28"/>
        </w:rPr>
        <w:t>va più o</w:t>
      </w:r>
      <w:r w:rsidRPr="0005612C">
        <w:rPr>
          <w:rFonts w:ascii="Times New Roman" w:hAnsi="Times New Roman" w:cs="Times New Roman"/>
          <w:sz w:val="28"/>
          <w:szCs w:val="28"/>
        </w:rPr>
        <w:t>biettivo principale, ma passa</w:t>
      </w:r>
      <w:r>
        <w:rPr>
          <w:rFonts w:ascii="Times New Roman" w:hAnsi="Times New Roman" w:cs="Times New Roman"/>
          <w:sz w:val="28"/>
          <w:szCs w:val="28"/>
        </w:rPr>
        <w:t>va</w:t>
      </w:r>
      <w:r w:rsidRPr="0005612C">
        <w:rPr>
          <w:rFonts w:ascii="Times New Roman" w:hAnsi="Times New Roman" w:cs="Times New Roman"/>
          <w:sz w:val="28"/>
          <w:szCs w:val="28"/>
        </w:rPr>
        <w:t xml:space="preserve"> automaticamente in</w:t>
      </w:r>
      <w:r>
        <w:rPr>
          <w:rFonts w:ascii="Times New Roman" w:hAnsi="Times New Roman" w:cs="Times New Roman"/>
          <w:sz w:val="28"/>
          <w:szCs w:val="28"/>
        </w:rPr>
        <w:t xml:space="preserve"> secondo piano e lo stesso diritto naturale dava</w:t>
      </w:r>
      <w:r w:rsidRPr="0005612C">
        <w:rPr>
          <w:rFonts w:ascii="Times New Roman" w:hAnsi="Times New Roman" w:cs="Times New Roman"/>
          <w:sz w:val="28"/>
          <w:szCs w:val="28"/>
        </w:rPr>
        <w:t xml:space="preserve"> al neofita il diritto e il dovere di andarsene, piuttosto che perdere il dono della fede.</w:t>
      </w:r>
      <w:r w:rsidRPr="00E80EAB">
        <w:t xml:space="preserve"> </w:t>
      </w:r>
      <w:r>
        <w:rPr>
          <w:rFonts w:ascii="Times New Roman" w:hAnsi="Times New Roman" w:cs="Times New Roman"/>
          <w:sz w:val="28"/>
          <w:szCs w:val="28"/>
        </w:rPr>
        <w:t>In vista di questo privilegio, dunque, il ma</w:t>
      </w:r>
      <w:r w:rsidRPr="00E80EAB">
        <w:rPr>
          <w:rFonts w:ascii="Times New Roman" w:hAnsi="Times New Roman" w:cs="Times New Roman"/>
          <w:sz w:val="28"/>
          <w:szCs w:val="28"/>
        </w:rPr>
        <w:t>trimonio dei non battezzati o inf</w:t>
      </w:r>
      <w:r>
        <w:rPr>
          <w:rFonts w:ascii="Times New Roman" w:hAnsi="Times New Roman" w:cs="Times New Roman"/>
          <w:sz w:val="28"/>
          <w:szCs w:val="28"/>
        </w:rPr>
        <w:t>edeli, sebbene consumato, si poteva</w:t>
      </w:r>
      <w:r w:rsidRPr="00E80EAB">
        <w:rPr>
          <w:rFonts w:ascii="Times New Roman" w:hAnsi="Times New Roman" w:cs="Times New Roman"/>
          <w:sz w:val="28"/>
          <w:szCs w:val="28"/>
        </w:rPr>
        <w:t xml:space="preserve"> sciogliere nel cas</w:t>
      </w:r>
      <w:r>
        <w:rPr>
          <w:rFonts w:ascii="Times New Roman" w:hAnsi="Times New Roman" w:cs="Times New Roman"/>
          <w:sz w:val="28"/>
          <w:szCs w:val="28"/>
        </w:rPr>
        <w:t>o in cui una parte, non fosse battez</w:t>
      </w:r>
      <w:r w:rsidRPr="00E80EAB">
        <w:rPr>
          <w:rFonts w:ascii="Times New Roman" w:hAnsi="Times New Roman" w:cs="Times New Roman"/>
          <w:sz w:val="28"/>
          <w:szCs w:val="28"/>
        </w:rPr>
        <w:t xml:space="preserve">zata, o non </w:t>
      </w:r>
      <w:r>
        <w:rPr>
          <w:rFonts w:ascii="Times New Roman" w:hAnsi="Times New Roman" w:cs="Times New Roman"/>
          <w:sz w:val="28"/>
          <w:szCs w:val="28"/>
        </w:rPr>
        <w:t xml:space="preserve">volesse </w:t>
      </w:r>
      <w:r w:rsidRPr="00E80EAB">
        <w:rPr>
          <w:rFonts w:ascii="Times New Roman" w:hAnsi="Times New Roman" w:cs="Times New Roman"/>
          <w:sz w:val="28"/>
          <w:szCs w:val="28"/>
        </w:rPr>
        <w:t xml:space="preserve">coabitare con la parte convertita o </w:t>
      </w:r>
      <w:r>
        <w:rPr>
          <w:rFonts w:ascii="Times New Roman" w:hAnsi="Times New Roman" w:cs="Times New Roman"/>
          <w:sz w:val="28"/>
          <w:szCs w:val="28"/>
        </w:rPr>
        <w:t xml:space="preserve">semplicemente non volesse </w:t>
      </w:r>
      <w:r w:rsidRPr="00E80EAB">
        <w:rPr>
          <w:rFonts w:ascii="Times New Roman" w:hAnsi="Times New Roman" w:cs="Times New Roman"/>
          <w:sz w:val="28"/>
          <w:szCs w:val="28"/>
        </w:rPr>
        <w:t xml:space="preserve">coabitare pacificamente, cioè </w:t>
      </w:r>
      <w:r>
        <w:rPr>
          <w:rFonts w:ascii="Times New Roman" w:hAnsi="Times New Roman" w:cs="Times New Roman"/>
          <w:sz w:val="28"/>
          <w:szCs w:val="28"/>
        </w:rPr>
        <w:t>«</w:t>
      </w:r>
      <w:r w:rsidRPr="00E80EAB">
        <w:rPr>
          <w:rFonts w:ascii="Times New Roman" w:hAnsi="Times New Roman" w:cs="Times New Roman"/>
          <w:sz w:val="28"/>
          <w:szCs w:val="28"/>
        </w:rPr>
        <w:t>senza offesa al nome di Dio o disprezzo del Creatore</w:t>
      </w:r>
      <w:r>
        <w:rPr>
          <w:rFonts w:ascii="Times New Roman" w:hAnsi="Times New Roman" w:cs="Times New Roman"/>
          <w:sz w:val="28"/>
          <w:szCs w:val="28"/>
        </w:rPr>
        <w:t>»</w:t>
      </w:r>
      <w:r>
        <w:rPr>
          <w:rStyle w:val="Rimandonotaapidipagina"/>
          <w:rFonts w:ascii="Times New Roman" w:hAnsi="Times New Roman" w:cs="Times New Roman"/>
          <w:sz w:val="28"/>
          <w:szCs w:val="28"/>
        </w:rPr>
        <w:footnoteReference w:id="582"/>
      </w:r>
      <w:r w:rsidRPr="00E80EAB">
        <w:rPr>
          <w:rFonts w:ascii="Times New Roman" w:hAnsi="Times New Roman" w:cs="Times New Roman"/>
          <w:sz w:val="28"/>
          <w:szCs w:val="28"/>
        </w:rPr>
        <w:t>.</w:t>
      </w:r>
      <w:r w:rsidRPr="004761AA">
        <w:t xml:space="preserve"> </w:t>
      </w:r>
      <w:r>
        <w:rPr>
          <w:rFonts w:ascii="Times New Roman" w:hAnsi="Times New Roman" w:cs="Times New Roman"/>
          <w:sz w:val="28"/>
          <w:szCs w:val="28"/>
        </w:rPr>
        <w:t>Il privilegio trovava applicazione anche</w:t>
      </w:r>
      <w:r w:rsidRPr="004761AA">
        <w:rPr>
          <w:rFonts w:ascii="Times New Roman" w:hAnsi="Times New Roman" w:cs="Times New Roman"/>
          <w:sz w:val="28"/>
          <w:szCs w:val="28"/>
        </w:rPr>
        <w:t xml:space="preserve"> per il matrimonio valido di due infe</w:t>
      </w:r>
      <w:r>
        <w:rPr>
          <w:rFonts w:ascii="Times New Roman" w:hAnsi="Times New Roman" w:cs="Times New Roman"/>
          <w:sz w:val="28"/>
          <w:szCs w:val="28"/>
        </w:rPr>
        <w:t xml:space="preserve">deli, uno dei quali si convertiva alla fede. </w:t>
      </w:r>
    </w:p>
    <w:p w14:paraId="1CDEF303"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Un esempio poteva essere considerato il dubbio sollevato a Propaganda fide sull’utilizzo del privilegio paolino del 1924. La questione verteva sulla legittimità dell’utilizzo di tale privilegio nella seguente situazione: una donna, che dopo essersi convertita al protestantismo aveva contratto un matrimonio con un pagano, il quale dopo un anno l’aveva ripudiata</w:t>
      </w:r>
      <w:r>
        <w:rPr>
          <w:rStyle w:val="Rimandonotaapidipagina"/>
          <w:rFonts w:ascii="Times New Roman" w:hAnsi="Times New Roman" w:cs="Times New Roman"/>
          <w:sz w:val="28"/>
          <w:szCs w:val="28"/>
        </w:rPr>
        <w:footnoteReference w:id="583"/>
      </w:r>
      <w:r>
        <w:rPr>
          <w:rFonts w:ascii="Times New Roman" w:hAnsi="Times New Roman" w:cs="Times New Roman"/>
          <w:sz w:val="28"/>
          <w:szCs w:val="28"/>
        </w:rPr>
        <w:t>. Ciò che veniva chiesto a Propaganda era se questa donna potesse usare il privilegio paolino per sciogliere il matrimonio, così da potersi sposare con un altro uomo protestante, dal quale aveva avuto dei figli</w:t>
      </w:r>
      <w:r>
        <w:rPr>
          <w:rStyle w:val="Rimandonotaapidipagina"/>
          <w:rFonts w:ascii="Times New Roman" w:hAnsi="Times New Roman" w:cs="Times New Roman"/>
          <w:sz w:val="28"/>
          <w:szCs w:val="28"/>
        </w:rPr>
        <w:footnoteReference w:id="584"/>
      </w:r>
      <w:r>
        <w:rPr>
          <w:rFonts w:ascii="Times New Roman" w:hAnsi="Times New Roman" w:cs="Times New Roman"/>
          <w:sz w:val="28"/>
          <w:szCs w:val="28"/>
        </w:rPr>
        <w:t>. La risposta di Propaganda in questo caso fu affermativa. Nel 1932 Propaganda, rispondendo alla delegazione turca spiegò che il modo per sanare un matrimonio misto era garantendo un’educazione cattolica ai futuri figli, senza che questa venisse ostacolata dalla parte acattolica</w:t>
      </w:r>
      <w:r>
        <w:rPr>
          <w:rStyle w:val="Rimandonotaapidipagina"/>
          <w:rFonts w:ascii="Times New Roman" w:hAnsi="Times New Roman" w:cs="Times New Roman"/>
          <w:sz w:val="28"/>
          <w:szCs w:val="28"/>
        </w:rPr>
        <w:footnoteReference w:id="585"/>
      </w:r>
      <w:r>
        <w:rPr>
          <w:rFonts w:ascii="Times New Roman" w:hAnsi="Times New Roman" w:cs="Times New Roman"/>
          <w:sz w:val="28"/>
          <w:szCs w:val="28"/>
        </w:rPr>
        <w:t>.</w:t>
      </w:r>
    </w:p>
    <w:p w14:paraId="19165343" w14:textId="77777777" w:rsidR="00484F9B"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lastRenderedPageBreak/>
        <w:t>Tuttavia tale privilegio, non trovava applicazione rispetto al</w:t>
      </w:r>
      <w:r w:rsidRPr="004761AA">
        <w:rPr>
          <w:rFonts w:ascii="Times New Roman" w:hAnsi="Times New Roman" w:cs="Times New Roman"/>
          <w:sz w:val="28"/>
          <w:szCs w:val="28"/>
        </w:rPr>
        <w:t xml:space="preserve"> matrimonio di </w:t>
      </w:r>
      <w:r>
        <w:rPr>
          <w:rFonts w:ascii="Times New Roman" w:hAnsi="Times New Roman" w:cs="Times New Roman"/>
          <w:sz w:val="28"/>
          <w:szCs w:val="28"/>
        </w:rPr>
        <w:t>due eretici, di cui uno si fosse convertito al</w:t>
      </w:r>
      <w:r w:rsidRPr="004761AA">
        <w:rPr>
          <w:rFonts w:ascii="Times New Roman" w:hAnsi="Times New Roman" w:cs="Times New Roman"/>
          <w:sz w:val="28"/>
          <w:szCs w:val="28"/>
        </w:rPr>
        <w:t>la fede cattolica, perché il matrimonio di questi ultimi una volta cons</w:t>
      </w:r>
      <w:r>
        <w:rPr>
          <w:rFonts w:ascii="Times New Roman" w:hAnsi="Times New Roman" w:cs="Times New Roman"/>
          <w:sz w:val="28"/>
          <w:szCs w:val="28"/>
        </w:rPr>
        <w:t>umato, per nessun motivo si poteva sciogliere. Il privilegio</w:t>
      </w:r>
      <w:r w:rsidRPr="004761AA">
        <w:rPr>
          <w:rFonts w:ascii="Times New Roman" w:hAnsi="Times New Roman" w:cs="Times New Roman"/>
          <w:sz w:val="28"/>
          <w:szCs w:val="28"/>
        </w:rPr>
        <w:t xml:space="preserve"> non si applica</w:t>
      </w:r>
      <w:r>
        <w:rPr>
          <w:rFonts w:ascii="Times New Roman" w:hAnsi="Times New Roman" w:cs="Times New Roman"/>
          <w:sz w:val="28"/>
          <w:szCs w:val="28"/>
        </w:rPr>
        <w:t>va al mat</w:t>
      </w:r>
      <w:r w:rsidRPr="004761AA">
        <w:rPr>
          <w:rFonts w:ascii="Times New Roman" w:hAnsi="Times New Roman" w:cs="Times New Roman"/>
          <w:sz w:val="28"/>
          <w:szCs w:val="28"/>
        </w:rPr>
        <w:t>rimonio che un fedele, o</w:t>
      </w:r>
      <w:r>
        <w:rPr>
          <w:rFonts w:ascii="Times New Roman" w:hAnsi="Times New Roman" w:cs="Times New Roman"/>
          <w:sz w:val="28"/>
          <w:szCs w:val="28"/>
        </w:rPr>
        <w:t>ttenuta regolare dispensa, con</w:t>
      </w:r>
      <w:r w:rsidRPr="004761AA">
        <w:rPr>
          <w:rFonts w:ascii="Times New Roman" w:hAnsi="Times New Roman" w:cs="Times New Roman"/>
          <w:sz w:val="28"/>
          <w:szCs w:val="28"/>
        </w:rPr>
        <w:t>trae</w:t>
      </w:r>
      <w:r>
        <w:rPr>
          <w:rFonts w:ascii="Times New Roman" w:hAnsi="Times New Roman" w:cs="Times New Roman"/>
          <w:sz w:val="28"/>
          <w:szCs w:val="28"/>
        </w:rPr>
        <w:t>va</w:t>
      </w:r>
      <w:r w:rsidRPr="004761AA">
        <w:rPr>
          <w:rFonts w:ascii="Times New Roman" w:hAnsi="Times New Roman" w:cs="Times New Roman"/>
          <w:sz w:val="28"/>
          <w:szCs w:val="28"/>
        </w:rPr>
        <w:t xml:space="preserve"> con un infedele, sebbene poi la part</w:t>
      </w:r>
      <w:r>
        <w:rPr>
          <w:rFonts w:ascii="Times New Roman" w:hAnsi="Times New Roman" w:cs="Times New Roman"/>
          <w:sz w:val="28"/>
          <w:szCs w:val="28"/>
        </w:rPr>
        <w:t>e infedele non volesse</w:t>
      </w:r>
      <w:r w:rsidRPr="004761AA">
        <w:rPr>
          <w:rFonts w:ascii="Times New Roman" w:hAnsi="Times New Roman" w:cs="Times New Roman"/>
          <w:sz w:val="28"/>
          <w:szCs w:val="28"/>
        </w:rPr>
        <w:t xml:space="preserve"> più coabit</w:t>
      </w:r>
      <w:r>
        <w:rPr>
          <w:rFonts w:ascii="Times New Roman" w:hAnsi="Times New Roman" w:cs="Times New Roman"/>
          <w:sz w:val="28"/>
          <w:szCs w:val="28"/>
        </w:rPr>
        <w:t>are pacificamente (can. 1120 CIC)</w:t>
      </w:r>
      <w:r>
        <w:rPr>
          <w:rStyle w:val="Rimandonotaapidipagina"/>
          <w:rFonts w:ascii="Times New Roman" w:hAnsi="Times New Roman" w:cs="Times New Roman"/>
          <w:sz w:val="28"/>
          <w:szCs w:val="28"/>
        </w:rPr>
        <w:footnoteReference w:id="586"/>
      </w:r>
      <w:r>
        <w:rPr>
          <w:rFonts w:ascii="Times New Roman" w:hAnsi="Times New Roman" w:cs="Times New Roman"/>
          <w:sz w:val="28"/>
          <w:szCs w:val="28"/>
        </w:rPr>
        <w:t>. Così pure non si applicava il privilegio, nel caso di un</w:t>
      </w:r>
      <w:r w:rsidRPr="004761AA">
        <w:rPr>
          <w:rFonts w:ascii="Times New Roman" w:hAnsi="Times New Roman" w:cs="Times New Roman"/>
          <w:sz w:val="28"/>
          <w:szCs w:val="28"/>
        </w:rPr>
        <w:t xml:space="preserve"> matrimonio contratto fra d</w:t>
      </w:r>
      <w:r>
        <w:rPr>
          <w:rFonts w:ascii="Times New Roman" w:hAnsi="Times New Roman" w:cs="Times New Roman"/>
          <w:sz w:val="28"/>
          <w:szCs w:val="28"/>
        </w:rPr>
        <w:t>ue parti battezzate, di cui una fosse passata all’apostasia o al</w:t>
      </w:r>
      <w:r w:rsidRPr="004761AA">
        <w:rPr>
          <w:rFonts w:ascii="Times New Roman" w:hAnsi="Times New Roman" w:cs="Times New Roman"/>
          <w:sz w:val="28"/>
          <w:szCs w:val="28"/>
        </w:rPr>
        <w:t xml:space="preserve">l'infedeltà. </w:t>
      </w:r>
      <w:r>
        <w:rPr>
          <w:rFonts w:ascii="Times New Roman" w:hAnsi="Times New Roman" w:cs="Times New Roman"/>
          <w:sz w:val="28"/>
          <w:szCs w:val="28"/>
        </w:rPr>
        <w:t>Non trovava applicazione neanche</w:t>
      </w:r>
      <w:r w:rsidRPr="004761AA">
        <w:rPr>
          <w:rFonts w:ascii="Times New Roman" w:hAnsi="Times New Roman" w:cs="Times New Roman"/>
          <w:sz w:val="28"/>
          <w:szCs w:val="28"/>
        </w:rPr>
        <w:t xml:space="preserve">, </w:t>
      </w:r>
      <w:r>
        <w:rPr>
          <w:rFonts w:ascii="Times New Roman" w:hAnsi="Times New Roman" w:cs="Times New Roman"/>
          <w:sz w:val="28"/>
          <w:szCs w:val="28"/>
        </w:rPr>
        <w:t>nel caso di matri</w:t>
      </w:r>
      <w:r w:rsidRPr="004761AA">
        <w:rPr>
          <w:rFonts w:ascii="Times New Roman" w:hAnsi="Times New Roman" w:cs="Times New Roman"/>
          <w:sz w:val="28"/>
          <w:szCs w:val="28"/>
        </w:rPr>
        <w:t>monio invalido tra due infedeli. Quando si applica</w:t>
      </w:r>
      <w:r>
        <w:rPr>
          <w:rFonts w:ascii="Times New Roman" w:hAnsi="Times New Roman" w:cs="Times New Roman"/>
          <w:sz w:val="28"/>
          <w:szCs w:val="28"/>
        </w:rPr>
        <w:t>va il privilegio</w:t>
      </w:r>
      <w:r w:rsidRPr="004761AA">
        <w:rPr>
          <w:rFonts w:ascii="Times New Roman" w:hAnsi="Times New Roman" w:cs="Times New Roman"/>
          <w:sz w:val="28"/>
          <w:szCs w:val="28"/>
        </w:rPr>
        <w:t>, il vincolo matrimoniale si scioglie</w:t>
      </w:r>
      <w:r>
        <w:rPr>
          <w:rFonts w:ascii="Times New Roman" w:hAnsi="Times New Roman" w:cs="Times New Roman"/>
          <w:sz w:val="28"/>
          <w:szCs w:val="28"/>
        </w:rPr>
        <w:t>va</w:t>
      </w:r>
      <w:r w:rsidRPr="004761AA">
        <w:rPr>
          <w:rFonts w:ascii="Times New Roman" w:hAnsi="Times New Roman" w:cs="Times New Roman"/>
          <w:sz w:val="28"/>
          <w:szCs w:val="28"/>
        </w:rPr>
        <w:t xml:space="preserve">, appena il convertito </w:t>
      </w:r>
      <w:r>
        <w:rPr>
          <w:rFonts w:ascii="Times New Roman" w:hAnsi="Times New Roman" w:cs="Times New Roman"/>
          <w:sz w:val="28"/>
          <w:szCs w:val="28"/>
        </w:rPr>
        <w:t xml:space="preserve">avesse contratto </w:t>
      </w:r>
      <w:r w:rsidRPr="004761AA">
        <w:rPr>
          <w:rFonts w:ascii="Times New Roman" w:hAnsi="Times New Roman" w:cs="Times New Roman"/>
          <w:sz w:val="28"/>
          <w:szCs w:val="28"/>
        </w:rPr>
        <w:t>un altro matrimonio valido (can. 1126</w:t>
      </w:r>
      <w:r>
        <w:rPr>
          <w:rFonts w:ascii="Times New Roman" w:hAnsi="Times New Roman" w:cs="Times New Roman"/>
          <w:sz w:val="28"/>
          <w:szCs w:val="28"/>
        </w:rPr>
        <w:t xml:space="preserve"> CIC</w:t>
      </w:r>
      <w:r w:rsidRPr="004761AA">
        <w:rPr>
          <w:rFonts w:ascii="Times New Roman" w:hAnsi="Times New Roman" w:cs="Times New Roman"/>
          <w:sz w:val="28"/>
          <w:szCs w:val="28"/>
        </w:rPr>
        <w:t>)</w:t>
      </w:r>
      <w:r>
        <w:rPr>
          <w:rStyle w:val="Rimandonotaapidipagina"/>
          <w:rFonts w:ascii="Times New Roman" w:hAnsi="Times New Roman" w:cs="Times New Roman"/>
          <w:sz w:val="28"/>
          <w:szCs w:val="28"/>
        </w:rPr>
        <w:footnoteReference w:id="587"/>
      </w:r>
      <w:r w:rsidRPr="004761AA">
        <w:rPr>
          <w:rFonts w:ascii="Times New Roman" w:hAnsi="Times New Roman" w:cs="Times New Roman"/>
          <w:sz w:val="28"/>
          <w:szCs w:val="28"/>
        </w:rPr>
        <w:t>.</w:t>
      </w:r>
    </w:p>
    <w:p w14:paraId="5FA01F27" w14:textId="77777777" w:rsidR="00484F9B" w:rsidRDefault="00484F9B" w:rsidP="00484F9B">
      <w:pPr>
        <w:spacing w:after="0" w:line="360" w:lineRule="auto"/>
        <w:ind w:left="680" w:right="340"/>
        <w:jc w:val="both"/>
        <w:rPr>
          <w:rFonts w:ascii="Times New Roman" w:hAnsi="Times New Roman" w:cs="Times New Roman"/>
          <w:sz w:val="28"/>
          <w:szCs w:val="28"/>
        </w:rPr>
      </w:pPr>
    </w:p>
    <w:p w14:paraId="17B14321" w14:textId="77777777" w:rsidR="00484F9B" w:rsidRDefault="00484F9B" w:rsidP="00484F9B">
      <w:pPr>
        <w:spacing w:after="0" w:line="360" w:lineRule="auto"/>
        <w:ind w:left="680" w:right="340"/>
        <w:jc w:val="both"/>
        <w:rPr>
          <w:rFonts w:ascii="Times New Roman" w:hAnsi="Times New Roman" w:cs="Times New Roman"/>
          <w:sz w:val="28"/>
          <w:szCs w:val="28"/>
        </w:rPr>
      </w:pPr>
    </w:p>
    <w:p w14:paraId="79D52568" w14:textId="77777777" w:rsidR="00484F9B" w:rsidRDefault="00484F9B" w:rsidP="00484F9B">
      <w:pPr>
        <w:spacing w:after="0" w:line="360" w:lineRule="auto"/>
        <w:ind w:left="680" w:right="340"/>
        <w:jc w:val="both"/>
        <w:rPr>
          <w:rFonts w:ascii="Times New Roman" w:hAnsi="Times New Roman" w:cs="Times New Roman"/>
          <w:sz w:val="28"/>
          <w:szCs w:val="28"/>
        </w:rPr>
      </w:pPr>
    </w:p>
    <w:p w14:paraId="2855161C" w14:textId="06C1867B" w:rsidR="00140247" w:rsidRPr="00484F9B" w:rsidRDefault="00484F9B"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3.1.5</w:t>
      </w:r>
      <w:r w:rsidRPr="00484F9B">
        <w:rPr>
          <w:rFonts w:ascii="Times New Roman" w:hAnsi="Times New Roman" w:cs="Times New Roman"/>
          <w:sz w:val="28"/>
          <w:szCs w:val="28"/>
        </w:rPr>
        <w:t xml:space="preserve"> </w:t>
      </w:r>
      <w:r w:rsidR="00140247" w:rsidRPr="00484F9B">
        <w:rPr>
          <w:rFonts w:ascii="Times New Roman" w:hAnsi="Times New Roman" w:cs="Times New Roman"/>
          <w:i/>
          <w:sz w:val="28"/>
          <w:szCs w:val="28"/>
        </w:rPr>
        <w:t>Cause matrimoniali in terre di missione</w:t>
      </w:r>
    </w:p>
    <w:p w14:paraId="17E5C2A4" w14:textId="77777777" w:rsidR="00484F9B" w:rsidRPr="00484F9B" w:rsidRDefault="00484F9B" w:rsidP="00484F9B">
      <w:pPr>
        <w:spacing w:after="0" w:line="360" w:lineRule="auto"/>
        <w:ind w:left="680" w:right="340"/>
        <w:jc w:val="both"/>
        <w:rPr>
          <w:rFonts w:ascii="Times New Roman" w:hAnsi="Times New Roman" w:cs="Times New Roman"/>
          <w:sz w:val="28"/>
          <w:szCs w:val="28"/>
        </w:rPr>
      </w:pPr>
    </w:p>
    <w:p w14:paraId="5A0AF530" w14:textId="77777777" w:rsidR="00140247" w:rsidRPr="00E52FFD"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Propaganda nel 1929 fornì un’istruzione sulla gestione delle cause matrimoniali in Cina. All’interno di tale istruzione si ribadì che il matrimonio tra i battezzati era regolato dal diritto divino e canonico e per questo le relative cause spettavano di competenza al giudice ecclesiastico (can.1016 CIC)</w:t>
      </w:r>
      <w:r>
        <w:rPr>
          <w:rStyle w:val="Rimandonotaapidipagina"/>
          <w:rFonts w:ascii="Times New Roman" w:hAnsi="Times New Roman" w:cs="Times New Roman"/>
          <w:sz w:val="28"/>
          <w:szCs w:val="28"/>
        </w:rPr>
        <w:footnoteReference w:id="588"/>
      </w:r>
      <w:r>
        <w:rPr>
          <w:rFonts w:ascii="Times New Roman" w:hAnsi="Times New Roman" w:cs="Times New Roman"/>
          <w:sz w:val="28"/>
          <w:szCs w:val="28"/>
        </w:rPr>
        <w:t>. Tuttavia per gli aspetti civili sarebbe dovuto intervenire il magistrato.</w:t>
      </w:r>
      <w:r w:rsidRPr="00E52FFD">
        <w:t xml:space="preserve"> </w:t>
      </w:r>
      <w:r w:rsidRPr="00E52FFD">
        <w:rPr>
          <w:rFonts w:ascii="Times New Roman" w:hAnsi="Times New Roman" w:cs="Times New Roman"/>
          <w:sz w:val="28"/>
          <w:szCs w:val="28"/>
        </w:rPr>
        <w:t xml:space="preserve">La Chiesa </w:t>
      </w:r>
      <w:r>
        <w:rPr>
          <w:rFonts w:ascii="Times New Roman" w:hAnsi="Times New Roman" w:cs="Times New Roman"/>
          <w:sz w:val="28"/>
          <w:szCs w:val="28"/>
        </w:rPr>
        <w:t xml:space="preserve">non approvava il matrimonio civile </w:t>
      </w:r>
      <w:r w:rsidRPr="00E52FFD">
        <w:rPr>
          <w:rFonts w:ascii="Times New Roman" w:hAnsi="Times New Roman" w:cs="Times New Roman"/>
          <w:sz w:val="28"/>
          <w:szCs w:val="28"/>
        </w:rPr>
        <w:t xml:space="preserve">per </w:t>
      </w:r>
      <w:r>
        <w:rPr>
          <w:rFonts w:ascii="Times New Roman" w:hAnsi="Times New Roman" w:cs="Times New Roman"/>
          <w:sz w:val="28"/>
          <w:szCs w:val="28"/>
        </w:rPr>
        <w:t xml:space="preserve">i battezzati, poiché lo considerava </w:t>
      </w:r>
      <w:r w:rsidRPr="00E52FFD">
        <w:rPr>
          <w:rFonts w:ascii="Times New Roman" w:hAnsi="Times New Roman" w:cs="Times New Roman"/>
          <w:sz w:val="28"/>
          <w:szCs w:val="28"/>
        </w:rPr>
        <w:t>un attentato ai propri diritti ed alla libertà di coscienza</w:t>
      </w:r>
      <w:r>
        <w:rPr>
          <w:rFonts w:ascii="Times New Roman" w:hAnsi="Times New Roman" w:cs="Times New Roman"/>
          <w:sz w:val="28"/>
          <w:szCs w:val="28"/>
        </w:rPr>
        <w:t xml:space="preserve"> e</w:t>
      </w:r>
      <w:r w:rsidRPr="00E52FFD">
        <w:rPr>
          <w:rFonts w:ascii="Times New Roman" w:hAnsi="Times New Roman" w:cs="Times New Roman"/>
          <w:sz w:val="28"/>
          <w:szCs w:val="28"/>
        </w:rPr>
        <w:t xml:space="preserve"> una fonte di danni incalcolabili per la moralità pubblica. Inf</w:t>
      </w:r>
      <w:r>
        <w:rPr>
          <w:rFonts w:ascii="Times New Roman" w:hAnsi="Times New Roman" w:cs="Times New Roman"/>
          <w:sz w:val="28"/>
          <w:szCs w:val="28"/>
        </w:rPr>
        <w:t>atti fra i battezzati non si poteva dare matrimonio che non fosse</w:t>
      </w:r>
      <w:r w:rsidRPr="00E52FFD">
        <w:rPr>
          <w:rFonts w:ascii="Times New Roman" w:hAnsi="Times New Roman" w:cs="Times New Roman"/>
          <w:sz w:val="28"/>
          <w:szCs w:val="28"/>
        </w:rPr>
        <w:t xml:space="preserve"> insieme </w:t>
      </w:r>
      <w:r>
        <w:rPr>
          <w:rFonts w:ascii="Times New Roman" w:hAnsi="Times New Roman" w:cs="Times New Roman"/>
          <w:sz w:val="28"/>
          <w:szCs w:val="28"/>
        </w:rPr>
        <w:t>s</w:t>
      </w:r>
      <w:r w:rsidRPr="00E52FFD">
        <w:rPr>
          <w:rFonts w:ascii="Times New Roman" w:hAnsi="Times New Roman" w:cs="Times New Roman"/>
          <w:sz w:val="28"/>
          <w:szCs w:val="28"/>
        </w:rPr>
        <w:t>acramento (can. 1012</w:t>
      </w:r>
      <w:r>
        <w:rPr>
          <w:rFonts w:ascii="Times New Roman" w:hAnsi="Times New Roman" w:cs="Times New Roman"/>
          <w:sz w:val="28"/>
          <w:szCs w:val="28"/>
        </w:rPr>
        <w:t xml:space="preserve"> CIC), </w:t>
      </w:r>
      <w:r>
        <w:rPr>
          <w:rFonts w:ascii="Times New Roman" w:hAnsi="Times New Roman" w:cs="Times New Roman"/>
          <w:sz w:val="28"/>
          <w:szCs w:val="28"/>
        </w:rPr>
        <w:lastRenderedPageBreak/>
        <w:t>cosic</w:t>
      </w:r>
      <w:r w:rsidRPr="00E52FFD">
        <w:rPr>
          <w:rFonts w:ascii="Times New Roman" w:hAnsi="Times New Roman" w:cs="Times New Roman"/>
          <w:sz w:val="28"/>
          <w:szCs w:val="28"/>
        </w:rPr>
        <w:t>ché ogni unione marit</w:t>
      </w:r>
      <w:r>
        <w:rPr>
          <w:rFonts w:ascii="Times New Roman" w:hAnsi="Times New Roman" w:cs="Times New Roman"/>
          <w:sz w:val="28"/>
          <w:szCs w:val="28"/>
        </w:rPr>
        <w:t>ale dei cattolici fuori dal sa</w:t>
      </w:r>
      <w:r w:rsidRPr="00E52FFD">
        <w:rPr>
          <w:rFonts w:ascii="Times New Roman" w:hAnsi="Times New Roman" w:cs="Times New Roman"/>
          <w:sz w:val="28"/>
          <w:szCs w:val="28"/>
        </w:rPr>
        <w:t>c</w:t>
      </w:r>
      <w:r>
        <w:rPr>
          <w:rFonts w:ascii="Times New Roman" w:hAnsi="Times New Roman" w:cs="Times New Roman"/>
          <w:sz w:val="28"/>
          <w:szCs w:val="28"/>
        </w:rPr>
        <w:t>ramento del m</w:t>
      </w:r>
      <w:r w:rsidRPr="00E52FFD">
        <w:rPr>
          <w:rFonts w:ascii="Times New Roman" w:hAnsi="Times New Roman" w:cs="Times New Roman"/>
          <w:sz w:val="28"/>
          <w:szCs w:val="28"/>
        </w:rPr>
        <w:t xml:space="preserve">atrimonio </w:t>
      </w:r>
      <w:r>
        <w:rPr>
          <w:rFonts w:ascii="Times New Roman" w:hAnsi="Times New Roman" w:cs="Times New Roman"/>
          <w:sz w:val="28"/>
          <w:szCs w:val="28"/>
        </w:rPr>
        <w:t xml:space="preserve">veniva considerata un </w:t>
      </w:r>
      <w:r w:rsidRPr="00E52FFD">
        <w:rPr>
          <w:rFonts w:ascii="Times New Roman" w:hAnsi="Times New Roman" w:cs="Times New Roman"/>
          <w:sz w:val="28"/>
          <w:szCs w:val="28"/>
        </w:rPr>
        <w:t>semplice concubinato</w:t>
      </w:r>
      <w:r>
        <w:rPr>
          <w:rStyle w:val="Rimandonotaapidipagina"/>
          <w:rFonts w:ascii="Times New Roman" w:hAnsi="Times New Roman" w:cs="Times New Roman"/>
          <w:sz w:val="28"/>
          <w:szCs w:val="28"/>
        </w:rPr>
        <w:footnoteReference w:id="589"/>
      </w:r>
      <w:r w:rsidRPr="00E52FFD">
        <w:rPr>
          <w:rFonts w:ascii="Times New Roman" w:hAnsi="Times New Roman" w:cs="Times New Roman"/>
          <w:sz w:val="28"/>
          <w:szCs w:val="28"/>
        </w:rPr>
        <w:t>.</w:t>
      </w:r>
    </w:p>
    <w:p w14:paraId="5A53AAC0"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Però laddove il matrimonio civile era obbligatorio, i fedeli potevano</w:t>
      </w:r>
      <w:r w:rsidRPr="00E52FFD">
        <w:rPr>
          <w:rFonts w:ascii="Times New Roman" w:hAnsi="Times New Roman" w:cs="Times New Roman"/>
          <w:sz w:val="28"/>
          <w:szCs w:val="28"/>
        </w:rPr>
        <w:t xml:space="preserve"> contrarlo lecitamente, purché </w:t>
      </w:r>
      <w:r>
        <w:rPr>
          <w:rFonts w:ascii="Times New Roman" w:hAnsi="Times New Roman" w:cs="Times New Roman"/>
          <w:sz w:val="28"/>
          <w:szCs w:val="28"/>
        </w:rPr>
        <w:t xml:space="preserve">facessero </w:t>
      </w:r>
      <w:r w:rsidRPr="00E52FFD">
        <w:rPr>
          <w:rFonts w:ascii="Times New Roman" w:hAnsi="Times New Roman" w:cs="Times New Roman"/>
          <w:sz w:val="28"/>
          <w:szCs w:val="28"/>
        </w:rPr>
        <w:t>una ce</w:t>
      </w:r>
      <w:r>
        <w:rPr>
          <w:rFonts w:ascii="Times New Roman" w:hAnsi="Times New Roman" w:cs="Times New Roman"/>
          <w:sz w:val="28"/>
          <w:szCs w:val="28"/>
        </w:rPr>
        <w:t xml:space="preserve">rimonia puramente civile. Anzi erano </w:t>
      </w:r>
      <w:r w:rsidRPr="00E52FFD">
        <w:rPr>
          <w:rFonts w:ascii="Times New Roman" w:hAnsi="Times New Roman" w:cs="Times New Roman"/>
          <w:sz w:val="28"/>
          <w:szCs w:val="28"/>
        </w:rPr>
        <w:t xml:space="preserve">tenuti a compiere questo atto per scongiurare il pericolo di gravi danni per sé e per la prole. Se possibile, </w:t>
      </w:r>
      <w:r>
        <w:rPr>
          <w:rFonts w:ascii="Times New Roman" w:hAnsi="Times New Roman" w:cs="Times New Roman"/>
          <w:sz w:val="28"/>
          <w:szCs w:val="28"/>
        </w:rPr>
        <w:t>dovevano prima contrarre matrimonio religioso</w:t>
      </w:r>
      <w:r w:rsidRPr="00E52FFD">
        <w:rPr>
          <w:rFonts w:ascii="Times New Roman" w:hAnsi="Times New Roman" w:cs="Times New Roman"/>
          <w:sz w:val="28"/>
          <w:szCs w:val="28"/>
        </w:rPr>
        <w:t xml:space="preserve">; e se prima </w:t>
      </w:r>
      <w:r>
        <w:rPr>
          <w:rFonts w:ascii="Times New Roman" w:hAnsi="Times New Roman" w:cs="Times New Roman"/>
          <w:sz w:val="28"/>
          <w:szCs w:val="28"/>
        </w:rPr>
        <w:t>erano costretti a porre l’atto civile, non potevano</w:t>
      </w:r>
      <w:r w:rsidRPr="00E52FFD">
        <w:rPr>
          <w:rFonts w:ascii="Times New Roman" w:hAnsi="Times New Roman" w:cs="Times New Roman"/>
          <w:sz w:val="28"/>
          <w:szCs w:val="28"/>
        </w:rPr>
        <w:t xml:space="preserve"> </w:t>
      </w:r>
      <w:r>
        <w:rPr>
          <w:rFonts w:ascii="Times New Roman" w:hAnsi="Times New Roman" w:cs="Times New Roman"/>
          <w:sz w:val="28"/>
          <w:szCs w:val="28"/>
        </w:rPr>
        <w:t>coabitare fino al m</w:t>
      </w:r>
      <w:r w:rsidRPr="00E52FFD">
        <w:rPr>
          <w:rFonts w:ascii="Times New Roman" w:hAnsi="Times New Roman" w:cs="Times New Roman"/>
          <w:sz w:val="28"/>
          <w:szCs w:val="28"/>
        </w:rPr>
        <w:t xml:space="preserve">atrimonio religioso, perché con il solo atto civile non </w:t>
      </w:r>
      <w:r>
        <w:rPr>
          <w:rFonts w:ascii="Times New Roman" w:hAnsi="Times New Roman" w:cs="Times New Roman"/>
          <w:sz w:val="28"/>
          <w:szCs w:val="28"/>
        </w:rPr>
        <w:t xml:space="preserve">erano </w:t>
      </w:r>
      <w:r w:rsidRPr="00E52FFD">
        <w:rPr>
          <w:rFonts w:ascii="Times New Roman" w:hAnsi="Times New Roman" w:cs="Times New Roman"/>
          <w:sz w:val="28"/>
          <w:szCs w:val="28"/>
        </w:rPr>
        <w:t>ancora veri coniugi</w:t>
      </w:r>
      <w:r>
        <w:rPr>
          <w:rStyle w:val="Rimandonotaapidipagina"/>
          <w:rFonts w:ascii="Times New Roman" w:hAnsi="Times New Roman" w:cs="Times New Roman"/>
          <w:sz w:val="28"/>
          <w:szCs w:val="28"/>
        </w:rPr>
        <w:footnoteReference w:id="590"/>
      </w:r>
      <w:r>
        <w:rPr>
          <w:rFonts w:ascii="Times New Roman" w:hAnsi="Times New Roman" w:cs="Times New Roman"/>
          <w:sz w:val="28"/>
          <w:szCs w:val="28"/>
        </w:rPr>
        <w:t>.</w:t>
      </w:r>
    </w:p>
    <w:p w14:paraId="30C07BFC" w14:textId="77777777" w:rsidR="00140247" w:rsidRDefault="00140247" w:rsidP="00484F9B">
      <w:pPr>
        <w:spacing w:after="0" w:line="360" w:lineRule="auto"/>
        <w:ind w:left="680" w:right="340"/>
        <w:jc w:val="both"/>
        <w:rPr>
          <w:rFonts w:ascii="Times New Roman" w:hAnsi="Times New Roman" w:cs="Times New Roman"/>
          <w:sz w:val="28"/>
          <w:szCs w:val="28"/>
        </w:rPr>
      </w:pPr>
      <w:r w:rsidRPr="00E52FFD">
        <w:rPr>
          <w:rFonts w:ascii="Times New Roman" w:hAnsi="Times New Roman" w:cs="Times New Roman"/>
          <w:sz w:val="28"/>
          <w:szCs w:val="28"/>
        </w:rPr>
        <w:t xml:space="preserve"> </w:t>
      </w:r>
      <w:r>
        <w:rPr>
          <w:rFonts w:ascii="Times New Roman" w:hAnsi="Times New Roman" w:cs="Times New Roman"/>
          <w:sz w:val="28"/>
          <w:szCs w:val="28"/>
        </w:rPr>
        <w:t xml:space="preserve"> Inoltre quelle cause matrimoniali, che rientravano nel can.1557, il quale ribadiva la competenza del papa rispetto a specifici soggetti come: capi di stato, cardinali o vescovi, spettavano a soggetti specifici, selezionati dal papa, come la S.C de Propaganda fide, una commissione creata ad hoc o uno specifico tribunale. Inoltre le cause per la dispensazione spettavano alla S.C dei sacramenti, quelle riguardanti l’utilizzo del privilegio paolino spettavano alla S.C degli uffici e le cause riguardanti la dispensazione del matrimonio celebrato e non consumato spettavano alla S.C. de Propaganda fide (can.1962 CIC)</w:t>
      </w:r>
      <w:r>
        <w:rPr>
          <w:rStyle w:val="Rimandonotaapidipagina"/>
          <w:rFonts w:ascii="Times New Roman" w:hAnsi="Times New Roman" w:cs="Times New Roman"/>
          <w:sz w:val="28"/>
          <w:szCs w:val="28"/>
        </w:rPr>
        <w:footnoteReference w:id="591"/>
      </w:r>
      <w:r>
        <w:rPr>
          <w:rFonts w:ascii="Times New Roman" w:hAnsi="Times New Roman" w:cs="Times New Roman"/>
          <w:sz w:val="28"/>
          <w:szCs w:val="28"/>
        </w:rPr>
        <w:t>. In tutte le altre cause matrimoniali invece era competente l’o</w:t>
      </w:r>
      <w:r w:rsidRPr="00235850">
        <w:rPr>
          <w:rFonts w:ascii="Times New Roman" w:hAnsi="Times New Roman" w:cs="Times New Roman"/>
          <w:sz w:val="28"/>
          <w:szCs w:val="28"/>
        </w:rPr>
        <w:t>rdinario del luogo della c</w:t>
      </w:r>
      <w:r>
        <w:rPr>
          <w:rFonts w:ascii="Times New Roman" w:hAnsi="Times New Roman" w:cs="Times New Roman"/>
          <w:sz w:val="28"/>
          <w:szCs w:val="28"/>
        </w:rPr>
        <w:t>elebrazione del matrimonio o l’o</w:t>
      </w:r>
      <w:r w:rsidRPr="00235850">
        <w:rPr>
          <w:rFonts w:ascii="Times New Roman" w:hAnsi="Times New Roman" w:cs="Times New Roman"/>
          <w:sz w:val="28"/>
          <w:szCs w:val="28"/>
        </w:rPr>
        <w:t>rdinario del domicilio o quasi</w:t>
      </w:r>
      <w:r>
        <w:rPr>
          <w:rFonts w:ascii="Times New Roman" w:hAnsi="Times New Roman" w:cs="Times New Roman"/>
          <w:sz w:val="28"/>
          <w:szCs w:val="28"/>
        </w:rPr>
        <w:t>-</w:t>
      </w:r>
      <w:r w:rsidRPr="00235850">
        <w:rPr>
          <w:rFonts w:ascii="Times New Roman" w:hAnsi="Times New Roman" w:cs="Times New Roman"/>
          <w:sz w:val="28"/>
          <w:szCs w:val="28"/>
        </w:rPr>
        <w:t>domicilio della parte convenuta se cattolica</w:t>
      </w:r>
      <w:r>
        <w:rPr>
          <w:rFonts w:ascii="Times New Roman" w:hAnsi="Times New Roman" w:cs="Times New Roman"/>
          <w:sz w:val="28"/>
          <w:szCs w:val="28"/>
        </w:rPr>
        <w:t xml:space="preserve"> (can.1964 CIC)</w:t>
      </w:r>
      <w:r>
        <w:rPr>
          <w:rStyle w:val="Rimandonotaapidipagina"/>
          <w:rFonts w:ascii="Times New Roman" w:hAnsi="Times New Roman" w:cs="Times New Roman"/>
          <w:sz w:val="28"/>
          <w:szCs w:val="28"/>
        </w:rPr>
        <w:footnoteReference w:id="592"/>
      </w:r>
      <w:r w:rsidRPr="00235850">
        <w:rPr>
          <w:rFonts w:ascii="Times New Roman" w:hAnsi="Times New Roman" w:cs="Times New Roman"/>
          <w:sz w:val="28"/>
          <w:szCs w:val="28"/>
        </w:rPr>
        <w:t>.</w:t>
      </w:r>
      <w:r>
        <w:rPr>
          <w:rFonts w:ascii="Times New Roman" w:hAnsi="Times New Roman" w:cs="Times New Roman"/>
          <w:sz w:val="28"/>
          <w:szCs w:val="28"/>
        </w:rPr>
        <w:t xml:space="preserve"> Inoltre in tutte le altre cause di nullità per mancata consumazione</w:t>
      </w:r>
      <w:r w:rsidRPr="00910C58">
        <w:rPr>
          <w:rFonts w:ascii="Times New Roman" w:hAnsi="Times New Roman" w:cs="Times New Roman"/>
          <w:sz w:val="28"/>
          <w:szCs w:val="28"/>
        </w:rPr>
        <w:t xml:space="preserve"> o </w:t>
      </w:r>
      <w:r>
        <w:rPr>
          <w:rFonts w:ascii="Times New Roman" w:hAnsi="Times New Roman" w:cs="Times New Roman"/>
          <w:sz w:val="28"/>
          <w:szCs w:val="28"/>
        </w:rPr>
        <w:t>d</w:t>
      </w:r>
      <w:r w:rsidRPr="00910C58">
        <w:rPr>
          <w:rFonts w:ascii="Times New Roman" w:hAnsi="Times New Roman" w:cs="Times New Roman"/>
          <w:sz w:val="28"/>
          <w:szCs w:val="28"/>
        </w:rPr>
        <w:t xml:space="preserve">ispensa </w:t>
      </w:r>
      <w:r>
        <w:rPr>
          <w:rFonts w:ascii="Times New Roman" w:hAnsi="Times New Roman" w:cs="Times New Roman"/>
          <w:sz w:val="28"/>
          <w:szCs w:val="28"/>
        </w:rPr>
        <w:t xml:space="preserve">si doveva citare il difensore del vincolo, il quale </w:t>
      </w:r>
      <w:r w:rsidRPr="00910C58">
        <w:rPr>
          <w:rFonts w:ascii="Times New Roman" w:hAnsi="Times New Roman" w:cs="Times New Roman"/>
          <w:sz w:val="28"/>
          <w:szCs w:val="28"/>
        </w:rPr>
        <w:t>a</w:t>
      </w:r>
      <w:r>
        <w:rPr>
          <w:rFonts w:ascii="Times New Roman" w:hAnsi="Times New Roman" w:cs="Times New Roman"/>
          <w:sz w:val="28"/>
          <w:szCs w:val="28"/>
        </w:rPr>
        <w:t>veva</w:t>
      </w:r>
      <w:r w:rsidRPr="00910C58">
        <w:rPr>
          <w:rFonts w:ascii="Times New Roman" w:hAnsi="Times New Roman" w:cs="Times New Roman"/>
          <w:sz w:val="28"/>
          <w:szCs w:val="28"/>
        </w:rPr>
        <w:t xml:space="preserve"> l’obbligo di assistere all’esame delle parti, </w:t>
      </w:r>
      <w:r>
        <w:rPr>
          <w:rFonts w:ascii="Times New Roman" w:hAnsi="Times New Roman" w:cs="Times New Roman"/>
          <w:sz w:val="28"/>
          <w:szCs w:val="28"/>
        </w:rPr>
        <w:t xml:space="preserve">dei </w:t>
      </w:r>
      <w:r w:rsidRPr="00910C58">
        <w:rPr>
          <w:rFonts w:ascii="Times New Roman" w:hAnsi="Times New Roman" w:cs="Times New Roman"/>
          <w:sz w:val="28"/>
          <w:szCs w:val="28"/>
        </w:rPr>
        <w:t xml:space="preserve">testi e </w:t>
      </w:r>
      <w:r>
        <w:rPr>
          <w:rFonts w:ascii="Times New Roman" w:hAnsi="Times New Roman" w:cs="Times New Roman"/>
          <w:sz w:val="28"/>
          <w:szCs w:val="28"/>
        </w:rPr>
        <w:t xml:space="preserve">dei </w:t>
      </w:r>
      <w:r w:rsidRPr="00910C58">
        <w:rPr>
          <w:rFonts w:ascii="Times New Roman" w:hAnsi="Times New Roman" w:cs="Times New Roman"/>
          <w:sz w:val="28"/>
          <w:szCs w:val="28"/>
        </w:rPr>
        <w:t>periti, esibire al giudice</w:t>
      </w:r>
      <w:r>
        <w:rPr>
          <w:rFonts w:ascii="Times New Roman" w:hAnsi="Times New Roman" w:cs="Times New Roman"/>
          <w:sz w:val="28"/>
          <w:szCs w:val="28"/>
        </w:rPr>
        <w:t xml:space="preserve"> gli interrogatori sigillati, formulare nuove domande emergenti dall’e</w:t>
      </w:r>
      <w:r w:rsidRPr="00910C58">
        <w:rPr>
          <w:rFonts w:ascii="Times New Roman" w:hAnsi="Times New Roman" w:cs="Times New Roman"/>
          <w:sz w:val="28"/>
          <w:szCs w:val="28"/>
        </w:rPr>
        <w:t>same; studiare gli articoli delle pa</w:t>
      </w:r>
      <w:r>
        <w:rPr>
          <w:rFonts w:ascii="Times New Roman" w:hAnsi="Times New Roman" w:cs="Times New Roman"/>
          <w:sz w:val="28"/>
          <w:szCs w:val="28"/>
        </w:rPr>
        <w:t>rti ed esaminarne i documenti. Inoltre doveva difendere nei limiti del possibile</w:t>
      </w:r>
      <w:r w:rsidRPr="00910C58">
        <w:rPr>
          <w:rFonts w:ascii="Times New Roman" w:hAnsi="Times New Roman" w:cs="Times New Roman"/>
          <w:sz w:val="28"/>
          <w:szCs w:val="28"/>
        </w:rPr>
        <w:t xml:space="preserve"> la validità o la consumazione del matrimonio. </w:t>
      </w:r>
      <w:r>
        <w:rPr>
          <w:rFonts w:ascii="Times New Roman" w:hAnsi="Times New Roman" w:cs="Times New Roman"/>
          <w:sz w:val="28"/>
          <w:szCs w:val="28"/>
        </w:rPr>
        <w:t>Questo</w:t>
      </w:r>
      <w:r w:rsidRPr="00910C58">
        <w:rPr>
          <w:rFonts w:ascii="Times New Roman" w:hAnsi="Times New Roman" w:cs="Times New Roman"/>
          <w:sz w:val="28"/>
          <w:szCs w:val="28"/>
        </w:rPr>
        <w:t xml:space="preserve"> </w:t>
      </w:r>
      <w:r>
        <w:rPr>
          <w:rFonts w:ascii="Times New Roman" w:hAnsi="Times New Roman" w:cs="Times New Roman"/>
          <w:sz w:val="28"/>
          <w:szCs w:val="28"/>
        </w:rPr>
        <w:t xml:space="preserve">aveva </w:t>
      </w:r>
      <w:r w:rsidRPr="00910C58">
        <w:rPr>
          <w:rFonts w:ascii="Times New Roman" w:hAnsi="Times New Roman" w:cs="Times New Roman"/>
          <w:sz w:val="28"/>
          <w:szCs w:val="28"/>
        </w:rPr>
        <w:t xml:space="preserve">il diritto </w:t>
      </w:r>
      <w:r w:rsidRPr="00910C58">
        <w:rPr>
          <w:rFonts w:ascii="Times New Roman" w:hAnsi="Times New Roman" w:cs="Times New Roman"/>
          <w:sz w:val="28"/>
          <w:szCs w:val="28"/>
        </w:rPr>
        <w:lastRenderedPageBreak/>
        <w:t>di vedere gli atti in qualunque momento, chiedere e fare prorogare nuovi termini, esaminare prove ed allegati per opporsi; chiedere altri testi, anche terminato e pubblicato il processo, e fare osservazioni; esigere la redazione di altri atti,</w:t>
      </w:r>
      <w:r>
        <w:rPr>
          <w:rFonts w:ascii="Times New Roman" w:hAnsi="Times New Roman" w:cs="Times New Roman"/>
          <w:sz w:val="28"/>
          <w:szCs w:val="28"/>
        </w:rPr>
        <w:t xml:space="preserve"> purché unanimemente non contraddicessero</w:t>
      </w:r>
      <w:r w:rsidRPr="00910C58">
        <w:rPr>
          <w:rFonts w:ascii="Times New Roman" w:hAnsi="Times New Roman" w:cs="Times New Roman"/>
          <w:sz w:val="28"/>
          <w:szCs w:val="28"/>
        </w:rPr>
        <w:t xml:space="preserve"> il Tribunale</w:t>
      </w:r>
      <w:r>
        <w:rPr>
          <w:rFonts w:ascii="Times New Roman" w:hAnsi="Times New Roman" w:cs="Times New Roman"/>
          <w:sz w:val="28"/>
          <w:szCs w:val="28"/>
        </w:rPr>
        <w:t xml:space="preserve"> (cann. 1967-1969 CIC)</w:t>
      </w:r>
      <w:r>
        <w:rPr>
          <w:rStyle w:val="Rimandonotaapidipagina"/>
          <w:rFonts w:ascii="Times New Roman" w:hAnsi="Times New Roman" w:cs="Times New Roman"/>
          <w:sz w:val="28"/>
          <w:szCs w:val="28"/>
        </w:rPr>
        <w:footnoteReference w:id="593"/>
      </w:r>
      <w:r w:rsidRPr="00910C58">
        <w:rPr>
          <w:rFonts w:ascii="Times New Roman" w:hAnsi="Times New Roman" w:cs="Times New Roman"/>
          <w:sz w:val="28"/>
          <w:szCs w:val="28"/>
        </w:rPr>
        <w:t>.</w:t>
      </w:r>
    </w:p>
    <w:p w14:paraId="0053744D" w14:textId="77777777" w:rsidR="00140247" w:rsidRPr="0005612C"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Chi voleva agire aveva l’obbligo di</w:t>
      </w:r>
      <w:r w:rsidRPr="006D4414">
        <w:rPr>
          <w:rFonts w:ascii="Times New Roman" w:hAnsi="Times New Roman" w:cs="Times New Roman"/>
          <w:sz w:val="28"/>
          <w:szCs w:val="28"/>
        </w:rPr>
        <w:t xml:space="preserve"> presentare un libello esplicativo del diritto per cui invoca</w:t>
      </w:r>
      <w:r>
        <w:rPr>
          <w:rFonts w:ascii="Times New Roman" w:hAnsi="Times New Roman" w:cs="Times New Roman"/>
          <w:sz w:val="28"/>
          <w:szCs w:val="28"/>
        </w:rPr>
        <w:t>va</w:t>
      </w:r>
      <w:r w:rsidRPr="006D4414">
        <w:rPr>
          <w:rFonts w:ascii="Times New Roman" w:hAnsi="Times New Roman" w:cs="Times New Roman"/>
          <w:sz w:val="28"/>
          <w:szCs w:val="28"/>
        </w:rPr>
        <w:t xml:space="preserve"> il mi</w:t>
      </w:r>
      <w:r>
        <w:rPr>
          <w:rFonts w:ascii="Times New Roman" w:hAnsi="Times New Roman" w:cs="Times New Roman"/>
          <w:sz w:val="28"/>
          <w:szCs w:val="28"/>
        </w:rPr>
        <w:t xml:space="preserve">nistero del giudice. Laddove il soggetto non avesse saputo </w:t>
      </w:r>
      <w:r w:rsidRPr="006D4414">
        <w:rPr>
          <w:rFonts w:ascii="Times New Roman" w:hAnsi="Times New Roman" w:cs="Times New Roman"/>
          <w:sz w:val="28"/>
          <w:szCs w:val="28"/>
        </w:rPr>
        <w:t>scrivere, o</w:t>
      </w:r>
      <w:r>
        <w:rPr>
          <w:rFonts w:ascii="Times New Roman" w:hAnsi="Times New Roman" w:cs="Times New Roman"/>
          <w:sz w:val="28"/>
          <w:szCs w:val="28"/>
        </w:rPr>
        <w:t xml:space="preserve"> avesse qualche altro impedimento, poteva farlo a voce davanti al tribunale e ciò poteva</w:t>
      </w:r>
      <w:r w:rsidRPr="006D4414">
        <w:rPr>
          <w:rFonts w:ascii="Times New Roman" w:hAnsi="Times New Roman" w:cs="Times New Roman"/>
          <w:sz w:val="28"/>
          <w:szCs w:val="28"/>
        </w:rPr>
        <w:t xml:space="preserve"> anche ammettersi nelle questioni di poca importanza</w:t>
      </w:r>
      <w:r>
        <w:rPr>
          <w:rFonts w:ascii="Times New Roman" w:hAnsi="Times New Roman" w:cs="Times New Roman"/>
          <w:sz w:val="28"/>
          <w:szCs w:val="28"/>
        </w:rPr>
        <w:t xml:space="preserve"> (can. 1707 CIC)</w:t>
      </w:r>
      <w:r>
        <w:rPr>
          <w:rStyle w:val="Rimandonotaapidipagina"/>
          <w:rFonts w:ascii="Times New Roman" w:hAnsi="Times New Roman" w:cs="Times New Roman"/>
          <w:sz w:val="28"/>
          <w:szCs w:val="28"/>
        </w:rPr>
        <w:footnoteReference w:id="594"/>
      </w:r>
      <w:r>
        <w:rPr>
          <w:rFonts w:ascii="Times New Roman" w:hAnsi="Times New Roman" w:cs="Times New Roman"/>
          <w:sz w:val="28"/>
          <w:szCs w:val="28"/>
        </w:rPr>
        <w:t>. Inoltre il libello introduttorio doveva indicare</w:t>
      </w:r>
      <w:r w:rsidRPr="006D4414">
        <w:rPr>
          <w:rFonts w:ascii="Times New Roman" w:hAnsi="Times New Roman" w:cs="Times New Roman"/>
          <w:sz w:val="28"/>
          <w:szCs w:val="28"/>
        </w:rPr>
        <w:t xml:space="preserve"> il giudice, chi e che cosa </w:t>
      </w:r>
      <w:r>
        <w:rPr>
          <w:rFonts w:ascii="Times New Roman" w:hAnsi="Times New Roman" w:cs="Times New Roman"/>
          <w:sz w:val="28"/>
          <w:szCs w:val="28"/>
        </w:rPr>
        <w:t xml:space="preserve">si intendeva </w:t>
      </w:r>
      <w:r w:rsidRPr="006D4414">
        <w:rPr>
          <w:rFonts w:ascii="Times New Roman" w:hAnsi="Times New Roman" w:cs="Times New Roman"/>
          <w:sz w:val="28"/>
          <w:szCs w:val="28"/>
        </w:rPr>
        <w:t>chiede</w:t>
      </w:r>
      <w:r>
        <w:rPr>
          <w:rFonts w:ascii="Times New Roman" w:hAnsi="Times New Roman" w:cs="Times New Roman"/>
          <w:sz w:val="28"/>
          <w:szCs w:val="28"/>
        </w:rPr>
        <w:t>re</w:t>
      </w:r>
      <w:r w:rsidRPr="006D4414">
        <w:rPr>
          <w:rFonts w:ascii="Times New Roman" w:hAnsi="Times New Roman" w:cs="Times New Roman"/>
          <w:sz w:val="28"/>
          <w:szCs w:val="28"/>
        </w:rPr>
        <w:t>, indicando gene</w:t>
      </w:r>
      <w:r>
        <w:rPr>
          <w:rFonts w:ascii="Times New Roman" w:hAnsi="Times New Roman" w:cs="Times New Roman"/>
          <w:sz w:val="28"/>
          <w:szCs w:val="28"/>
        </w:rPr>
        <w:t>ralmente le ragioni, il diritto.</w:t>
      </w:r>
      <w:r w:rsidRPr="006D4414">
        <w:rPr>
          <w:rFonts w:ascii="Times New Roman" w:hAnsi="Times New Roman" w:cs="Times New Roman"/>
          <w:sz w:val="28"/>
          <w:szCs w:val="28"/>
        </w:rPr>
        <w:t xml:space="preserve"> </w:t>
      </w:r>
      <w:r>
        <w:rPr>
          <w:rFonts w:ascii="Times New Roman" w:hAnsi="Times New Roman" w:cs="Times New Roman"/>
          <w:sz w:val="28"/>
          <w:szCs w:val="28"/>
        </w:rPr>
        <w:t xml:space="preserve">Tale libello doveva essere </w:t>
      </w:r>
      <w:r w:rsidRPr="006D4414">
        <w:rPr>
          <w:rFonts w:ascii="Times New Roman" w:hAnsi="Times New Roman" w:cs="Times New Roman"/>
          <w:sz w:val="28"/>
          <w:szCs w:val="28"/>
        </w:rPr>
        <w:t>sottoscritto dall’attore o procuratore con giorno, mese, anno, abitazione o residenza</w:t>
      </w:r>
      <w:r>
        <w:rPr>
          <w:rFonts w:ascii="Times New Roman" w:hAnsi="Times New Roman" w:cs="Times New Roman"/>
          <w:sz w:val="28"/>
          <w:szCs w:val="28"/>
        </w:rPr>
        <w:t xml:space="preserve"> (can.1708 CIC)</w:t>
      </w:r>
      <w:r>
        <w:rPr>
          <w:rStyle w:val="Rimandonotaapidipagina"/>
          <w:rFonts w:ascii="Times New Roman" w:hAnsi="Times New Roman" w:cs="Times New Roman"/>
          <w:sz w:val="28"/>
          <w:szCs w:val="28"/>
        </w:rPr>
        <w:footnoteReference w:id="595"/>
      </w:r>
      <w:r w:rsidRPr="006D4414">
        <w:rPr>
          <w:rFonts w:ascii="Times New Roman" w:hAnsi="Times New Roman" w:cs="Times New Roman"/>
          <w:sz w:val="28"/>
          <w:szCs w:val="28"/>
        </w:rPr>
        <w:t>.</w:t>
      </w:r>
      <w:r>
        <w:rPr>
          <w:rFonts w:ascii="Times New Roman" w:hAnsi="Times New Roman" w:cs="Times New Roman"/>
          <w:sz w:val="28"/>
          <w:szCs w:val="28"/>
        </w:rPr>
        <w:t xml:space="preserve">Infine, laddove mancasse una </w:t>
      </w:r>
      <w:r w:rsidRPr="006D4414">
        <w:rPr>
          <w:rFonts w:ascii="Times New Roman" w:hAnsi="Times New Roman" w:cs="Times New Roman"/>
          <w:sz w:val="28"/>
          <w:szCs w:val="28"/>
        </w:rPr>
        <w:t xml:space="preserve">regolare accusa o richiesta, </w:t>
      </w:r>
      <w:r>
        <w:rPr>
          <w:rFonts w:ascii="Times New Roman" w:hAnsi="Times New Roman" w:cs="Times New Roman"/>
          <w:sz w:val="28"/>
          <w:szCs w:val="28"/>
        </w:rPr>
        <w:t>il tribunale collegiale non poteva</w:t>
      </w:r>
      <w:r w:rsidRPr="006D4414">
        <w:rPr>
          <w:rFonts w:ascii="Times New Roman" w:hAnsi="Times New Roman" w:cs="Times New Roman"/>
          <w:sz w:val="28"/>
          <w:szCs w:val="28"/>
        </w:rPr>
        <w:t xml:space="preserve"> assumere e definire u</w:t>
      </w:r>
      <w:r>
        <w:rPr>
          <w:rFonts w:ascii="Times New Roman" w:hAnsi="Times New Roman" w:cs="Times New Roman"/>
          <w:sz w:val="28"/>
          <w:szCs w:val="28"/>
        </w:rPr>
        <w:t>na causa matrimoniale. Potevano</w:t>
      </w:r>
      <w:r w:rsidRPr="006D4414">
        <w:rPr>
          <w:rFonts w:ascii="Times New Roman" w:hAnsi="Times New Roman" w:cs="Times New Roman"/>
          <w:sz w:val="28"/>
          <w:szCs w:val="28"/>
        </w:rPr>
        <w:t xml:space="preserve"> fare da accusatori i coniugi per separazione o nullità, </w:t>
      </w:r>
      <w:r>
        <w:rPr>
          <w:rFonts w:ascii="Times New Roman" w:hAnsi="Times New Roman" w:cs="Times New Roman"/>
          <w:sz w:val="28"/>
          <w:szCs w:val="28"/>
        </w:rPr>
        <w:t>purché essi non fossero stati causa dell’impedimento e i</w:t>
      </w:r>
      <w:r w:rsidRPr="006D4414">
        <w:rPr>
          <w:rFonts w:ascii="Times New Roman" w:hAnsi="Times New Roman" w:cs="Times New Roman"/>
          <w:sz w:val="28"/>
          <w:szCs w:val="28"/>
        </w:rPr>
        <w:t>l promotore di giustizia per impedimenti p</w:t>
      </w:r>
      <w:r>
        <w:rPr>
          <w:rFonts w:ascii="Times New Roman" w:hAnsi="Times New Roman" w:cs="Times New Roman"/>
          <w:sz w:val="28"/>
          <w:szCs w:val="28"/>
        </w:rPr>
        <w:t>ubblici. Tutti gli altri potevano</w:t>
      </w:r>
      <w:r w:rsidRPr="006D4414">
        <w:rPr>
          <w:rFonts w:ascii="Times New Roman" w:hAnsi="Times New Roman" w:cs="Times New Roman"/>
          <w:sz w:val="28"/>
          <w:szCs w:val="28"/>
        </w:rPr>
        <w:t xml:space="preserve"> solam</w:t>
      </w:r>
      <w:r>
        <w:rPr>
          <w:rFonts w:ascii="Times New Roman" w:hAnsi="Times New Roman" w:cs="Times New Roman"/>
          <w:sz w:val="28"/>
          <w:szCs w:val="28"/>
        </w:rPr>
        <w:t>ente denunciare la nullità all’o</w:t>
      </w:r>
      <w:r w:rsidRPr="006D4414">
        <w:rPr>
          <w:rFonts w:ascii="Times New Roman" w:hAnsi="Times New Roman" w:cs="Times New Roman"/>
          <w:sz w:val="28"/>
          <w:szCs w:val="28"/>
        </w:rPr>
        <w:t>rdinario o al promotore</w:t>
      </w:r>
      <w:r>
        <w:rPr>
          <w:rFonts w:ascii="Times New Roman" w:hAnsi="Times New Roman" w:cs="Times New Roman"/>
          <w:sz w:val="28"/>
          <w:szCs w:val="28"/>
        </w:rPr>
        <w:t xml:space="preserve"> (cann.1970-1971 CIC)</w:t>
      </w:r>
      <w:r>
        <w:rPr>
          <w:rStyle w:val="Rimandonotaapidipagina"/>
          <w:rFonts w:ascii="Times New Roman" w:hAnsi="Times New Roman" w:cs="Times New Roman"/>
          <w:sz w:val="28"/>
          <w:szCs w:val="28"/>
        </w:rPr>
        <w:footnoteReference w:id="596"/>
      </w:r>
      <w:r w:rsidRPr="006D4414">
        <w:rPr>
          <w:rFonts w:ascii="Times New Roman" w:hAnsi="Times New Roman" w:cs="Times New Roman"/>
          <w:sz w:val="28"/>
          <w:szCs w:val="28"/>
        </w:rPr>
        <w:t>.</w:t>
      </w:r>
    </w:p>
    <w:p w14:paraId="09A7E6FF"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Propaganda nel 1934 confermò un privilegio già delineato nel 1908 e spettante agli ordinari cinesi, ossia quello di dispensare la forma sostanziale del matrimonio, nei casi di necessità ed urgenza. Inoltre gli ordinari potevano </w:t>
      </w:r>
      <w:r w:rsidRPr="005406F3">
        <w:rPr>
          <w:rFonts w:ascii="Times New Roman" w:hAnsi="Times New Roman" w:cs="Times New Roman"/>
          <w:sz w:val="28"/>
          <w:szCs w:val="28"/>
        </w:rPr>
        <w:t>subdelegare</w:t>
      </w:r>
      <w:r>
        <w:rPr>
          <w:rFonts w:ascii="Times New Roman" w:hAnsi="Times New Roman" w:cs="Times New Roman"/>
          <w:sz w:val="28"/>
          <w:szCs w:val="28"/>
        </w:rPr>
        <w:t xml:space="preserve"> tale facoltà </w:t>
      </w:r>
      <w:r w:rsidRPr="005406F3">
        <w:rPr>
          <w:rFonts w:ascii="Times New Roman" w:hAnsi="Times New Roman" w:cs="Times New Roman"/>
          <w:sz w:val="28"/>
          <w:szCs w:val="28"/>
        </w:rPr>
        <w:t>ai direttori delle missioni</w:t>
      </w:r>
      <w:r>
        <w:rPr>
          <w:rFonts w:ascii="Times New Roman" w:hAnsi="Times New Roman" w:cs="Times New Roman"/>
          <w:sz w:val="28"/>
          <w:szCs w:val="28"/>
        </w:rPr>
        <w:t>,</w:t>
      </w:r>
      <w:r w:rsidRPr="005406F3">
        <w:rPr>
          <w:rFonts w:ascii="Times New Roman" w:hAnsi="Times New Roman" w:cs="Times New Roman"/>
          <w:sz w:val="28"/>
          <w:szCs w:val="28"/>
        </w:rPr>
        <w:t xml:space="preserve"> nelle aree </w:t>
      </w:r>
      <w:r>
        <w:rPr>
          <w:rFonts w:ascii="Times New Roman" w:hAnsi="Times New Roman" w:cs="Times New Roman"/>
          <w:sz w:val="28"/>
          <w:szCs w:val="28"/>
        </w:rPr>
        <w:t xml:space="preserve">in cui erano </w:t>
      </w:r>
      <w:r w:rsidRPr="005406F3">
        <w:rPr>
          <w:rFonts w:ascii="Times New Roman" w:hAnsi="Times New Roman" w:cs="Times New Roman"/>
          <w:sz w:val="28"/>
          <w:szCs w:val="28"/>
        </w:rPr>
        <w:t>stabilite quasi-parrocchie</w:t>
      </w:r>
      <w:r>
        <w:rPr>
          <w:rFonts w:ascii="Times New Roman" w:hAnsi="Times New Roman" w:cs="Times New Roman"/>
          <w:sz w:val="28"/>
          <w:szCs w:val="28"/>
        </w:rPr>
        <w:t>, che dovevano includere</w:t>
      </w:r>
      <w:r w:rsidRPr="005406F3">
        <w:rPr>
          <w:rFonts w:ascii="Times New Roman" w:hAnsi="Times New Roman" w:cs="Times New Roman"/>
          <w:sz w:val="28"/>
          <w:szCs w:val="28"/>
        </w:rPr>
        <w:t xml:space="preserve"> anche i vicari cooperanti</w:t>
      </w:r>
      <w:r>
        <w:rPr>
          <w:rStyle w:val="Rimandonotaapidipagina"/>
          <w:rFonts w:ascii="Times New Roman" w:hAnsi="Times New Roman" w:cs="Times New Roman"/>
          <w:sz w:val="28"/>
          <w:szCs w:val="28"/>
        </w:rPr>
        <w:footnoteReference w:id="597"/>
      </w:r>
      <w:r w:rsidRPr="005406F3">
        <w:rPr>
          <w:rFonts w:ascii="Times New Roman" w:hAnsi="Times New Roman" w:cs="Times New Roman"/>
          <w:sz w:val="28"/>
          <w:szCs w:val="28"/>
        </w:rPr>
        <w:t>.</w:t>
      </w:r>
    </w:p>
    <w:p w14:paraId="31B3C244" w14:textId="77777777" w:rsidR="00140247" w:rsidRDefault="00140247"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lastRenderedPageBreak/>
        <w:t xml:space="preserve">Nel 1935 Propaganda concesse agli ordinari di alcune missioni una facoltà con validità decennale consistente nella possibilità di iniziare un </w:t>
      </w:r>
      <w:r w:rsidRPr="00DC05B9">
        <w:rPr>
          <w:rFonts w:ascii="Times New Roman" w:hAnsi="Times New Roman" w:cs="Times New Roman"/>
          <w:i/>
          <w:sz w:val="28"/>
          <w:szCs w:val="28"/>
        </w:rPr>
        <w:t>processo super rato et non consumato</w:t>
      </w:r>
      <w:r>
        <w:rPr>
          <w:rFonts w:ascii="Times New Roman" w:hAnsi="Times New Roman" w:cs="Times New Roman"/>
          <w:sz w:val="28"/>
          <w:szCs w:val="28"/>
        </w:rPr>
        <w:t>, senza chiedere l’autorizzazione alla S.C. dei sacramenti (can.1963 CIC), ma per rendere il processo più rapido tale facoltà doveva essere richiesta alle delegazioni a cui erano subordinati tali missionari, ovvero le delegazioni del Giappone, dell’Indocina, dell’India, dell’Africa e dell’Australia</w:t>
      </w:r>
      <w:r>
        <w:rPr>
          <w:rStyle w:val="Rimandonotaapidipagina"/>
          <w:rFonts w:ascii="Times New Roman" w:hAnsi="Times New Roman" w:cs="Times New Roman"/>
          <w:sz w:val="28"/>
          <w:szCs w:val="28"/>
        </w:rPr>
        <w:footnoteReference w:id="598"/>
      </w:r>
      <w:r>
        <w:rPr>
          <w:rFonts w:ascii="Times New Roman" w:hAnsi="Times New Roman" w:cs="Times New Roman"/>
          <w:sz w:val="28"/>
          <w:szCs w:val="28"/>
        </w:rPr>
        <w:t>. La celebrazione di tale processo però doveva rispettare le indicazioni fornite dalla S.C dei Sacramenti nel 1923</w:t>
      </w:r>
      <w:r>
        <w:rPr>
          <w:rStyle w:val="Rimandonotaapidipagina"/>
          <w:rFonts w:ascii="Times New Roman" w:hAnsi="Times New Roman" w:cs="Times New Roman"/>
          <w:sz w:val="28"/>
          <w:szCs w:val="28"/>
        </w:rPr>
        <w:footnoteReference w:id="599"/>
      </w:r>
      <w:r>
        <w:rPr>
          <w:rFonts w:ascii="Times New Roman" w:hAnsi="Times New Roman" w:cs="Times New Roman"/>
          <w:sz w:val="28"/>
          <w:szCs w:val="28"/>
        </w:rPr>
        <w:t>.</w:t>
      </w:r>
    </w:p>
    <w:p w14:paraId="51BED584" w14:textId="77777777" w:rsidR="00140247" w:rsidRDefault="00140247" w:rsidP="00484F9B">
      <w:pPr>
        <w:spacing w:after="0" w:line="360" w:lineRule="auto"/>
        <w:ind w:left="680" w:right="340"/>
        <w:jc w:val="both"/>
        <w:rPr>
          <w:rFonts w:ascii="Times New Roman" w:hAnsi="Times New Roman" w:cs="Times New Roman"/>
          <w:sz w:val="28"/>
          <w:szCs w:val="28"/>
        </w:rPr>
      </w:pPr>
    </w:p>
    <w:p w14:paraId="4BEA2829" w14:textId="711379FE" w:rsidR="00F646E3" w:rsidRDefault="00F646E3"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br w:type="page"/>
      </w:r>
    </w:p>
    <w:p w14:paraId="133C01F5" w14:textId="77777777" w:rsidR="00F646E3" w:rsidRDefault="00F646E3" w:rsidP="00484F9B">
      <w:pPr>
        <w:pStyle w:val="Paragrafoelenco"/>
        <w:spacing w:after="0" w:line="360" w:lineRule="auto"/>
        <w:ind w:left="680" w:right="340"/>
        <w:jc w:val="both"/>
        <w:rPr>
          <w:rFonts w:ascii="Times New Roman" w:hAnsi="Times New Roman" w:cs="Times New Roman"/>
          <w:sz w:val="28"/>
          <w:szCs w:val="28"/>
        </w:rPr>
      </w:pPr>
    </w:p>
    <w:p w14:paraId="30DA7EBA" w14:textId="5B7C5588" w:rsidR="00B3403A" w:rsidRDefault="00B3403A"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CONCLUSIONI</w:t>
      </w:r>
    </w:p>
    <w:p w14:paraId="493C7C43" w14:textId="77777777" w:rsidR="001E446C" w:rsidRDefault="001E446C" w:rsidP="00484F9B">
      <w:pPr>
        <w:pStyle w:val="Paragrafoelenco"/>
        <w:spacing w:after="0" w:line="360" w:lineRule="auto"/>
        <w:ind w:left="680" w:right="340"/>
        <w:jc w:val="both"/>
        <w:rPr>
          <w:rFonts w:ascii="Times New Roman" w:hAnsi="Times New Roman" w:cs="Times New Roman"/>
          <w:sz w:val="28"/>
          <w:szCs w:val="28"/>
        </w:rPr>
      </w:pPr>
    </w:p>
    <w:p w14:paraId="3077F640" w14:textId="77777777" w:rsidR="00B3403A" w:rsidRPr="00484F9B" w:rsidRDefault="00B3403A" w:rsidP="00484F9B">
      <w:pPr>
        <w:spacing w:after="0" w:line="360" w:lineRule="auto"/>
        <w:ind w:right="340"/>
        <w:jc w:val="both"/>
        <w:rPr>
          <w:rFonts w:ascii="Times New Roman" w:hAnsi="Times New Roman" w:cs="Times New Roman"/>
          <w:sz w:val="28"/>
          <w:szCs w:val="28"/>
        </w:rPr>
      </w:pPr>
      <w:r w:rsidRPr="00484F9B">
        <w:rPr>
          <w:rFonts w:ascii="Times New Roman" w:hAnsi="Times New Roman" w:cs="Times New Roman"/>
          <w:sz w:val="28"/>
          <w:szCs w:val="28"/>
        </w:rPr>
        <w:t xml:space="preserve">1.1 </w:t>
      </w:r>
      <w:r w:rsidRPr="00484F9B">
        <w:rPr>
          <w:rFonts w:ascii="Times New Roman" w:hAnsi="Times New Roman" w:cs="Times New Roman"/>
          <w:i/>
          <w:sz w:val="28"/>
          <w:szCs w:val="28"/>
        </w:rPr>
        <w:t>L’importanza storica del diritto missionario ed il suo utilizzo da parte di Propaganda Fide</w:t>
      </w:r>
      <w:r w:rsidRPr="00484F9B">
        <w:rPr>
          <w:rFonts w:ascii="Times New Roman" w:hAnsi="Times New Roman" w:cs="Times New Roman"/>
          <w:sz w:val="28"/>
          <w:szCs w:val="28"/>
        </w:rPr>
        <w:t xml:space="preserve"> </w:t>
      </w:r>
    </w:p>
    <w:p w14:paraId="052EBBE9" w14:textId="77777777" w:rsidR="00B3403A" w:rsidRPr="00484F9B" w:rsidRDefault="00B3403A" w:rsidP="00484F9B">
      <w:pPr>
        <w:pStyle w:val="Paragrafoelenco"/>
        <w:numPr>
          <w:ilvl w:val="2"/>
          <w:numId w:val="18"/>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Le specificità del diritto missionario nella Chiesa</w:t>
      </w:r>
    </w:p>
    <w:p w14:paraId="6CEB9822" w14:textId="77777777" w:rsidR="00B3403A" w:rsidRPr="00484F9B" w:rsidRDefault="00B3403A" w:rsidP="00484F9B">
      <w:pPr>
        <w:pStyle w:val="Paragrafoelenco"/>
        <w:numPr>
          <w:ilvl w:val="2"/>
          <w:numId w:val="18"/>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I cambiamenti nel diritto missionario con il CIC del 1917</w:t>
      </w:r>
    </w:p>
    <w:p w14:paraId="25383CED" w14:textId="77777777" w:rsidR="00B3403A" w:rsidRPr="00484F9B" w:rsidRDefault="00B3403A" w:rsidP="00484F9B">
      <w:pPr>
        <w:pStyle w:val="Paragrafoelenco"/>
        <w:numPr>
          <w:ilvl w:val="2"/>
          <w:numId w:val="18"/>
        </w:numPr>
        <w:spacing w:after="0" w:line="360" w:lineRule="auto"/>
        <w:ind w:left="680" w:right="340"/>
        <w:jc w:val="both"/>
        <w:rPr>
          <w:rFonts w:ascii="Times New Roman" w:hAnsi="Times New Roman" w:cs="Times New Roman"/>
          <w:i/>
          <w:sz w:val="28"/>
          <w:szCs w:val="28"/>
        </w:rPr>
      </w:pPr>
      <w:r w:rsidRPr="00484F9B">
        <w:rPr>
          <w:rFonts w:ascii="Times New Roman" w:hAnsi="Times New Roman" w:cs="Times New Roman"/>
          <w:i/>
          <w:sz w:val="28"/>
          <w:szCs w:val="28"/>
        </w:rPr>
        <w:t>Il diritto missionario e il Concilio Vaticano II</w:t>
      </w:r>
    </w:p>
    <w:p w14:paraId="79860B37" w14:textId="77777777" w:rsidR="00B3403A" w:rsidRDefault="00B3403A" w:rsidP="00484F9B">
      <w:pPr>
        <w:spacing w:after="0" w:line="360" w:lineRule="auto"/>
        <w:ind w:left="680" w:right="340"/>
        <w:jc w:val="both"/>
        <w:rPr>
          <w:rFonts w:ascii="Times New Roman" w:hAnsi="Times New Roman" w:cs="Times New Roman"/>
          <w:sz w:val="28"/>
          <w:szCs w:val="28"/>
        </w:rPr>
      </w:pPr>
    </w:p>
    <w:p w14:paraId="266922E3" w14:textId="77777777" w:rsidR="00B3403A" w:rsidRDefault="00B3403A" w:rsidP="00484F9B">
      <w:pPr>
        <w:spacing w:after="0" w:line="360" w:lineRule="auto"/>
        <w:ind w:left="680" w:right="340"/>
        <w:jc w:val="both"/>
        <w:rPr>
          <w:rFonts w:ascii="Times New Roman" w:hAnsi="Times New Roman" w:cs="Times New Roman"/>
          <w:sz w:val="28"/>
          <w:szCs w:val="28"/>
        </w:rPr>
      </w:pPr>
    </w:p>
    <w:p w14:paraId="2A6C1324" w14:textId="77777777" w:rsidR="00B3403A" w:rsidRDefault="00B3403A" w:rsidP="00484F9B">
      <w:pPr>
        <w:spacing w:after="0" w:line="360" w:lineRule="auto"/>
        <w:ind w:left="680" w:right="340"/>
        <w:jc w:val="both"/>
        <w:rPr>
          <w:rFonts w:ascii="Times New Roman" w:hAnsi="Times New Roman" w:cs="Times New Roman"/>
          <w:sz w:val="28"/>
          <w:szCs w:val="28"/>
        </w:rPr>
      </w:pPr>
    </w:p>
    <w:p w14:paraId="0F271A28" w14:textId="7C6310DD" w:rsidR="00B3403A" w:rsidRDefault="00B3403A" w:rsidP="00484F9B">
      <w:pPr>
        <w:pStyle w:val="Paragrafoelenco"/>
        <w:numPr>
          <w:ilvl w:val="1"/>
          <w:numId w:val="19"/>
        </w:numPr>
        <w:spacing w:after="0" w:line="360" w:lineRule="auto"/>
        <w:ind w:left="680" w:right="340"/>
        <w:jc w:val="both"/>
        <w:rPr>
          <w:rFonts w:ascii="Times New Roman" w:hAnsi="Times New Roman" w:cs="Times New Roman"/>
          <w:i/>
          <w:sz w:val="28"/>
          <w:szCs w:val="28"/>
        </w:rPr>
      </w:pPr>
      <w:r w:rsidRPr="00F646E3">
        <w:rPr>
          <w:rFonts w:ascii="Times New Roman" w:hAnsi="Times New Roman" w:cs="Times New Roman"/>
          <w:i/>
          <w:sz w:val="28"/>
          <w:szCs w:val="28"/>
        </w:rPr>
        <w:t>L’importanza storica del diritto missionario ed il suo utilizzo da parte di Propaganda Fide</w:t>
      </w:r>
    </w:p>
    <w:p w14:paraId="7F8AF766" w14:textId="77777777" w:rsidR="00484F9B" w:rsidRPr="00F646E3" w:rsidRDefault="00484F9B" w:rsidP="00484F9B">
      <w:pPr>
        <w:pStyle w:val="Paragrafoelenco"/>
        <w:spacing w:after="0" w:line="360" w:lineRule="auto"/>
        <w:ind w:left="680" w:right="340"/>
        <w:jc w:val="both"/>
        <w:rPr>
          <w:rFonts w:ascii="Times New Roman" w:hAnsi="Times New Roman" w:cs="Times New Roman"/>
          <w:i/>
          <w:sz w:val="28"/>
          <w:szCs w:val="28"/>
        </w:rPr>
      </w:pPr>
    </w:p>
    <w:p w14:paraId="62B5E08D" w14:textId="77777777" w:rsidR="00B3403A" w:rsidRDefault="00B3403A"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In base a quanto detto nei capitoli precedenti si può affermare che il diritto</w:t>
      </w:r>
      <w:r w:rsidRPr="00ED15B3">
        <w:rPr>
          <w:rFonts w:ascii="Times New Roman" w:hAnsi="Times New Roman" w:cs="Times New Roman"/>
          <w:sz w:val="28"/>
          <w:szCs w:val="28"/>
        </w:rPr>
        <w:t xml:space="preserve"> m</w:t>
      </w:r>
      <w:r>
        <w:rPr>
          <w:rFonts w:ascii="Times New Roman" w:hAnsi="Times New Roman" w:cs="Times New Roman"/>
          <w:sz w:val="28"/>
          <w:szCs w:val="28"/>
        </w:rPr>
        <w:t>issionario non ha avuto uno svi</w:t>
      </w:r>
      <w:r w:rsidRPr="00ED15B3">
        <w:rPr>
          <w:rFonts w:ascii="Times New Roman" w:hAnsi="Times New Roman" w:cs="Times New Roman"/>
          <w:sz w:val="28"/>
          <w:szCs w:val="28"/>
        </w:rPr>
        <w:t xml:space="preserve">luppo </w:t>
      </w:r>
      <w:r>
        <w:rPr>
          <w:rFonts w:ascii="Times New Roman" w:hAnsi="Times New Roman" w:cs="Times New Roman"/>
          <w:sz w:val="28"/>
          <w:szCs w:val="28"/>
        </w:rPr>
        <w:t>lineare. Questo era caratterizzato, più che da solidi principi dottrinali, da adattamenti e perfezionamenti, necessari per superare di volta in volta le difficoltà</w:t>
      </w:r>
      <w:r w:rsidRPr="00ED15B3">
        <w:rPr>
          <w:rFonts w:ascii="Times New Roman" w:hAnsi="Times New Roman" w:cs="Times New Roman"/>
          <w:sz w:val="28"/>
          <w:szCs w:val="28"/>
        </w:rPr>
        <w:t>.</w:t>
      </w:r>
      <w:r>
        <w:rPr>
          <w:rFonts w:ascii="Times New Roman" w:hAnsi="Times New Roman" w:cs="Times New Roman"/>
          <w:sz w:val="28"/>
          <w:szCs w:val="28"/>
        </w:rPr>
        <w:t xml:space="preserve"> </w:t>
      </w:r>
    </w:p>
    <w:p w14:paraId="7674615A" w14:textId="77777777" w:rsidR="00B3403A" w:rsidRPr="00ED15B3" w:rsidRDefault="00B3403A"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Il diritto missionario è un diritto </w:t>
      </w:r>
      <w:r w:rsidRPr="00ED15B3">
        <w:rPr>
          <w:rFonts w:ascii="Times New Roman" w:hAnsi="Times New Roman" w:cs="Times New Roman"/>
          <w:sz w:val="28"/>
          <w:szCs w:val="28"/>
        </w:rPr>
        <w:t>semplice e spedito, non rigido e assoluto, ma flessibile e vario, che non bada t</w:t>
      </w:r>
      <w:r>
        <w:rPr>
          <w:rFonts w:ascii="Times New Roman" w:hAnsi="Times New Roman" w:cs="Times New Roman"/>
          <w:sz w:val="28"/>
          <w:szCs w:val="28"/>
        </w:rPr>
        <w:t>anto al nome degli isti</w:t>
      </w:r>
      <w:r w:rsidRPr="00ED15B3">
        <w:rPr>
          <w:rFonts w:ascii="Times New Roman" w:hAnsi="Times New Roman" w:cs="Times New Roman"/>
          <w:sz w:val="28"/>
          <w:szCs w:val="28"/>
        </w:rPr>
        <w:t>tuti giuridici creati, quanto al</w:t>
      </w:r>
      <w:r>
        <w:rPr>
          <w:rFonts w:ascii="Times New Roman" w:hAnsi="Times New Roman" w:cs="Times New Roman"/>
          <w:sz w:val="28"/>
          <w:szCs w:val="28"/>
        </w:rPr>
        <w:t>la loro utilità. Una sua carat</w:t>
      </w:r>
      <w:r w:rsidRPr="00ED15B3">
        <w:rPr>
          <w:rFonts w:ascii="Times New Roman" w:hAnsi="Times New Roman" w:cs="Times New Roman"/>
          <w:sz w:val="28"/>
          <w:szCs w:val="28"/>
        </w:rPr>
        <w:t>teristica de</w:t>
      </w:r>
      <w:r>
        <w:rPr>
          <w:rFonts w:ascii="Times New Roman" w:hAnsi="Times New Roman" w:cs="Times New Roman"/>
          <w:sz w:val="28"/>
          <w:szCs w:val="28"/>
        </w:rPr>
        <w:t xml:space="preserve">riva dal fatto che le missioni venivano </w:t>
      </w:r>
      <w:r w:rsidRPr="00ED15B3">
        <w:rPr>
          <w:rFonts w:ascii="Times New Roman" w:hAnsi="Times New Roman" w:cs="Times New Roman"/>
          <w:sz w:val="28"/>
          <w:szCs w:val="28"/>
        </w:rPr>
        <w:t xml:space="preserve">affidate nella </w:t>
      </w:r>
      <w:r>
        <w:rPr>
          <w:rFonts w:ascii="Times New Roman" w:hAnsi="Times New Roman" w:cs="Times New Roman"/>
          <w:sz w:val="28"/>
          <w:szCs w:val="28"/>
        </w:rPr>
        <w:t>stra</w:t>
      </w:r>
      <w:r w:rsidRPr="00ED15B3">
        <w:rPr>
          <w:rFonts w:ascii="Times New Roman" w:hAnsi="Times New Roman" w:cs="Times New Roman"/>
          <w:sz w:val="28"/>
          <w:szCs w:val="28"/>
        </w:rPr>
        <w:t>gran</w:t>
      </w:r>
      <w:r>
        <w:rPr>
          <w:rFonts w:ascii="Times New Roman" w:hAnsi="Times New Roman" w:cs="Times New Roman"/>
          <w:sz w:val="28"/>
          <w:szCs w:val="28"/>
        </w:rPr>
        <w:t>de</w:t>
      </w:r>
      <w:r w:rsidRPr="00ED15B3">
        <w:rPr>
          <w:rFonts w:ascii="Times New Roman" w:hAnsi="Times New Roman" w:cs="Times New Roman"/>
          <w:sz w:val="28"/>
          <w:szCs w:val="28"/>
        </w:rPr>
        <w:t xml:space="preserve"> maggioranza</w:t>
      </w:r>
      <w:r>
        <w:rPr>
          <w:rFonts w:ascii="Times New Roman" w:hAnsi="Times New Roman" w:cs="Times New Roman"/>
          <w:sz w:val="28"/>
          <w:szCs w:val="28"/>
        </w:rPr>
        <w:t xml:space="preserve"> dei casi</w:t>
      </w:r>
      <w:r w:rsidRPr="00ED15B3">
        <w:rPr>
          <w:rFonts w:ascii="Times New Roman" w:hAnsi="Times New Roman" w:cs="Times New Roman"/>
          <w:sz w:val="28"/>
          <w:szCs w:val="28"/>
        </w:rPr>
        <w:t xml:space="preserve"> a religiosi</w:t>
      </w:r>
      <w:r>
        <w:rPr>
          <w:rStyle w:val="Rimandonotaapidipagina"/>
          <w:rFonts w:ascii="Times New Roman" w:hAnsi="Times New Roman" w:cs="Times New Roman"/>
          <w:sz w:val="28"/>
          <w:szCs w:val="28"/>
        </w:rPr>
        <w:footnoteReference w:id="600"/>
      </w:r>
      <w:r w:rsidRPr="00ED15B3">
        <w:rPr>
          <w:rFonts w:ascii="Times New Roman" w:hAnsi="Times New Roman" w:cs="Times New Roman"/>
          <w:sz w:val="28"/>
          <w:szCs w:val="28"/>
        </w:rPr>
        <w:t>. Inoltre esso comprende molte facoltà, privilegi e indulti, dati per lo più</w:t>
      </w:r>
      <w:r>
        <w:rPr>
          <w:rFonts w:ascii="Times New Roman" w:hAnsi="Times New Roman" w:cs="Times New Roman"/>
          <w:sz w:val="28"/>
          <w:szCs w:val="28"/>
        </w:rPr>
        <w:t xml:space="preserve"> in deroga alle norme del diritto </w:t>
      </w:r>
      <w:r w:rsidRPr="00ED15B3">
        <w:rPr>
          <w:rFonts w:ascii="Times New Roman" w:hAnsi="Times New Roman" w:cs="Times New Roman"/>
          <w:sz w:val="28"/>
          <w:szCs w:val="28"/>
        </w:rPr>
        <w:t>canonico generale, allo scopo di facilitare l’</w:t>
      </w:r>
      <w:r>
        <w:rPr>
          <w:rFonts w:ascii="Times New Roman" w:hAnsi="Times New Roman" w:cs="Times New Roman"/>
          <w:sz w:val="28"/>
          <w:szCs w:val="28"/>
        </w:rPr>
        <w:t>opera missionaria, per la quale il diritto</w:t>
      </w:r>
      <w:r w:rsidRPr="00ED15B3">
        <w:rPr>
          <w:rFonts w:ascii="Times New Roman" w:hAnsi="Times New Roman" w:cs="Times New Roman"/>
          <w:sz w:val="28"/>
          <w:szCs w:val="28"/>
        </w:rPr>
        <w:t xml:space="preserve"> missionario non pone il clero ed i fedeli delle nuove Chiese nascenti in una </w:t>
      </w:r>
      <w:r>
        <w:rPr>
          <w:rFonts w:ascii="Times New Roman" w:hAnsi="Times New Roman" w:cs="Times New Roman"/>
          <w:sz w:val="28"/>
          <w:szCs w:val="28"/>
        </w:rPr>
        <w:t>situa</w:t>
      </w:r>
      <w:r w:rsidRPr="00ED15B3">
        <w:rPr>
          <w:rFonts w:ascii="Times New Roman" w:hAnsi="Times New Roman" w:cs="Times New Roman"/>
          <w:sz w:val="28"/>
          <w:szCs w:val="28"/>
        </w:rPr>
        <w:t>zione di inferiorità ma ha lo scopo di accelerare sempre più l’opera della cristianizzazione dell’ambiente locale.</w:t>
      </w:r>
    </w:p>
    <w:p w14:paraId="2E759B67" w14:textId="77777777" w:rsidR="00B3403A" w:rsidRPr="00ED15B3" w:rsidRDefault="00B3403A" w:rsidP="00484F9B">
      <w:pPr>
        <w:pStyle w:val="Paragrafoelenco"/>
        <w:spacing w:after="0" w:line="360" w:lineRule="auto"/>
        <w:ind w:left="680" w:right="340"/>
        <w:jc w:val="both"/>
        <w:rPr>
          <w:rFonts w:ascii="Times New Roman" w:hAnsi="Times New Roman" w:cs="Times New Roman"/>
          <w:sz w:val="28"/>
          <w:szCs w:val="28"/>
        </w:rPr>
      </w:pPr>
      <w:r w:rsidRPr="00ED15B3">
        <w:rPr>
          <w:rFonts w:ascii="Times New Roman" w:hAnsi="Times New Roman" w:cs="Times New Roman"/>
          <w:sz w:val="28"/>
          <w:szCs w:val="28"/>
        </w:rPr>
        <w:lastRenderedPageBreak/>
        <w:t xml:space="preserve">Prima della pubblicazione </w:t>
      </w:r>
      <w:r>
        <w:rPr>
          <w:rFonts w:ascii="Times New Roman" w:hAnsi="Times New Roman" w:cs="Times New Roman"/>
          <w:sz w:val="28"/>
          <w:szCs w:val="28"/>
        </w:rPr>
        <w:t xml:space="preserve">del </w:t>
      </w:r>
      <w:r w:rsidRPr="00A90BF1">
        <w:rPr>
          <w:rFonts w:ascii="Times New Roman" w:hAnsi="Times New Roman" w:cs="Times New Roman"/>
          <w:i/>
          <w:sz w:val="28"/>
          <w:szCs w:val="28"/>
        </w:rPr>
        <w:t>decretum</w:t>
      </w:r>
      <w:r>
        <w:rPr>
          <w:rFonts w:ascii="Times New Roman" w:hAnsi="Times New Roman" w:cs="Times New Roman"/>
          <w:sz w:val="28"/>
          <w:szCs w:val="28"/>
        </w:rPr>
        <w:t xml:space="preserve"> Graziano (1140</w:t>
      </w:r>
      <w:r w:rsidRPr="00ED15B3">
        <w:rPr>
          <w:rFonts w:ascii="Times New Roman" w:hAnsi="Times New Roman" w:cs="Times New Roman"/>
          <w:sz w:val="28"/>
          <w:szCs w:val="28"/>
        </w:rPr>
        <w:t xml:space="preserve">) </w:t>
      </w:r>
      <w:r>
        <w:rPr>
          <w:rFonts w:ascii="Times New Roman" w:hAnsi="Times New Roman" w:cs="Times New Roman"/>
          <w:sz w:val="28"/>
          <w:szCs w:val="28"/>
        </w:rPr>
        <w:t>era possibile già individuare primi frammenti di diritto</w:t>
      </w:r>
      <w:r w:rsidRPr="00ED15B3">
        <w:rPr>
          <w:rFonts w:ascii="Times New Roman" w:hAnsi="Times New Roman" w:cs="Times New Roman"/>
          <w:sz w:val="28"/>
          <w:szCs w:val="28"/>
        </w:rPr>
        <w:t xml:space="preserve"> missionario, che si moltiplicarono nei secoli suc</w:t>
      </w:r>
      <w:r>
        <w:rPr>
          <w:rFonts w:ascii="Times New Roman" w:hAnsi="Times New Roman" w:cs="Times New Roman"/>
          <w:sz w:val="28"/>
          <w:szCs w:val="28"/>
        </w:rPr>
        <w:t>cessivi specialmente dopo il XII secolo</w:t>
      </w:r>
      <w:r w:rsidRPr="00ED15B3">
        <w:rPr>
          <w:rFonts w:ascii="Times New Roman" w:hAnsi="Times New Roman" w:cs="Times New Roman"/>
          <w:sz w:val="28"/>
          <w:szCs w:val="28"/>
        </w:rPr>
        <w:t xml:space="preserve"> e </w:t>
      </w:r>
      <w:r>
        <w:rPr>
          <w:rFonts w:ascii="Times New Roman" w:hAnsi="Times New Roman" w:cs="Times New Roman"/>
          <w:sz w:val="28"/>
          <w:szCs w:val="28"/>
        </w:rPr>
        <w:t xml:space="preserve">poi con maggiore intensità </w:t>
      </w:r>
      <w:r w:rsidRPr="00ED15B3">
        <w:rPr>
          <w:rFonts w:ascii="Times New Roman" w:hAnsi="Times New Roman" w:cs="Times New Roman"/>
          <w:sz w:val="28"/>
          <w:szCs w:val="28"/>
        </w:rPr>
        <w:t>dopo la fondazione di Propaganda</w:t>
      </w:r>
      <w:r>
        <w:rPr>
          <w:rFonts w:ascii="Times New Roman" w:hAnsi="Times New Roman" w:cs="Times New Roman"/>
          <w:sz w:val="28"/>
          <w:szCs w:val="28"/>
        </w:rPr>
        <w:t xml:space="preserve"> (1622)</w:t>
      </w:r>
      <w:r w:rsidRPr="00ED15B3">
        <w:rPr>
          <w:rFonts w:ascii="Times New Roman" w:hAnsi="Times New Roman" w:cs="Times New Roman"/>
          <w:sz w:val="28"/>
          <w:szCs w:val="28"/>
        </w:rPr>
        <w:t>. Durante il Concili</w:t>
      </w:r>
      <w:r>
        <w:rPr>
          <w:rFonts w:ascii="Times New Roman" w:hAnsi="Times New Roman" w:cs="Times New Roman"/>
          <w:sz w:val="28"/>
          <w:szCs w:val="28"/>
        </w:rPr>
        <w:t xml:space="preserve">o Vaticano I (1870) si ebbe un tentativo di codificazione del diritto missionario che non ebbe seguito, </w:t>
      </w:r>
      <w:r w:rsidRPr="00ED15B3">
        <w:rPr>
          <w:rFonts w:ascii="Times New Roman" w:hAnsi="Times New Roman" w:cs="Times New Roman"/>
          <w:sz w:val="28"/>
          <w:szCs w:val="28"/>
        </w:rPr>
        <w:t>per l’improvvisa interruzio</w:t>
      </w:r>
      <w:r>
        <w:rPr>
          <w:rFonts w:ascii="Times New Roman" w:hAnsi="Times New Roman" w:cs="Times New Roman"/>
          <w:sz w:val="28"/>
          <w:szCs w:val="28"/>
        </w:rPr>
        <w:t>ne del concilio stesso</w:t>
      </w:r>
      <w:r>
        <w:rPr>
          <w:rStyle w:val="Rimandonotaapidipagina"/>
          <w:rFonts w:ascii="Times New Roman" w:hAnsi="Times New Roman" w:cs="Times New Roman"/>
          <w:sz w:val="28"/>
          <w:szCs w:val="28"/>
        </w:rPr>
        <w:footnoteReference w:id="601"/>
      </w:r>
      <w:r>
        <w:rPr>
          <w:rFonts w:ascii="Times New Roman" w:hAnsi="Times New Roman" w:cs="Times New Roman"/>
          <w:sz w:val="28"/>
          <w:szCs w:val="28"/>
        </w:rPr>
        <w:t>. Il CIC del 1917 conteneva</w:t>
      </w:r>
      <w:r w:rsidRPr="00ED15B3">
        <w:rPr>
          <w:rFonts w:ascii="Times New Roman" w:hAnsi="Times New Roman" w:cs="Times New Roman"/>
          <w:sz w:val="28"/>
          <w:szCs w:val="28"/>
        </w:rPr>
        <w:t xml:space="preserve"> </w:t>
      </w:r>
      <w:r>
        <w:rPr>
          <w:rFonts w:ascii="Times New Roman" w:hAnsi="Times New Roman" w:cs="Times New Roman"/>
          <w:sz w:val="28"/>
          <w:szCs w:val="28"/>
        </w:rPr>
        <w:t xml:space="preserve">numerosi canoni, riguardanti </w:t>
      </w:r>
      <w:r w:rsidRPr="00ED15B3">
        <w:rPr>
          <w:rFonts w:ascii="Times New Roman" w:hAnsi="Times New Roman" w:cs="Times New Roman"/>
          <w:sz w:val="28"/>
          <w:szCs w:val="28"/>
        </w:rPr>
        <w:t>le missioni, ma le prescr</w:t>
      </w:r>
      <w:r>
        <w:rPr>
          <w:rFonts w:ascii="Times New Roman" w:hAnsi="Times New Roman" w:cs="Times New Roman"/>
          <w:sz w:val="28"/>
          <w:szCs w:val="28"/>
        </w:rPr>
        <w:t>izioni in esso contenute non esaurivano la materia</w:t>
      </w:r>
      <w:r w:rsidRPr="00ED15B3">
        <w:rPr>
          <w:rFonts w:ascii="Times New Roman" w:hAnsi="Times New Roman" w:cs="Times New Roman"/>
          <w:sz w:val="28"/>
          <w:szCs w:val="28"/>
        </w:rPr>
        <w:t>. Per avere, qu</w:t>
      </w:r>
      <w:r>
        <w:rPr>
          <w:rFonts w:ascii="Times New Roman" w:hAnsi="Times New Roman" w:cs="Times New Roman"/>
          <w:sz w:val="28"/>
          <w:szCs w:val="28"/>
        </w:rPr>
        <w:t>indi, il sistema completo del diritto missionario era necessario</w:t>
      </w:r>
      <w:r w:rsidRPr="00ED15B3">
        <w:rPr>
          <w:rFonts w:ascii="Times New Roman" w:hAnsi="Times New Roman" w:cs="Times New Roman"/>
          <w:sz w:val="28"/>
          <w:szCs w:val="28"/>
        </w:rPr>
        <w:t xml:space="preserve"> ric</w:t>
      </w:r>
      <w:r>
        <w:rPr>
          <w:rFonts w:ascii="Times New Roman" w:hAnsi="Times New Roman" w:cs="Times New Roman"/>
          <w:sz w:val="28"/>
          <w:szCs w:val="28"/>
        </w:rPr>
        <w:t>orrere non solo ai canoni del diritto</w:t>
      </w:r>
      <w:r w:rsidRPr="00ED15B3">
        <w:rPr>
          <w:rFonts w:ascii="Times New Roman" w:hAnsi="Times New Roman" w:cs="Times New Roman"/>
          <w:sz w:val="28"/>
          <w:szCs w:val="28"/>
        </w:rPr>
        <w:t xml:space="preserve"> canonico, ma alle molteplici disposizioni emanate specialmente da Propaganda, di cui alcune non </w:t>
      </w:r>
      <w:r>
        <w:rPr>
          <w:rFonts w:ascii="Times New Roman" w:hAnsi="Times New Roman" w:cs="Times New Roman"/>
          <w:sz w:val="28"/>
          <w:szCs w:val="28"/>
        </w:rPr>
        <w:t xml:space="preserve">erano </w:t>
      </w:r>
      <w:r w:rsidRPr="00ED15B3">
        <w:rPr>
          <w:rFonts w:ascii="Times New Roman" w:hAnsi="Times New Roman" w:cs="Times New Roman"/>
          <w:sz w:val="28"/>
          <w:szCs w:val="28"/>
        </w:rPr>
        <w:t xml:space="preserve">state rese </w:t>
      </w:r>
      <w:r>
        <w:rPr>
          <w:rFonts w:ascii="Times New Roman" w:hAnsi="Times New Roman" w:cs="Times New Roman"/>
          <w:sz w:val="28"/>
          <w:szCs w:val="28"/>
        </w:rPr>
        <w:t>pubbliche, oppure erano</w:t>
      </w:r>
      <w:r w:rsidRPr="00ED15B3">
        <w:rPr>
          <w:rFonts w:ascii="Times New Roman" w:hAnsi="Times New Roman" w:cs="Times New Roman"/>
          <w:sz w:val="28"/>
          <w:szCs w:val="28"/>
        </w:rPr>
        <w:t xml:space="preserve"> contenute in collezioni comuni e particolari.</w:t>
      </w:r>
    </w:p>
    <w:p w14:paraId="1949958A" w14:textId="77777777" w:rsidR="00B3403A" w:rsidRDefault="00B3403A" w:rsidP="00484F9B">
      <w:pPr>
        <w:pStyle w:val="Paragrafoelenco"/>
        <w:spacing w:after="0" w:line="360" w:lineRule="auto"/>
        <w:ind w:left="680" w:right="340"/>
        <w:jc w:val="both"/>
        <w:rPr>
          <w:rFonts w:ascii="Times New Roman" w:hAnsi="Times New Roman" w:cs="Times New Roman"/>
          <w:sz w:val="28"/>
          <w:szCs w:val="28"/>
        </w:rPr>
      </w:pPr>
      <w:r w:rsidRPr="00ED15B3">
        <w:rPr>
          <w:rFonts w:ascii="Times New Roman" w:hAnsi="Times New Roman" w:cs="Times New Roman"/>
          <w:sz w:val="28"/>
          <w:szCs w:val="28"/>
        </w:rPr>
        <w:t>Fra queste bisogna ricordare i bollari di carattere generale e quelli dei vari istituti religiosi e del Patronato portoghese e spagnolo. Merita</w:t>
      </w:r>
      <w:r>
        <w:rPr>
          <w:rFonts w:ascii="Times New Roman" w:hAnsi="Times New Roman" w:cs="Times New Roman"/>
          <w:sz w:val="28"/>
          <w:szCs w:val="28"/>
        </w:rPr>
        <w:t>no</w:t>
      </w:r>
      <w:r w:rsidRPr="00ED15B3">
        <w:rPr>
          <w:rFonts w:ascii="Times New Roman" w:hAnsi="Times New Roman" w:cs="Times New Roman"/>
          <w:sz w:val="28"/>
          <w:szCs w:val="28"/>
        </w:rPr>
        <w:t xml:space="preserve"> particolare menzione il </w:t>
      </w:r>
      <w:r w:rsidRPr="002A64F3">
        <w:rPr>
          <w:rFonts w:ascii="Times New Roman" w:hAnsi="Times New Roman" w:cs="Times New Roman"/>
          <w:i/>
          <w:sz w:val="28"/>
          <w:szCs w:val="28"/>
        </w:rPr>
        <w:t>Bullarium Pontificium</w:t>
      </w:r>
      <w:r>
        <w:rPr>
          <w:rFonts w:ascii="Times New Roman" w:hAnsi="Times New Roman" w:cs="Times New Roman"/>
          <w:sz w:val="28"/>
          <w:szCs w:val="28"/>
        </w:rPr>
        <w:t xml:space="preserve"> S.C.D.P.F</w:t>
      </w:r>
      <w:r w:rsidRPr="00ED15B3">
        <w:rPr>
          <w:rFonts w:ascii="Times New Roman" w:hAnsi="Times New Roman" w:cs="Times New Roman"/>
          <w:sz w:val="28"/>
          <w:szCs w:val="28"/>
        </w:rPr>
        <w:t xml:space="preserve">., il </w:t>
      </w:r>
      <w:r w:rsidRPr="002A64F3">
        <w:rPr>
          <w:rFonts w:ascii="Times New Roman" w:hAnsi="Times New Roman" w:cs="Times New Roman"/>
          <w:i/>
          <w:sz w:val="28"/>
          <w:szCs w:val="28"/>
        </w:rPr>
        <w:t>lus Pontificium</w:t>
      </w:r>
      <w:r w:rsidRPr="00ED15B3">
        <w:rPr>
          <w:rFonts w:ascii="Times New Roman" w:hAnsi="Times New Roman" w:cs="Times New Roman"/>
          <w:sz w:val="28"/>
          <w:szCs w:val="28"/>
        </w:rPr>
        <w:t xml:space="preserve"> </w:t>
      </w:r>
      <w:r w:rsidRPr="002A64F3">
        <w:rPr>
          <w:rFonts w:ascii="Times New Roman" w:hAnsi="Times New Roman" w:cs="Times New Roman"/>
          <w:i/>
          <w:sz w:val="28"/>
          <w:szCs w:val="28"/>
        </w:rPr>
        <w:t>de</w:t>
      </w:r>
      <w:r w:rsidRPr="00ED15B3">
        <w:rPr>
          <w:rFonts w:ascii="Times New Roman" w:hAnsi="Times New Roman" w:cs="Times New Roman"/>
          <w:sz w:val="28"/>
          <w:szCs w:val="28"/>
        </w:rPr>
        <w:t xml:space="preserve"> </w:t>
      </w:r>
      <w:r w:rsidRPr="002A64F3">
        <w:rPr>
          <w:rFonts w:ascii="Times New Roman" w:hAnsi="Times New Roman" w:cs="Times New Roman"/>
          <w:i/>
          <w:sz w:val="28"/>
          <w:szCs w:val="28"/>
        </w:rPr>
        <w:t>Propaganda Fide</w:t>
      </w:r>
      <w:r w:rsidRPr="00ED15B3">
        <w:rPr>
          <w:rFonts w:ascii="Times New Roman" w:hAnsi="Times New Roman" w:cs="Times New Roman"/>
          <w:sz w:val="28"/>
          <w:szCs w:val="28"/>
        </w:rPr>
        <w:t>, l</w:t>
      </w:r>
      <w:r>
        <w:rPr>
          <w:rFonts w:ascii="Times New Roman" w:hAnsi="Times New Roman" w:cs="Times New Roman"/>
          <w:sz w:val="28"/>
          <w:szCs w:val="28"/>
        </w:rPr>
        <w:t xml:space="preserve">a </w:t>
      </w:r>
      <w:r w:rsidRPr="002A64F3">
        <w:rPr>
          <w:rFonts w:ascii="Times New Roman" w:hAnsi="Times New Roman" w:cs="Times New Roman"/>
          <w:i/>
          <w:sz w:val="28"/>
          <w:szCs w:val="28"/>
        </w:rPr>
        <w:t>Collectanea</w:t>
      </w:r>
      <w:r>
        <w:rPr>
          <w:rFonts w:ascii="Times New Roman" w:hAnsi="Times New Roman" w:cs="Times New Roman"/>
          <w:sz w:val="28"/>
          <w:szCs w:val="28"/>
        </w:rPr>
        <w:t xml:space="preserve"> edita prima a Pa</w:t>
      </w:r>
      <w:r w:rsidRPr="00ED15B3">
        <w:rPr>
          <w:rFonts w:ascii="Times New Roman" w:hAnsi="Times New Roman" w:cs="Times New Roman"/>
          <w:sz w:val="28"/>
          <w:szCs w:val="28"/>
        </w:rPr>
        <w:t xml:space="preserve">rigi e poi ad Hong-Kong </w:t>
      </w:r>
      <w:r>
        <w:rPr>
          <w:rFonts w:ascii="Times New Roman" w:hAnsi="Times New Roman" w:cs="Times New Roman"/>
          <w:sz w:val="28"/>
          <w:szCs w:val="28"/>
        </w:rPr>
        <w:t>(1905) dalla Società delle mis</w:t>
      </w:r>
      <w:r w:rsidRPr="00ED15B3">
        <w:rPr>
          <w:rFonts w:ascii="Times New Roman" w:hAnsi="Times New Roman" w:cs="Times New Roman"/>
          <w:sz w:val="28"/>
          <w:szCs w:val="28"/>
        </w:rPr>
        <w:t xml:space="preserve">sioni estere di Parigi, la </w:t>
      </w:r>
      <w:r w:rsidRPr="002A64F3">
        <w:rPr>
          <w:rFonts w:ascii="Times New Roman" w:hAnsi="Times New Roman" w:cs="Times New Roman"/>
          <w:i/>
          <w:sz w:val="28"/>
          <w:szCs w:val="28"/>
        </w:rPr>
        <w:t>Collectanea</w:t>
      </w:r>
      <w:r w:rsidRPr="00ED15B3">
        <w:rPr>
          <w:rFonts w:ascii="Times New Roman" w:hAnsi="Times New Roman" w:cs="Times New Roman"/>
          <w:sz w:val="28"/>
          <w:szCs w:val="28"/>
        </w:rPr>
        <w:t xml:space="preserve"> </w:t>
      </w:r>
      <w:r>
        <w:rPr>
          <w:rFonts w:ascii="Times New Roman" w:hAnsi="Times New Roman" w:cs="Times New Roman"/>
          <w:sz w:val="28"/>
          <w:szCs w:val="28"/>
        </w:rPr>
        <w:t>(1893)</w:t>
      </w:r>
      <w:r w:rsidRPr="00ED15B3">
        <w:rPr>
          <w:rFonts w:ascii="Times New Roman" w:hAnsi="Times New Roman" w:cs="Times New Roman"/>
          <w:sz w:val="28"/>
          <w:szCs w:val="28"/>
        </w:rPr>
        <w:t>di Propaganda stessa</w:t>
      </w:r>
      <w:r>
        <w:rPr>
          <w:rFonts w:ascii="Times New Roman" w:hAnsi="Times New Roman" w:cs="Times New Roman"/>
          <w:sz w:val="28"/>
          <w:szCs w:val="28"/>
        </w:rPr>
        <w:t xml:space="preserve"> </w:t>
      </w:r>
      <w:r w:rsidRPr="00ED15B3">
        <w:rPr>
          <w:rFonts w:ascii="Times New Roman" w:hAnsi="Times New Roman" w:cs="Times New Roman"/>
          <w:sz w:val="28"/>
          <w:szCs w:val="28"/>
        </w:rPr>
        <w:t xml:space="preserve">e la </w:t>
      </w:r>
      <w:r w:rsidRPr="002A64F3">
        <w:rPr>
          <w:rFonts w:ascii="Times New Roman" w:hAnsi="Times New Roman" w:cs="Times New Roman"/>
          <w:i/>
          <w:sz w:val="28"/>
          <w:szCs w:val="28"/>
        </w:rPr>
        <w:t>Sylloge</w:t>
      </w:r>
      <w:r>
        <w:rPr>
          <w:rFonts w:ascii="Times New Roman" w:hAnsi="Times New Roman" w:cs="Times New Roman"/>
          <w:i/>
          <w:sz w:val="28"/>
          <w:szCs w:val="28"/>
        </w:rPr>
        <w:t>(1929)</w:t>
      </w:r>
      <w:r w:rsidRPr="005C6756">
        <w:rPr>
          <w:rStyle w:val="Rimandonotaapidipagina"/>
          <w:rFonts w:ascii="Times New Roman" w:hAnsi="Times New Roman" w:cs="Times New Roman"/>
          <w:sz w:val="28"/>
          <w:szCs w:val="28"/>
        </w:rPr>
        <w:footnoteReference w:id="602"/>
      </w:r>
      <w:r w:rsidRPr="00ED15B3">
        <w:rPr>
          <w:rFonts w:ascii="Times New Roman" w:hAnsi="Times New Roman" w:cs="Times New Roman"/>
          <w:sz w:val="28"/>
          <w:szCs w:val="28"/>
        </w:rPr>
        <w:t>.</w:t>
      </w:r>
    </w:p>
    <w:p w14:paraId="46908864" w14:textId="77777777" w:rsidR="00B3403A" w:rsidRDefault="00B3403A"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Storicamente il diritto missionario si presentò sempre come uno strumento estremamente malleabile, volto ad ottenere la massimizzazione dell’opera di evangelizzazione, tramite coinvolgimento dei locali religiosi e non e l’istituzione della gerarchia ecclesiastica, nelle terre di missione. </w:t>
      </w:r>
    </w:p>
    <w:p w14:paraId="31CD42F7" w14:textId="77777777" w:rsidR="00B3403A" w:rsidRDefault="00B3403A"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L’origine degli obiettivi perseguiti da Propaganda Fide si trovava già nella </w:t>
      </w:r>
      <w:r w:rsidRPr="002A3CC8">
        <w:rPr>
          <w:rFonts w:ascii="Times New Roman" w:hAnsi="Times New Roman" w:cs="Times New Roman"/>
          <w:i/>
          <w:sz w:val="28"/>
          <w:szCs w:val="28"/>
        </w:rPr>
        <w:t>Maximum illud</w:t>
      </w:r>
      <w:r>
        <w:rPr>
          <w:rFonts w:ascii="Times New Roman" w:hAnsi="Times New Roman" w:cs="Times New Roman"/>
          <w:sz w:val="28"/>
          <w:szCs w:val="28"/>
        </w:rPr>
        <w:t xml:space="preserve"> di Benedetto XV (1919). In essa il p</w:t>
      </w:r>
      <w:r w:rsidRPr="002A3CC8">
        <w:rPr>
          <w:rFonts w:ascii="Times New Roman" w:hAnsi="Times New Roman" w:cs="Times New Roman"/>
          <w:sz w:val="28"/>
          <w:szCs w:val="28"/>
        </w:rPr>
        <w:t>apa, rivolgendosi ai fedeli del mondo intero, invece di piangere sulle rovine della guerra appena finita, chiede</w:t>
      </w:r>
      <w:r>
        <w:rPr>
          <w:rFonts w:ascii="Times New Roman" w:hAnsi="Times New Roman" w:cs="Times New Roman"/>
          <w:sz w:val="28"/>
          <w:szCs w:val="28"/>
        </w:rPr>
        <w:t>va</w:t>
      </w:r>
      <w:r w:rsidRPr="002A3CC8">
        <w:rPr>
          <w:rFonts w:ascii="Times New Roman" w:hAnsi="Times New Roman" w:cs="Times New Roman"/>
          <w:sz w:val="28"/>
          <w:szCs w:val="28"/>
        </w:rPr>
        <w:t xml:space="preserve"> alla Chiesa di riprendere la missione universale. Egli sottolinea</w:t>
      </w:r>
      <w:r>
        <w:rPr>
          <w:rFonts w:ascii="Times New Roman" w:hAnsi="Times New Roman" w:cs="Times New Roman"/>
          <w:sz w:val="28"/>
          <w:szCs w:val="28"/>
        </w:rPr>
        <w:t>va la necessità di coinvolgere</w:t>
      </w:r>
      <w:r w:rsidRPr="002A3CC8">
        <w:rPr>
          <w:rFonts w:ascii="Times New Roman" w:hAnsi="Times New Roman" w:cs="Times New Roman"/>
          <w:sz w:val="28"/>
          <w:szCs w:val="28"/>
        </w:rPr>
        <w:t xml:space="preserve"> tutti i cristiani in quest’opera. </w:t>
      </w:r>
      <w:r>
        <w:rPr>
          <w:rFonts w:ascii="Times New Roman" w:hAnsi="Times New Roman" w:cs="Times New Roman"/>
          <w:sz w:val="28"/>
          <w:szCs w:val="28"/>
        </w:rPr>
        <w:t xml:space="preserve">Difatti prendeva in </w:t>
      </w:r>
      <w:r>
        <w:rPr>
          <w:rFonts w:ascii="Times New Roman" w:hAnsi="Times New Roman" w:cs="Times New Roman"/>
          <w:sz w:val="28"/>
          <w:szCs w:val="28"/>
        </w:rPr>
        <w:lastRenderedPageBreak/>
        <w:t>esame ad uno ad uno chi doveva</w:t>
      </w:r>
      <w:r w:rsidRPr="002A3CC8">
        <w:rPr>
          <w:rFonts w:ascii="Times New Roman" w:hAnsi="Times New Roman" w:cs="Times New Roman"/>
          <w:sz w:val="28"/>
          <w:szCs w:val="28"/>
        </w:rPr>
        <w:t xml:space="preserve"> impegnarsi e</w:t>
      </w:r>
      <w:r>
        <w:rPr>
          <w:rFonts w:ascii="Times New Roman" w:hAnsi="Times New Roman" w:cs="Times New Roman"/>
          <w:sz w:val="28"/>
          <w:szCs w:val="28"/>
        </w:rPr>
        <w:t xml:space="preserve"> indicava anche come: i vescovi, che non dovevano</w:t>
      </w:r>
      <w:r w:rsidRPr="002A3CC8">
        <w:rPr>
          <w:rFonts w:ascii="Times New Roman" w:hAnsi="Times New Roman" w:cs="Times New Roman"/>
          <w:sz w:val="28"/>
          <w:szCs w:val="28"/>
        </w:rPr>
        <w:t xml:space="preserve"> preoccuparsi solo delle loro diocesi, ma anche di quelle vicine e di tutte le altre diocesi del mondo; gli amminist</w:t>
      </w:r>
      <w:r>
        <w:rPr>
          <w:rFonts w:ascii="Times New Roman" w:hAnsi="Times New Roman" w:cs="Times New Roman"/>
          <w:sz w:val="28"/>
          <w:szCs w:val="28"/>
        </w:rPr>
        <w:t>ratori apostolici, che non dovevan</w:t>
      </w:r>
      <w:r w:rsidRPr="002A3CC8">
        <w:rPr>
          <w:rFonts w:ascii="Times New Roman" w:hAnsi="Times New Roman" w:cs="Times New Roman"/>
          <w:sz w:val="28"/>
          <w:szCs w:val="28"/>
        </w:rPr>
        <w:t>o stare soltanto nella loro residenza, ma andare a</w:t>
      </w:r>
      <w:r>
        <w:rPr>
          <w:rFonts w:ascii="Times New Roman" w:hAnsi="Times New Roman" w:cs="Times New Roman"/>
          <w:sz w:val="28"/>
          <w:szCs w:val="28"/>
        </w:rPr>
        <w:t xml:space="preserve">d incontrare tutti i missionari, presenti </w:t>
      </w:r>
      <w:r w:rsidRPr="002A3CC8">
        <w:rPr>
          <w:rFonts w:ascii="Times New Roman" w:hAnsi="Times New Roman" w:cs="Times New Roman"/>
          <w:sz w:val="28"/>
          <w:szCs w:val="28"/>
        </w:rPr>
        <w:t>nel loro territorio; i missionari e le missionarie con la predicazione, il catechismo, le scuole, gli ospedali; i sacerdoti; i laici</w:t>
      </w:r>
      <w:r>
        <w:rPr>
          <w:rStyle w:val="Rimandonotaapidipagina"/>
          <w:rFonts w:ascii="Times New Roman" w:hAnsi="Times New Roman" w:cs="Times New Roman"/>
          <w:sz w:val="28"/>
          <w:szCs w:val="28"/>
        </w:rPr>
        <w:footnoteReference w:id="603"/>
      </w:r>
      <w:r w:rsidRPr="002A3CC8">
        <w:rPr>
          <w:rFonts w:ascii="Times New Roman" w:hAnsi="Times New Roman" w:cs="Times New Roman"/>
          <w:sz w:val="28"/>
          <w:szCs w:val="28"/>
        </w:rPr>
        <w:t>.</w:t>
      </w:r>
    </w:p>
    <w:p w14:paraId="418F94A3" w14:textId="77777777" w:rsidR="00B3403A" w:rsidRDefault="00B3403A" w:rsidP="00484F9B">
      <w:pPr>
        <w:pStyle w:val="Paragrafoelenco"/>
        <w:spacing w:after="0" w:line="360" w:lineRule="auto"/>
        <w:ind w:left="680" w:right="340"/>
        <w:jc w:val="both"/>
        <w:rPr>
          <w:rFonts w:ascii="Times New Roman" w:hAnsi="Times New Roman" w:cs="Times New Roman"/>
          <w:sz w:val="28"/>
          <w:szCs w:val="28"/>
        </w:rPr>
      </w:pPr>
      <w:r w:rsidRPr="00C5627E">
        <w:rPr>
          <w:rFonts w:ascii="Times New Roman" w:hAnsi="Times New Roman" w:cs="Times New Roman"/>
          <w:sz w:val="28"/>
          <w:szCs w:val="28"/>
        </w:rPr>
        <w:t>Propaganda attese ad affrancare le missioni da sover</w:t>
      </w:r>
      <w:r>
        <w:rPr>
          <w:rFonts w:ascii="Times New Roman" w:hAnsi="Times New Roman" w:cs="Times New Roman"/>
          <w:sz w:val="28"/>
          <w:szCs w:val="28"/>
        </w:rPr>
        <w:t xml:space="preserve">chianti ingerenze politiche e dagli </w:t>
      </w:r>
      <w:r w:rsidRPr="00C5627E">
        <w:rPr>
          <w:rFonts w:ascii="Times New Roman" w:hAnsi="Times New Roman" w:cs="Times New Roman"/>
          <w:sz w:val="28"/>
          <w:szCs w:val="28"/>
        </w:rPr>
        <w:t>interessi materiali del</w:t>
      </w:r>
      <w:r>
        <w:rPr>
          <w:rFonts w:ascii="Times New Roman" w:hAnsi="Times New Roman" w:cs="Times New Roman"/>
          <w:sz w:val="28"/>
          <w:szCs w:val="28"/>
        </w:rPr>
        <w:t>le potenze coloniali, stringendo accordi di carattere politico con tali potenze, con l’obiettivo di favorire la propagazione e difesa della fede e la speranza di riuscire a</w:t>
      </w:r>
      <w:r w:rsidRPr="00C5627E">
        <w:rPr>
          <w:rFonts w:ascii="Times New Roman" w:hAnsi="Times New Roman" w:cs="Times New Roman"/>
          <w:sz w:val="28"/>
          <w:szCs w:val="28"/>
        </w:rPr>
        <w:t xml:space="preserve"> richiamare all'unione con R</w:t>
      </w:r>
      <w:r>
        <w:rPr>
          <w:rFonts w:ascii="Times New Roman" w:hAnsi="Times New Roman" w:cs="Times New Roman"/>
          <w:sz w:val="28"/>
          <w:szCs w:val="28"/>
        </w:rPr>
        <w:t>oma gli orientali dissidenti. Inoltre concesse privilegi agli</w:t>
      </w:r>
      <w:r w:rsidRPr="00C5627E">
        <w:rPr>
          <w:rFonts w:ascii="Times New Roman" w:hAnsi="Times New Roman" w:cs="Times New Roman"/>
          <w:sz w:val="28"/>
          <w:szCs w:val="28"/>
        </w:rPr>
        <w:t xml:space="preserve"> ordini religiosi </w:t>
      </w:r>
      <w:r>
        <w:rPr>
          <w:rFonts w:ascii="Times New Roman" w:hAnsi="Times New Roman" w:cs="Times New Roman"/>
          <w:sz w:val="28"/>
          <w:szCs w:val="28"/>
        </w:rPr>
        <w:t>benemeriti nelle missioni e</w:t>
      </w:r>
      <w:r w:rsidRPr="00C5627E">
        <w:rPr>
          <w:rFonts w:ascii="Times New Roman" w:hAnsi="Times New Roman" w:cs="Times New Roman"/>
          <w:sz w:val="28"/>
          <w:szCs w:val="28"/>
        </w:rPr>
        <w:t xml:space="preserve"> si accinse a coordinare tutte le attività missionarie, divenute così in sua mano uno st</w:t>
      </w:r>
      <w:r>
        <w:rPr>
          <w:rFonts w:ascii="Times New Roman" w:hAnsi="Times New Roman" w:cs="Times New Roman"/>
          <w:sz w:val="28"/>
          <w:szCs w:val="28"/>
        </w:rPr>
        <w:t>rumento, per fondare, nei territori</w:t>
      </w:r>
      <w:r w:rsidRPr="00C5627E">
        <w:rPr>
          <w:rFonts w:ascii="Times New Roman" w:hAnsi="Times New Roman" w:cs="Times New Roman"/>
          <w:sz w:val="28"/>
          <w:szCs w:val="28"/>
        </w:rPr>
        <w:t xml:space="preserve"> da essa dipendenti, una salda organizzazione ecclesiastica retta da una gerarchia indigena, secondo il metodo tradizionale della Chiesa</w:t>
      </w:r>
      <w:r>
        <w:rPr>
          <w:rFonts w:ascii="Times New Roman" w:hAnsi="Times New Roman" w:cs="Times New Roman"/>
          <w:sz w:val="28"/>
          <w:szCs w:val="28"/>
        </w:rPr>
        <w:t>, ossia l’inculturazione</w:t>
      </w:r>
      <w:r w:rsidRPr="00C5627E">
        <w:rPr>
          <w:rFonts w:ascii="Times New Roman" w:hAnsi="Times New Roman" w:cs="Times New Roman"/>
          <w:sz w:val="28"/>
          <w:szCs w:val="28"/>
        </w:rPr>
        <w:t xml:space="preserve">. </w:t>
      </w:r>
      <w:r>
        <w:rPr>
          <w:rFonts w:ascii="Times New Roman" w:hAnsi="Times New Roman" w:cs="Times New Roman"/>
          <w:sz w:val="28"/>
          <w:szCs w:val="28"/>
        </w:rPr>
        <w:t>Da tale organizzazione derivò lo sviluppo dei seminari</w:t>
      </w:r>
      <w:r w:rsidRPr="00C5627E">
        <w:rPr>
          <w:rFonts w:ascii="Times New Roman" w:hAnsi="Times New Roman" w:cs="Times New Roman"/>
          <w:sz w:val="28"/>
          <w:szCs w:val="28"/>
        </w:rPr>
        <w:t xml:space="preserve"> indigeni e </w:t>
      </w:r>
      <w:r>
        <w:rPr>
          <w:rFonts w:ascii="Times New Roman" w:hAnsi="Times New Roman" w:cs="Times New Roman"/>
          <w:sz w:val="28"/>
          <w:szCs w:val="28"/>
        </w:rPr>
        <w:t>la</w:t>
      </w:r>
      <w:r w:rsidRPr="00C5627E">
        <w:rPr>
          <w:rFonts w:ascii="Times New Roman" w:hAnsi="Times New Roman" w:cs="Times New Roman"/>
          <w:sz w:val="28"/>
          <w:szCs w:val="28"/>
        </w:rPr>
        <w:t xml:space="preserve"> vigilanza esercitata sui</w:t>
      </w:r>
      <w:r>
        <w:rPr>
          <w:rFonts w:ascii="Times New Roman" w:hAnsi="Times New Roman" w:cs="Times New Roman"/>
          <w:sz w:val="28"/>
          <w:szCs w:val="28"/>
        </w:rPr>
        <w:t xml:space="preserve"> collegi cosiddetti nazionali a</w:t>
      </w:r>
      <w:r w:rsidRPr="00C5627E">
        <w:rPr>
          <w:rFonts w:ascii="Times New Roman" w:hAnsi="Times New Roman" w:cs="Times New Roman"/>
          <w:sz w:val="28"/>
          <w:szCs w:val="28"/>
        </w:rPr>
        <w:t xml:space="preserve"> Roma, e su numerosi altri, specialmente nei paesi soggetti al proselitismo protestante.</w:t>
      </w:r>
      <w:r w:rsidRPr="00C5627E">
        <w:t xml:space="preserve"> </w:t>
      </w:r>
      <w:r>
        <w:rPr>
          <w:rFonts w:ascii="Times New Roman" w:hAnsi="Times New Roman" w:cs="Times New Roman"/>
          <w:sz w:val="28"/>
          <w:szCs w:val="28"/>
        </w:rPr>
        <w:t>La Congregazione si impegnò anche ad incrementare le esplorazioni geografiche per diffondere il più possibile l’apostolato e favorì lo</w:t>
      </w:r>
      <w:r w:rsidRPr="00C5627E">
        <w:rPr>
          <w:rFonts w:ascii="Times New Roman" w:hAnsi="Times New Roman" w:cs="Times New Roman"/>
          <w:sz w:val="28"/>
          <w:szCs w:val="28"/>
        </w:rPr>
        <w:t xml:space="preserve"> studio scienti</w:t>
      </w:r>
      <w:r>
        <w:rPr>
          <w:rFonts w:ascii="Times New Roman" w:hAnsi="Times New Roman" w:cs="Times New Roman"/>
          <w:sz w:val="28"/>
          <w:szCs w:val="28"/>
        </w:rPr>
        <w:t xml:space="preserve">fico, etnologico e linguistico, nonché l’elaborazione </w:t>
      </w:r>
      <w:r w:rsidRPr="00C5627E">
        <w:rPr>
          <w:rFonts w:ascii="Times New Roman" w:hAnsi="Times New Roman" w:cs="Times New Roman"/>
          <w:sz w:val="28"/>
          <w:szCs w:val="28"/>
        </w:rPr>
        <w:t>di lingue oriental</w:t>
      </w:r>
      <w:r>
        <w:rPr>
          <w:rFonts w:ascii="Times New Roman" w:hAnsi="Times New Roman" w:cs="Times New Roman"/>
          <w:sz w:val="28"/>
          <w:szCs w:val="28"/>
        </w:rPr>
        <w:t xml:space="preserve">i presso gli ordini religiosi e istituzioni scolastiche di </w:t>
      </w:r>
      <w:r w:rsidRPr="00C5627E">
        <w:rPr>
          <w:rFonts w:ascii="Times New Roman" w:hAnsi="Times New Roman" w:cs="Times New Roman"/>
          <w:sz w:val="28"/>
          <w:szCs w:val="28"/>
        </w:rPr>
        <w:t xml:space="preserve">ogni grado, </w:t>
      </w:r>
      <w:r>
        <w:rPr>
          <w:rFonts w:ascii="Times New Roman" w:hAnsi="Times New Roman" w:cs="Times New Roman"/>
          <w:sz w:val="28"/>
          <w:szCs w:val="28"/>
        </w:rPr>
        <w:t xml:space="preserve">soprattutto </w:t>
      </w:r>
      <w:r w:rsidRPr="00C5627E">
        <w:rPr>
          <w:rFonts w:ascii="Times New Roman" w:hAnsi="Times New Roman" w:cs="Times New Roman"/>
          <w:sz w:val="28"/>
          <w:szCs w:val="28"/>
        </w:rPr>
        <w:t>nei villaggi</w:t>
      </w:r>
      <w:r>
        <w:rPr>
          <w:rFonts w:ascii="Times New Roman" w:hAnsi="Times New Roman" w:cs="Times New Roman"/>
          <w:sz w:val="28"/>
          <w:szCs w:val="28"/>
        </w:rPr>
        <w:t xml:space="preserve"> e nelle regioni più inospitali. Inoltre  </w:t>
      </w:r>
      <w:r w:rsidRPr="00C5627E">
        <w:rPr>
          <w:rFonts w:ascii="Times New Roman" w:hAnsi="Times New Roman" w:cs="Times New Roman"/>
          <w:sz w:val="28"/>
          <w:szCs w:val="28"/>
        </w:rPr>
        <w:t xml:space="preserve"> </w:t>
      </w:r>
      <w:r>
        <w:rPr>
          <w:rFonts w:ascii="Times New Roman" w:hAnsi="Times New Roman" w:cs="Times New Roman"/>
          <w:sz w:val="28"/>
          <w:szCs w:val="28"/>
        </w:rPr>
        <w:t xml:space="preserve">Propaganda si impegnò anche per promuovere </w:t>
      </w:r>
      <w:r w:rsidRPr="00C5627E">
        <w:rPr>
          <w:rFonts w:ascii="Times New Roman" w:hAnsi="Times New Roman" w:cs="Times New Roman"/>
          <w:sz w:val="28"/>
          <w:szCs w:val="28"/>
        </w:rPr>
        <w:t xml:space="preserve">l'assistenza sanitaria </w:t>
      </w:r>
      <w:r>
        <w:rPr>
          <w:rFonts w:ascii="Times New Roman" w:hAnsi="Times New Roman" w:cs="Times New Roman"/>
          <w:sz w:val="28"/>
          <w:szCs w:val="28"/>
        </w:rPr>
        <w:t>per gli indigeni e la profilassi per i</w:t>
      </w:r>
      <w:r w:rsidRPr="00C5627E">
        <w:rPr>
          <w:rFonts w:ascii="Times New Roman" w:hAnsi="Times New Roman" w:cs="Times New Roman"/>
          <w:sz w:val="28"/>
          <w:szCs w:val="28"/>
        </w:rPr>
        <w:t xml:space="preserve"> morbi endemici</w:t>
      </w:r>
      <w:r>
        <w:rPr>
          <w:rFonts w:ascii="Times New Roman" w:hAnsi="Times New Roman" w:cs="Times New Roman"/>
          <w:sz w:val="28"/>
          <w:szCs w:val="28"/>
        </w:rPr>
        <w:t>.</w:t>
      </w:r>
      <w:r w:rsidRPr="00C5627E">
        <w:rPr>
          <w:rFonts w:ascii="Times New Roman" w:hAnsi="Times New Roman" w:cs="Times New Roman"/>
          <w:sz w:val="28"/>
          <w:szCs w:val="28"/>
        </w:rPr>
        <w:t xml:space="preserve"> È pure da ricordare l'attività di Propaganda in favore della liberazione degli schiavi cristiani, e le frequenti istruzioni </w:t>
      </w:r>
      <w:r>
        <w:rPr>
          <w:rFonts w:ascii="Times New Roman" w:hAnsi="Times New Roman" w:cs="Times New Roman"/>
          <w:sz w:val="28"/>
          <w:szCs w:val="28"/>
        </w:rPr>
        <w:t xml:space="preserve">date </w:t>
      </w:r>
      <w:r w:rsidRPr="00C5627E">
        <w:rPr>
          <w:rFonts w:ascii="Times New Roman" w:hAnsi="Times New Roman" w:cs="Times New Roman"/>
          <w:sz w:val="28"/>
          <w:szCs w:val="28"/>
        </w:rPr>
        <w:t xml:space="preserve">ai </w:t>
      </w:r>
      <w:r>
        <w:rPr>
          <w:rFonts w:ascii="Times New Roman" w:hAnsi="Times New Roman" w:cs="Times New Roman"/>
          <w:sz w:val="28"/>
          <w:szCs w:val="28"/>
        </w:rPr>
        <w:t xml:space="preserve">missionari </w:t>
      </w:r>
      <w:r w:rsidRPr="00C5627E">
        <w:rPr>
          <w:rFonts w:ascii="Times New Roman" w:hAnsi="Times New Roman" w:cs="Times New Roman"/>
          <w:sz w:val="28"/>
          <w:szCs w:val="28"/>
        </w:rPr>
        <w:lastRenderedPageBreak/>
        <w:t>per la salvezza dell'infanzia e della vecchiaia, e per la lotta contro la tratta delle donne e contro la coltivazione e l'uso dell'oppio.</w:t>
      </w:r>
    </w:p>
    <w:p w14:paraId="767911AE" w14:textId="77777777" w:rsidR="00484F9B" w:rsidRDefault="00B3403A"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Nel raggiungere questi obiettivi, che erano tutti riconducibili alla necessità di garantire il pieno successo dell’opera di evangelizzazione, Propaganda era disposta a derogare al diritto comune nelle occasioni più disparate. Basti pensare agli spostamenti dei confini dei vicariati o delle diocesi, richiesti per garantire ai fedeli una maggiore accessibilità alle aree di culto </w:t>
      </w:r>
      <w:r w:rsidR="00484F9B">
        <w:rPr>
          <w:rFonts w:ascii="Times New Roman" w:hAnsi="Times New Roman" w:cs="Times New Roman"/>
          <w:sz w:val="28"/>
          <w:szCs w:val="28"/>
        </w:rPr>
        <w:t>e approvati da Propaganda fide.</w:t>
      </w:r>
    </w:p>
    <w:p w14:paraId="11506D16" w14:textId="77777777" w:rsidR="00484F9B" w:rsidRDefault="00484F9B" w:rsidP="00484F9B">
      <w:pPr>
        <w:pStyle w:val="Paragrafoelenco"/>
        <w:spacing w:after="0" w:line="360" w:lineRule="auto"/>
        <w:ind w:left="680" w:right="340"/>
        <w:jc w:val="both"/>
        <w:rPr>
          <w:rFonts w:ascii="Times New Roman" w:hAnsi="Times New Roman" w:cs="Times New Roman"/>
          <w:sz w:val="28"/>
          <w:szCs w:val="28"/>
        </w:rPr>
      </w:pPr>
    </w:p>
    <w:p w14:paraId="5B99F567" w14:textId="77777777" w:rsidR="00484F9B" w:rsidRDefault="00484F9B" w:rsidP="00484F9B">
      <w:pPr>
        <w:pStyle w:val="Paragrafoelenco"/>
        <w:spacing w:after="0" w:line="360" w:lineRule="auto"/>
        <w:ind w:left="680" w:right="340"/>
        <w:jc w:val="both"/>
        <w:rPr>
          <w:rFonts w:ascii="Times New Roman" w:hAnsi="Times New Roman" w:cs="Times New Roman"/>
          <w:sz w:val="28"/>
          <w:szCs w:val="28"/>
        </w:rPr>
      </w:pPr>
    </w:p>
    <w:p w14:paraId="20E81455" w14:textId="6E3F6312" w:rsidR="00B3403A" w:rsidRPr="00484F9B" w:rsidRDefault="00484F9B" w:rsidP="00484F9B">
      <w:pPr>
        <w:pStyle w:val="Paragrafoelenco"/>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 xml:space="preserve">1.1.1 </w:t>
      </w:r>
      <w:r w:rsidR="00B3403A" w:rsidRPr="00484F9B">
        <w:rPr>
          <w:rFonts w:ascii="Times New Roman" w:hAnsi="Times New Roman" w:cs="Times New Roman"/>
          <w:i/>
          <w:sz w:val="28"/>
          <w:szCs w:val="28"/>
        </w:rPr>
        <w:t>Le specificità del diritto missionario</w:t>
      </w:r>
    </w:p>
    <w:p w14:paraId="362F452D" w14:textId="77777777" w:rsidR="00484F9B" w:rsidRPr="00484F9B" w:rsidRDefault="00484F9B" w:rsidP="00484F9B">
      <w:pPr>
        <w:spacing w:after="0" w:line="360" w:lineRule="auto"/>
        <w:ind w:right="340"/>
        <w:jc w:val="both"/>
        <w:rPr>
          <w:rFonts w:ascii="Times New Roman" w:hAnsi="Times New Roman" w:cs="Times New Roman"/>
          <w:sz w:val="28"/>
          <w:szCs w:val="28"/>
        </w:rPr>
      </w:pPr>
    </w:p>
    <w:p w14:paraId="55C27866" w14:textId="77777777" w:rsidR="00B3403A" w:rsidRDefault="00B3403A" w:rsidP="00484F9B">
      <w:pPr>
        <w:pStyle w:val="Paragrafoelenco"/>
        <w:spacing w:after="0" w:line="360" w:lineRule="auto"/>
        <w:ind w:left="680" w:right="340"/>
        <w:jc w:val="both"/>
        <w:rPr>
          <w:rFonts w:ascii="Times New Roman" w:hAnsi="Times New Roman" w:cs="Times New Roman"/>
          <w:sz w:val="28"/>
          <w:szCs w:val="28"/>
        </w:rPr>
      </w:pPr>
      <w:r w:rsidRPr="00644F25">
        <w:rPr>
          <w:rFonts w:ascii="Times New Roman" w:hAnsi="Times New Roman" w:cs="Times New Roman"/>
          <w:sz w:val="28"/>
          <w:szCs w:val="28"/>
        </w:rPr>
        <w:t>La problematica relativa alle strutture giuridiche che la Chiesa si è data nei secoli per svolgere</w:t>
      </w:r>
      <w:r>
        <w:rPr>
          <w:rFonts w:ascii="Times New Roman" w:hAnsi="Times New Roman" w:cs="Times New Roman"/>
          <w:sz w:val="28"/>
          <w:szCs w:val="28"/>
        </w:rPr>
        <w:t xml:space="preserve"> </w:t>
      </w:r>
      <w:r w:rsidRPr="00644F25">
        <w:rPr>
          <w:rFonts w:ascii="Times New Roman" w:hAnsi="Times New Roman" w:cs="Times New Roman"/>
          <w:sz w:val="28"/>
          <w:szCs w:val="28"/>
        </w:rPr>
        <w:t xml:space="preserve">la sua missione </w:t>
      </w:r>
      <w:r>
        <w:rPr>
          <w:rFonts w:ascii="Times New Roman" w:hAnsi="Times New Roman" w:cs="Times New Roman"/>
          <w:sz w:val="28"/>
          <w:szCs w:val="28"/>
        </w:rPr>
        <w:t xml:space="preserve">salvifica si è dovuta scontrare </w:t>
      </w:r>
      <w:r w:rsidRPr="00644F25">
        <w:rPr>
          <w:rFonts w:ascii="Times New Roman" w:hAnsi="Times New Roman" w:cs="Times New Roman"/>
          <w:sz w:val="28"/>
          <w:szCs w:val="28"/>
        </w:rPr>
        <w:t>inevitabilmente con tutta la problematica concernente</w:t>
      </w:r>
      <w:r>
        <w:rPr>
          <w:rFonts w:ascii="Times New Roman" w:hAnsi="Times New Roman" w:cs="Times New Roman"/>
          <w:sz w:val="28"/>
          <w:szCs w:val="28"/>
        </w:rPr>
        <w:t xml:space="preserve"> </w:t>
      </w:r>
      <w:r w:rsidRPr="00644F25">
        <w:rPr>
          <w:rFonts w:ascii="Times New Roman" w:hAnsi="Times New Roman" w:cs="Times New Roman"/>
          <w:sz w:val="28"/>
          <w:szCs w:val="28"/>
        </w:rPr>
        <w:t>l’inculturazione giuridica. Il diritto canonico, essendo sorto e sviluppatosi soprattutto nell’ambito</w:t>
      </w:r>
      <w:r>
        <w:rPr>
          <w:rFonts w:ascii="Times New Roman" w:hAnsi="Times New Roman" w:cs="Times New Roman"/>
          <w:sz w:val="28"/>
          <w:szCs w:val="28"/>
        </w:rPr>
        <w:t xml:space="preserve"> </w:t>
      </w:r>
      <w:r w:rsidRPr="00644F25">
        <w:rPr>
          <w:rFonts w:ascii="Times New Roman" w:hAnsi="Times New Roman" w:cs="Times New Roman"/>
          <w:sz w:val="28"/>
          <w:szCs w:val="28"/>
        </w:rPr>
        <w:t>della Chiesa latina, è stato senz’altro ampliamente influenzato dalla tradizione e dal contesto</w:t>
      </w:r>
      <w:r>
        <w:rPr>
          <w:rFonts w:ascii="Times New Roman" w:hAnsi="Times New Roman" w:cs="Times New Roman"/>
          <w:sz w:val="28"/>
          <w:szCs w:val="28"/>
        </w:rPr>
        <w:t xml:space="preserve"> </w:t>
      </w:r>
      <w:r w:rsidRPr="00644F25">
        <w:rPr>
          <w:rFonts w:ascii="Times New Roman" w:hAnsi="Times New Roman" w:cs="Times New Roman"/>
          <w:sz w:val="28"/>
          <w:szCs w:val="28"/>
        </w:rPr>
        <w:t>romanistico</w:t>
      </w:r>
      <w:r>
        <w:rPr>
          <w:rStyle w:val="Rimandonotaapidipagina"/>
          <w:rFonts w:ascii="Times New Roman" w:hAnsi="Times New Roman" w:cs="Times New Roman"/>
          <w:sz w:val="28"/>
          <w:szCs w:val="28"/>
        </w:rPr>
        <w:footnoteReference w:id="604"/>
      </w:r>
      <w:r w:rsidRPr="00644F25">
        <w:rPr>
          <w:rFonts w:ascii="Times New Roman" w:hAnsi="Times New Roman" w:cs="Times New Roman"/>
          <w:sz w:val="28"/>
          <w:szCs w:val="28"/>
        </w:rPr>
        <w:t>. Ciò è stato a volte visto come un impedimento all’incontro del cristianesimo con altre</w:t>
      </w:r>
      <w:r>
        <w:rPr>
          <w:rFonts w:ascii="Times New Roman" w:hAnsi="Times New Roman" w:cs="Times New Roman"/>
          <w:sz w:val="28"/>
          <w:szCs w:val="28"/>
        </w:rPr>
        <w:t xml:space="preserve"> </w:t>
      </w:r>
      <w:r w:rsidRPr="00644F25">
        <w:rPr>
          <w:rFonts w:ascii="Times New Roman" w:hAnsi="Times New Roman" w:cs="Times New Roman"/>
          <w:sz w:val="28"/>
          <w:szCs w:val="28"/>
        </w:rPr>
        <w:t>culture e alla possibilità di attualizzare con queste un reciproco arricchimento</w:t>
      </w:r>
      <w:r>
        <w:rPr>
          <w:rStyle w:val="Rimandonotaapidipagina"/>
          <w:rFonts w:ascii="Times New Roman" w:hAnsi="Times New Roman" w:cs="Times New Roman"/>
          <w:sz w:val="28"/>
          <w:szCs w:val="28"/>
        </w:rPr>
        <w:footnoteReference w:id="605"/>
      </w:r>
      <w:r w:rsidRPr="00644F25">
        <w:rPr>
          <w:rFonts w:ascii="Times New Roman" w:hAnsi="Times New Roman" w:cs="Times New Roman"/>
          <w:sz w:val="28"/>
          <w:szCs w:val="28"/>
        </w:rPr>
        <w:t>.</w:t>
      </w:r>
      <w:r>
        <w:rPr>
          <w:rFonts w:ascii="Times New Roman" w:hAnsi="Times New Roman" w:cs="Times New Roman"/>
          <w:sz w:val="28"/>
          <w:szCs w:val="28"/>
        </w:rPr>
        <w:t xml:space="preserve"> L</w:t>
      </w:r>
      <w:r w:rsidRPr="00C13332">
        <w:rPr>
          <w:rFonts w:ascii="Times New Roman" w:hAnsi="Times New Roman" w:cs="Times New Roman"/>
          <w:sz w:val="28"/>
          <w:szCs w:val="28"/>
        </w:rPr>
        <w:t>’esperienza dell</w:t>
      </w:r>
      <w:r>
        <w:rPr>
          <w:rFonts w:ascii="Times New Roman" w:hAnsi="Times New Roman" w:cs="Times New Roman"/>
          <w:sz w:val="28"/>
          <w:szCs w:val="28"/>
        </w:rPr>
        <w:t xml:space="preserve">’inculturazione giuridica è stata l’ispirazione </w:t>
      </w:r>
      <w:r w:rsidRPr="00C13332">
        <w:rPr>
          <w:rFonts w:ascii="Times New Roman" w:hAnsi="Times New Roman" w:cs="Times New Roman"/>
          <w:sz w:val="28"/>
          <w:szCs w:val="28"/>
        </w:rPr>
        <w:t>per ogni tipo di inculturazione, proprio per il fatto che il diritto si è</w:t>
      </w:r>
      <w:r>
        <w:rPr>
          <w:rFonts w:ascii="Times New Roman" w:hAnsi="Times New Roman" w:cs="Times New Roman"/>
          <w:sz w:val="28"/>
          <w:szCs w:val="28"/>
        </w:rPr>
        <w:t xml:space="preserve"> </w:t>
      </w:r>
      <w:r w:rsidRPr="00C13332">
        <w:rPr>
          <w:rFonts w:ascii="Times New Roman" w:hAnsi="Times New Roman" w:cs="Times New Roman"/>
          <w:sz w:val="28"/>
          <w:szCs w:val="28"/>
        </w:rPr>
        <w:t>dovuto continuamente misurare con la possibilità di ricevere arricchim</w:t>
      </w:r>
      <w:r>
        <w:rPr>
          <w:rFonts w:ascii="Times New Roman" w:hAnsi="Times New Roman" w:cs="Times New Roman"/>
          <w:sz w:val="28"/>
          <w:szCs w:val="28"/>
        </w:rPr>
        <w:t xml:space="preserve">enti da parte di altre culture, tentando </w:t>
      </w:r>
      <w:r w:rsidRPr="00C13332">
        <w:rPr>
          <w:rFonts w:ascii="Times New Roman" w:hAnsi="Times New Roman" w:cs="Times New Roman"/>
          <w:sz w:val="28"/>
          <w:szCs w:val="28"/>
        </w:rPr>
        <w:t>al contempo di purificarsi e proteggersi incessantemente da eventuali contaminazioni</w:t>
      </w:r>
      <w:r>
        <w:rPr>
          <w:rStyle w:val="Rimandonotaapidipagina"/>
          <w:rFonts w:ascii="Times New Roman" w:hAnsi="Times New Roman" w:cs="Times New Roman"/>
          <w:sz w:val="28"/>
          <w:szCs w:val="28"/>
        </w:rPr>
        <w:footnoteReference w:id="606"/>
      </w:r>
      <w:r w:rsidRPr="00C13332">
        <w:rPr>
          <w:rFonts w:ascii="Times New Roman" w:hAnsi="Times New Roman" w:cs="Times New Roman"/>
          <w:sz w:val="28"/>
          <w:szCs w:val="28"/>
        </w:rPr>
        <w:t>.</w:t>
      </w:r>
      <w:r>
        <w:rPr>
          <w:rFonts w:ascii="Times New Roman" w:hAnsi="Times New Roman" w:cs="Times New Roman"/>
          <w:sz w:val="28"/>
          <w:szCs w:val="28"/>
        </w:rPr>
        <w:t xml:space="preserve"> </w:t>
      </w:r>
      <w:r w:rsidRPr="00C13332">
        <w:rPr>
          <w:rFonts w:ascii="Times New Roman" w:hAnsi="Times New Roman" w:cs="Times New Roman"/>
          <w:sz w:val="28"/>
          <w:szCs w:val="28"/>
        </w:rPr>
        <w:t xml:space="preserve">Ciò va unito al fatto che il diritto della Chiesa </w:t>
      </w:r>
      <w:r>
        <w:rPr>
          <w:rFonts w:ascii="Times New Roman" w:hAnsi="Times New Roman" w:cs="Times New Roman"/>
          <w:sz w:val="28"/>
          <w:szCs w:val="28"/>
        </w:rPr>
        <w:t>è sempre stato in grado di</w:t>
      </w:r>
      <w:r w:rsidRPr="00C13332">
        <w:rPr>
          <w:rFonts w:ascii="Times New Roman" w:hAnsi="Times New Roman" w:cs="Times New Roman"/>
          <w:sz w:val="28"/>
          <w:szCs w:val="28"/>
        </w:rPr>
        <w:t xml:space="preserve"> valorizzare ed essere attento e</w:t>
      </w:r>
      <w:r>
        <w:rPr>
          <w:rFonts w:ascii="Times New Roman" w:hAnsi="Times New Roman" w:cs="Times New Roman"/>
          <w:sz w:val="28"/>
          <w:szCs w:val="28"/>
        </w:rPr>
        <w:t xml:space="preserve"> </w:t>
      </w:r>
      <w:r w:rsidRPr="00C13332">
        <w:rPr>
          <w:rFonts w:ascii="Times New Roman" w:hAnsi="Times New Roman" w:cs="Times New Roman"/>
          <w:sz w:val="28"/>
          <w:szCs w:val="28"/>
        </w:rPr>
        <w:t xml:space="preserve">aperto alle istanze </w:t>
      </w:r>
      <w:r w:rsidRPr="00C13332">
        <w:rPr>
          <w:rFonts w:ascii="Times New Roman" w:hAnsi="Times New Roman" w:cs="Times New Roman"/>
          <w:sz w:val="28"/>
          <w:szCs w:val="28"/>
        </w:rPr>
        <w:lastRenderedPageBreak/>
        <w:t>particolari ed alle produz</w:t>
      </w:r>
      <w:r>
        <w:rPr>
          <w:rFonts w:ascii="Times New Roman" w:hAnsi="Times New Roman" w:cs="Times New Roman"/>
          <w:sz w:val="28"/>
          <w:szCs w:val="28"/>
        </w:rPr>
        <w:t>ioni normative, che provenivano</w:t>
      </w:r>
      <w:r w:rsidRPr="00C13332">
        <w:rPr>
          <w:rFonts w:ascii="Times New Roman" w:hAnsi="Times New Roman" w:cs="Times New Roman"/>
          <w:sz w:val="28"/>
          <w:szCs w:val="28"/>
        </w:rPr>
        <w:t xml:space="preserve"> dalle terre di missione. In un certo qual modo l’organizzazione giuridica della Chiesa </w:t>
      </w:r>
      <w:r>
        <w:rPr>
          <w:rFonts w:ascii="Times New Roman" w:hAnsi="Times New Roman" w:cs="Times New Roman"/>
          <w:sz w:val="28"/>
          <w:szCs w:val="28"/>
        </w:rPr>
        <w:t xml:space="preserve">è stata capace di reinventarsi </w:t>
      </w:r>
      <w:r w:rsidRPr="00C13332">
        <w:rPr>
          <w:rFonts w:ascii="Times New Roman" w:hAnsi="Times New Roman" w:cs="Times New Roman"/>
          <w:sz w:val="28"/>
          <w:szCs w:val="28"/>
        </w:rPr>
        <w:t>e adattarsi continua</w:t>
      </w:r>
      <w:r>
        <w:rPr>
          <w:rFonts w:ascii="Times New Roman" w:hAnsi="Times New Roman" w:cs="Times New Roman"/>
          <w:sz w:val="28"/>
          <w:szCs w:val="28"/>
        </w:rPr>
        <w:t xml:space="preserve">mente, fornendosi nuovi strumenti, indispensabili, </w:t>
      </w:r>
      <w:r w:rsidRPr="00C13332">
        <w:rPr>
          <w:rFonts w:ascii="Times New Roman" w:hAnsi="Times New Roman" w:cs="Times New Roman"/>
          <w:sz w:val="28"/>
          <w:szCs w:val="28"/>
        </w:rPr>
        <w:t>per far fronte alle nuove sfide ed urgenze dell’evangelizzazione</w:t>
      </w:r>
      <w:r>
        <w:rPr>
          <w:rFonts w:ascii="Times New Roman" w:hAnsi="Times New Roman" w:cs="Times New Roman"/>
          <w:sz w:val="28"/>
          <w:szCs w:val="28"/>
        </w:rPr>
        <w:t xml:space="preserve">. Sulla base di tale finalità il </w:t>
      </w:r>
      <w:r w:rsidRPr="00C13332">
        <w:rPr>
          <w:rFonts w:ascii="Times New Roman" w:hAnsi="Times New Roman" w:cs="Times New Roman"/>
          <w:sz w:val="28"/>
          <w:szCs w:val="28"/>
        </w:rPr>
        <w:t>diritto missiona</w:t>
      </w:r>
      <w:r>
        <w:rPr>
          <w:rFonts w:ascii="Times New Roman" w:hAnsi="Times New Roman" w:cs="Times New Roman"/>
          <w:sz w:val="28"/>
          <w:szCs w:val="28"/>
        </w:rPr>
        <w:t xml:space="preserve">rio ha perfino contribuito allo </w:t>
      </w:r>
      <w:r w:rsidRPr="00C13332">
        <w:rPr>
          <w:rFonts w:ascii="Times New Roman" w:hAnsi="Times New Roman" w:cs="Times New Roman"/>
          <w:sz w:val="28"/>
          <w:szCs w:val="28"/>
        </w:rPr>
        <w:t>sviluppo del di</w:t>
      </w:r>
      <w:r>
        <w:rPr>
          <w:rFonts w:ascii="Times New Roman" w:hAnsi="Times New Roman" w:cs="Times New Roman"/>
          <w:sz w:val="28"/>
          <w:szCs w:val="28"/>
        </w:rPr>
        <w:t xml:space="preserve">ritto universale, nonché al suo </w:t>
      </w:r>
      <w:r w:rsidRPr="00C13332">
        <w:rPr>
          <w:rFonts w:ascii="Times New Roman" w:hAnsi="Times New Roman" w:cs="Times New Roman"/>
          <w:sz w:val="28"/>
          <w:szCs w:val="28"/>
        </w:rPr>
        <w:t>continuo adattamento alle più diver</w:t>
      </w:r>
      <w:r>
        <w:rPr>
          <w:rFonts w:ascii="Times New Roman" w:hAnsi="Times New Roman" w:cs="Times New Roman"/>
          <w:sz w:val="28"/>
          <w:szCs w:val="28"/>
        </w:rPr>
        <w:t xml:space="preserve">sificate esigenze normative, emerse </w:t>
      </w:r>
      <w:r w:rsidRPr="00C13332">
        <w:rPr>
          <w:rFonts w:ascii="Times New Roman" w:hAnsi="Times New Roman" w:cs="Times New Roman"/>
          <w:sz w:val="28"/>
          <w:szCs w:val="28"/>
        </w:rPr>
        <w:t>nel</w:t>
      </w:r>
      <w:r>
        <w:rPr>
          <w:rFonts w:ascii="Times New Roman" w:hAnsi="Times New Roman" w:cs="Times New Roman"/>
          <w:sz w:val="28"/>
          <w:szCs w:val="28"/>
        </w:rPr>
        <w:t xml:space="preserve"> </w:t>
      </w:r>
      <w:r w:rsidRPr="00C13332">
        <w:rPr>
          <w:rFonts w:ascii="Times New Roman" w:hAnsi="Times New Roman" w:cs="Times New Roman"/>
          <w:sz w:val="28"/>
          <w:szCs w:val="28"/>
        </w:rPr>
        <w:t>corso dei secoli. Ciò si dimostra attraverso il fatto che alcuni istituti giuridici nati nell’alveo del</w:t>
      </w:r>
      <w:r>
        <w:rPr>
          <w:rFonts w:ascii="Times New Roman" w:hAnsi="Times New Roman" w:cs="Times New Roman"/>
          <w:sz w:val="28"/>
          <w:szCs w:val="28"/>
        </w:rPr>
        <w:t xml:space="preserve"> </w:t>
      </w:r>
      <w:r w:rsidRPr="00147600">
        <w:rPr>
          <w:rFonts w:ascii="Times New Roman" w:hAnsi="Times New Roman" w:cs="Times New Roman"/>
          <w:sz w:val="28"/>
          <w:szCs w:val="28"/>
        </w:rPr>
        <w:t>diritto missionario o addirittura come frutto di esperienze giuridiche di diritto particolare venissero poi recepiti dal diritto universale. Il diritto missionario ha esercitato, ad esempio, sull’insegnamento p</w:t>
      </w:r>
      <w:r>
        <w:rPr>
          <w:rFonts w:ascii="Times New Roman" w:hAnsi="Times New Roman" w:cs="Times New Roman"/>
          <w:sz w:val="28"/>
          <w:szCs w:val="28"/>
        </w:rPr>
        <w:t xml:space="preserve">roprio del Concilio Vaticano II (1962-1965) </w:t>
      </w:r>
      <w:r w:rsidRPr="00147600">
        <w:rPr>
          <w:rFonts w:ascii="Times New Roman" w:hAnsi="Times New Roman" w:cs="Times New Roman"/>
          <w:sz w:val="28"/>
          <w:szCs w:val="28"/>
        </w:rPr>
        <w:t>un notevole influsso, fino a poter affermare che i punti di maggior interesse e di discussione propri dell’assise conciliare fossero stati determinati dalle esperienze e dagli interrogativi provenienti dalle terre di missione.</w:t>
      </w:r>
      <w:r w:rsidRPr="00A73DF9">
        <w:t xml:space="preserve"> </w:t>
      </w:r>
      <w:r w:rsidRPr="00147600">
        <w:rPr>
          <w:rFonts w:ascii="Times New Roman" w:hAnsi="Times New Roman" w:cs="Times New Roman"/>
          <w:sz w:val="28"/>
          <w:szCs w:val="28"/>
        </w:rPr>
        <w:t>Il diritto missionario ha quindi saputo dimostrare di poter essere il punto di sutura tra diritto universale e diritto particolare ed è anche ciò che ha permesso un r</w:t>
      </w:r>
      <w:r>
        <w:rPr>
          <w:rFonts w:ascii="Times New Roman" w:hAnsi="Times New Roman" w:cs="Times New Roman"/>
          <w:sz w:val="28"/>
          <w:szCs w:val="28"/>
        </w:rPr>
        <w:t>eciproco travaso di insegnamenti</w:t>
      </w:r>
      <w:r w:rsidRPr="00147600">
        <w:rPr>
          <w:rFonts w:ascii="Times New Roman" w:hAnsi="Times New Roman" w:cs="Times New Roman"/>
          <w:sz w:val="28"/>
          <w:szCs w:val="28"/>
        </w:rPr>
        <w:t xml:space="preserve"> e di soluzioni normative e di governo. Grazie al diritto missionario l’ordinamento giuridico della Chiesa latina si è trasformato in un vero e proprio diritto della Chiesa universale</w:t>
      </w:r>
      <w:r>
        <w:rPr>
          <w:rStyle w:val="Rimandonotaapidipagina"/>
          <w:rFonts w:ascii="Times New Roman" w:hAnsi="Times New Roman" w:cs="Times New Roman"/>
          <w:sz w:val="28"/>
          <w:szCs w:val="28"/>
        </w:rPr>
        <w:footnoteReference w:id="607"/>
      </w:r>
      <w:r w:rsidRPr="00147600">
        <w:rPr>
          <w:rFonts w:ascii="Times New Roman" w:hAnsi="Times New Roman" w:cs="Times New Roman"/>
          <w:sz w:val="28"/>
          <w:szCs w:val="28"/>
        </w:rPr>
        <w:t>. L’influsso del diritto missionario sull’ordinamento giuridico è stato la riprova che il diritto codiciale non aveva come origine solo il diritto europeo, ma si avvale</w:t>
      </w:r>
      <w:r>
        <w:rPr>
          <w:rFonts w:ascii="Times New Roman" w:hAnsi="Times New Roman" w:cs="Times New Roman"/>
          <w:sz w:val="28"/>
          <w:szCs w:val="28"/>
        </w:rPr>
        <w:t xml:space="preserve">va di tutta la </w:t>
      </w:r>
      <w:r w:rsidRPr="00147600">
        <w:rPr>
          <w:rFonts w:ascii="Times New Roman" w:hAnsi="Times New Roman" w:cs="Times New Roman"/>
          <w:sz w:val="28"/>
          <w:szCs w:val="28"/>
        </w:rPr>
        <w:t>produzione normativa dell’intera Chiesa cattolica.</w:t>
      </w:r>
      <w:r w:rsidRPr="00B031C7">
        <w:t xml:space="preserve"> </w:t>
      </w:r>
      <w:r w:rsidRPr="00147600">
        <w:rPr>
          <w:rFonts w:ascii="Times New Roman" w:hAnsi="Times New Roman" w:cs="Times New Roman"/>
          <w:sz w:val="28"/>
          <w:szCs w:val="28"/>
        </w:rPr>
        <w:t xml:space="preserve">Insomma il diritto missionario nella Chiesa si è sempre </w:t>
      </w:r>
      <w:r>
        <w:rPr>
          <w:rFonts w:ascii="Times New Roman" w:hAnsi="Times New Roman" w:cs="Times New Roman"/>
          <w:sz w:val="28"/>
          <w:szCs w:val="28"/>
        </w:rPr>
        <w:t xml:space="preserve">configurato </w:t>
      </w:r>
      <w:r w:rsidRPr="00147600">
        <w:rPr>
          <w:rFonts w:ascii="Times New Roman" w:hAnsi="Times New Roman" w:cs="Times New Roman"/>
          <w:sz w:val="28"/>
          <w:szCs w:val="28"/>
        </w:rPr>
        <w:t xml:space="preserve">come un’ottima </w:t>
      </w:r>
      <w:r>
        <w:rPr>
          <w:rFonts w:ascii="Times New Roman" w:hAnsi="Times New Roman" w:cs="Times New Roman"/>
          <w:sz w:val="28"/>
          <w:szCs w:val="28"/>
        </w:rPr>
        <w:t>«</w:t>
      </w:r>
      <w:r w:rsidRPr="00147600">
        <w:rPr>
          <w:rFonts w:ascii="Times New Roman" w:hAnsi="Times New Roman" w:cs="Times New Roman"/>
          <w:sz w:val="28"/>
          <w:szCs w:val="28"/>
        </w:rPr>
        <w:t>cinghia di trasmissione nel mutuo arricchiment</w:t>
      </w:r>
      <w:r>
        <w:rPr>
          <w:rFonts w:ascii="Times New Roman" w:hAnsi="Times New Roman" w:cs="Times New Roman"/>
          <w:sz w:val="28"/>
          <w:szCs w:val="28"/>
        </w:rPr>
        <w:t>o tra universale e particolare»</w:t>
      </w:r>
      <w:r>
        <w:rPr>
          <w:rStyle w:val="Rimandonotaapidipagina"/>
          <w:rFonts w:ascii="Times New Roman" w:hAnsi="Times New Roman" w:cs="Times New Roman"/>
          <w:sz w:val="28"/>
          <w:szCs w:val="28"/>
        </w:rPr>
        <w:footnoteReference w:id="608"/>
      </w:r>
      <w:r>
        <w:rPr>
          <w:rFonts w:ascii="Times New Roman" w:hAnsi="Times New Roman" w:cs="Times New Roman"/>
          <w:sz w:val="28"/>
          <w:szCs w:val="28"/>
        </w:rPr>
        <w:t>.</w:t>
      </w:r>
    </w:p>
    <w:p w14:paraId="643832ED" w14:textId="77777777" w:rsidR="00B3403A" w:rsidRPr="00BF0D8E" w:rsidRDefault="00B3403A" w:rsidP="00484F9B">
      <w:pPr>
        <w:pStyle w:val="Paragrafoelenco"/>
        <w:spacing w:after="0" w:line="360" w:lineRule="auto"/>
        <w:ind w:left="680" w:right="340"/>
        <w:jc w:val="both"/>
        <w:rPr>
          <w:rFonts w:ascii="Times New Roman" w:hAnsi="Times New Roman" w:cs="Times New Roman"/>
          <w:sz w:val="28"/>
          <w:szCs w:val="28"/>
        </w:rPr>
      </w:pPr>
      <w:r w:rsidRPr="00147600">
        <w:rPr>
          <w:rFonts w:ascii="Times New Roman" w:hAnsi="Times New Roman" w:cs="Times New Roman"/>
          <w:sz w:val="28"/>
          <w:szCs w:val="28"/>
        </w:rPr>
        <w:t xml:space="preserve">In questo l’ordinamento canonico ha nel tempo saputo dotarsi di una strumentazione sempre più adeguata, tra le quali spicca la produzione </w:t>
      </w:r>
      <w:r w:rsidRPr="00147600">
        <w:rPr>
          <w:rFonts w:ascii="Times New Roman" w:hAnsi="Times New Roman" w:cs="Times New Roman"/>
          <w:sz w:val="28"/>
          <w:szCs w:val="28"/>
        </w:rPr>
        <w:lastRenderedPageBreak/>
        <w:t>normativa del diritto particolare propria dei vescovi, dei concili e dei sinodi particolari, delle conferenze episcopali, nonché degli istituti di vita consacrata.</w:t>
      </w:r>
      <w:r>
        <w:rPr>
          <w:rFonts w:ascii="Times New Roman" w:hAnsi="Times New Roman" w:cs="Times New Roman"/>
          <w:sz w:val="28"/>
          <w:szCs w:val="28"/>
        </w:rPr>
        <w:t xml:space="preserve"> </w:t>
      </w:r>
      <w:r w:rsidRPr="00BF0D8E">
        <w:rPr>
          <w:rFonts w:ascii="Times New Roman" w:hAnsi="Times New Roman" w:cs="Times New Roman"/>
          <w:sz w:val="28"/>
          <w:szCs w:val="28"/>
        </w:rPr>
        <w:t>Il diritto comune, generalmente, ed è bene che sia cosi, insiste sulla rigidit</w:t>
      </w:r>
      <w:r>
        <w:rPr>
          <w:rFonts w:ascii="Times New Roman" w:hAnsi="Times New Roman" w:cs="Times New Roman"/>
          <w:sz w:val="28"/>
          <w:szCs w:val="28"/>
        </w:rPr>
        <w:t xml:space="preserve">à della norma, sulla sua </w:t>
      </w:r>
      <w:r w:rsidRPr="00BF0D8E">
        <w:rPr>
          <w:rFonts w:ascii="Times New Roman" w:hAnsi="Times New Roman" w:cs="Times New Roman"/>
          <w:sz w:val="28"/>
          <w:szCs w:val="28"/>
        </w:rPr>
        <w:t>inflessibilità; la norma è presentata come assoluta e da osservarsi sempre e ovunque. Invece, le norme del diritto</w:t>
      </w:r>
    </w:p>
    <w:p w14:paraId="27CDBA7B" w14:textId="77777777" w:rsidR="00484F9B" w:rsidRDefault="00B3403A" w:rsidP="00484F9B">
      <w:pPr>
        <w:pStyle w:val="Paragrafoelenco"/>
        <w:spacing w:after="0" w:line="360" w:lineRule="auto"/>
        <w:ind w:left="680" w:right="340"/>
        <w:jc w:val="both"/>
        <w:rPr>
          <w:rFonts w:ascii="Times New Roman" w:hAnsi="Times New Roman" w:cs="Times New Roman"/>
          <w:sz w:val="28"/>
          <w:szCs w:val="28"/>
        </w:rPr>
      </w:pPr>
      <w:r w:rsidRPr="00BF0D8E">
        <w:rPr>
          <w:rFonts w:ascii="Times New Roman" w:hAnsi="Times New Roman" w:cs="Times New Roman"/>
          <w:sz w:val="28"/>
          <w:szCs w:val="28"/>
        </w:rPr>
        <w:t xml:space="preserve">missionario sono ordinate coscientemente e volutamente in tal modo e forma che le stesse leggi abbiano in sé, e per </w:t>
      </w:r>
      <w:r>
        <w:rPr>
          <w:rFonts w:ascii="Times New Roman" w:hAnsi="Times New Roman" w:cs="Times New Roman"/>
          <w:sz w:val="28"/>
          <w:szCs w:val="28"/>
        </w:rPr>
        <w:t xml:space="preserve">loro </w:t>
      </w:r>
      <w:r w:rsidRPr="00BF0D8E">
        <w:rPr>
          <w:rFonts w:ascii="Times New Roman" w:hAnsi="Times New Roman" w:cs="Times New Roman"/>
          <w:sz w:val="28"/>
          <w:szCs w:val="28"/>
        </w:rPr>
        <w:t>natura, un’attenuazione che in nessun caso intacca il principio generale, né gli toglie forza, per cui vanno recepite ed</w:t>
      </w:r>
      <w:r>
        <w:rPr>
          <w:rFonts w:ascii="Times New Roman" w:hAnsi="Times New Roman" w:cs="Times New Roman"/>
          <w:sz w:val="28"/>
          <w:szCs w:val="28"/>
        </w:rPr>
        <w:t xml:space="preserve"> </w:t>
      </w:r>
      <w:r w:rsidRPr="00BF0D8E">
        <w:rPr>
          <w:rFonts w:ascii="Times New Roman" w:hAnsi="Times New Roman" w:cs="Times New Roman"/>
          <w:sz w:val="28"/>
          <w:szCs w:val="28"/>
        </w:rPr>
        <w:t xml:space="preserve">accettate come leggi vincolanti. </w:t>
      </w:r>
      <w:r>
        <w:rPr>
          <w:rFonts w:ascii="Times New Roman" w:hAnsi="Times New Roman" w:cs="Times New Roman"/>
          <w:sz w:val="28"/>
          <w:szCs w:val="28"/>
        </w:rPr>
        <w:t>«L</w:t>
      </w:r>
      <w:r w:rsidRPr="00BF0D8E">
        <w:rPr>
          <w:rFonts w:ascii="Times New Roman" w:hAnsi="Times New Roman" w:cs="Times New Roman"/>
          <w:sz w:val="28"/>
          <w:szCs w:val="28"/>
        </w:rPr>
        <w:t>a legge, nel diritto missionario, esiste come vera norma vincolante, ha</w:t>
      </w:r>
      <w:r>
        <w:rPr>
          <w:rFonts w:ascii="Times New Roman" w:hAnsi="Times New Roman" w:cs="Times New Roman"/>
          <w:sz w:val="28"/>
          <w:szCs w:val="28"/>
        </w:rPr>
        <w:t xml:space="preserve"> </w:t>
      </w:r>
      <w:r w:rsidRPr="00BF0D8E">
        <w:rPr>
          <w:rFonts w:ascii="Times New Roman" w:hAnsi="Times New Roman" w:cs="Times New Roman"/>
          <w:sz w:val="28"/>
          <w:szCs w:val="28"/>
        </w:rPr>
        <w:t>valore giuridico, obbliga; ma spesso si deve fare attenzione che la sua forza non sia affermata se non tenendo conto</w:t>
      </w:r>
      <w:r>
        <w:rPr>
          <w:rFonts w:ascii="Times New Roman" w:hAnsi="Times New Roman" w:cs="Times New Roman"/>
          <w:sz w:val="28"/>
          <w:szCs w:val="28"/>
        </w:rPr>
        <w:t xml:space="preserve"> </w:t>
      </w:r>
      <w:r w:rsidRPr="00BF0D8E">
        <w:rPr>
          <w:rFonts w:ascii="Times New Roman" w:hAnsi="Times New Roman" w:cs="Times New Roman"/>
          <w:sz w:val="28"/>
          <w:szCs w:val="28"/>
        </w:rPr>
        <w:t>delle circostanze, delle condizioni dichiarate o inserite nella legge. E questo, si noti bene, nel diritto missionario non si</w:t>
      </w:r>
      <w:r>
        <w:rPr>
          <w:rFonts w:ascii="Times New Roman" w:hAnsi="Times New Roman" w:cs="Times New Roman"/>
          <w:sz w:val="28"/>
          <w:szCs w:val="28"/>
        </w:rPr>
        <w:t xml:space="preserve"> </w:t>
      </w:r>
      <w:r w:rsidRPr="00BF0D8E">
        <w:rPr>
          <w:rFonts w:ascii="Times New Roman" w:hAnsi="Times New Roman" w:cs="Times New Roman"/>
          <w:sz w:val="28"/>
          <w:szCs w:val="28"/>
        </w:rPr>
        <w:t>ottiene in via del tutto eccezionale, come capita o può capitare nel diritto comune, ma quasi in forza di un ordine</w:t>
      </w:r>
      <w:r>
        <w:rPr>
          <w:rFonts w:ascii="Times New Roman" w:hAnsi="Times New Roman" w:cs="Times New Roman"/>
          <w:sz w:val="28"/>
          <w:szCs w:val="28"/>
        </w:rPr>
        <w:t xml:space="preserve"> </w:t>
      </w:r>
      <w:r w:rsidRPr="00BF0D8E">
        <w:rPr>
          <w:rFonts w:ascii="Times New Roman" w:hAnsi="Times New Roman" w:cs="Times New Roman"/>
          <w:sz w:val="28"/>
          <w:szCs w:val="28"/>
        </w:rPr>
        <w:t>presentato coscientemente e scientemente dal legislatore. Questi ha ottenuto nel diritto missionario codificato questa</w:t>
      </w:r>
      <w:r>
        <w:rPr>
          <w:rFonts w:ascii="Times New Roman" w:hAnsi="Times New Roman" w:cs="Times New Roman"/>
          <w:sz w:val="28"/>
          <w:szCs w:val="28"/>
        </w:rPr>
        <w:t xml:space="preserve"> </w:t>
      </w:r>
      <w:r w:rsidRPr="00BF0D8E">
        <w:rPr>
          <w:rFonts w:ascii="Times New Roman" w:hAnsi="Times New Roman" w:cs="Times New Roman"/>
          <w:sz w:val="28"/>
          <w:szCs w:val="28"/>
        </w:rPr>
        <w:t>finalità, che lui stesso si era proposta, apponendo alla norma certe clausole che, con termine giusto anche se estraneo al</w:t>
      </w:r>
      <w:r>
        <w:rPr>
          <w:rFonts w:ascii="Times New Roman" w:hAnsi="Times New Roman" w:cs="Times New Roman"/>
          <w:sz w:val="28"/>
          <w:szCs w:val="28"/>
        </w:rPr>
        <w:t xml:space="preserve"> </w:t>
      </w:r>
      <w:r w:rsidRPr="00BF0D8E">
        <w:rPr>
          <w:rFonts w:ascii="Times New Roman" w:hAnsi="Times New Roman" w:cs="Times New Roman"/>
          <w:sz w:val="28"/>
          <w:szCs w:val="28"/>
        </w:rPr>
        <w:t>diritto possiamo chiamare elastiche; clausole che hanno per fine di concedere più ampio spazio nell’applicazione</w:t>
      </w:r>
      <w:r>
        <w:rPr>
          <w:rFonts w:ascii="Times New Roman" w:hAnsi="Times New Roman" w:cs="Times New Roman"/>
          <w:sz w:val="28"/>
          <w:szCs w:val="28"/>
        </w:rPr>
        <w:t xml:space="preserve"> </w:t>
      </w:r>
      <w:r w:rsidRPr="00BF0D8E">
        <w:rPr>
          <w:rFonts w:ascii="Times New Roman" w:hAnsi="Times New Roman" w:cs="Times New Roman"/>
          <w:sz w:val="28"/>
          <w:szCs w:val="28"/>
        </w:rPr>
        <w:t>concreta delle norme</w:t>
      </w:r>
      <w:r>
        <w:rPr>
          <w:rStyle w:val="Rimandonotaapidipagina"/>
          <w:rFonts w:ascii="Times New Roman" w:hAnsi="Times New Roman" w:cs="Times New Roman"/>
          <w:sz w:val="28"/>
          <w:szCs w:val="28"/>
        </w:rPr>
        <w:footnoteReference w:id="609"/>
      </w:r>
      <w:r>
        <w:rPr>
          <w:rFonts w:ascii="Times New Roman" w:hAnsi="Times New Roman" w:cs="Times New Roman"/>
          <w:sz w:val="28"/>
          <w:szCs w:val="28"/>
        </w:rPr>
        <w:t>».</w:t>
      </w:r>
      <w:r w:rsidRPr="003B1C02">
        <w:rPr>
          <w:rFonts w:ascii="Times New Roman" w:hAnsi="Times New Roman" w:cs="Times New Roman"/>
          <w:sz w:val="28"/>
          <w:szCs w:val="28"/>
        </w:rPr>
        <w:t xml:space="preserve"> </w:t>
      </w:r>
      <w:r>
        <w:rPr>
          <w:rFonts w:ascii="Times New Roman" w:hAnsi="Times New Roman" w:cs="Times New Roman"/>
          <w:sz w:val="28"/>
          <w:szCs w:val="28"/>
        </w:rPr>
        <w:t xml:space="preserve">In definitiva il </w:t>
      </w:r>
      <w:r w:rsidRPr="003B1C02">
        <w:rPr>
          <w:rFonts w:ascii="Times New Roman" w:hAnsi="Times New Roman" w:cs="Times New Roman"/>
          <w:sz w:val="28"/>
          <w:szCs w:val="28"/>
        </w:rPr>
        <w:t>diritto</w:t>
      </w:r>
      <w:r>
        <w:rPr>
          <w:rFonts w:ascii="Times New Roman" w:hAnsi="Times New Roman" w:cs="Times New Roman"/>
          <w:sz w:val="28"/>
          <w:szCs w:val="28"/>
        </w:rPr>
        <w:t xml:space="preserve"> missionario è concepito come un diritto</w:t>
      </w:r>
      <w:r w:rsidRPr="003B1C02">
        <w:rPr>
          <w:rFonts w:ascii="Times New Roman" w:hAnsi="Times New Roman" w:cs="Times New Roman"/>
          <w:sz w:val="28"/>
          <w:szCs w:val="28"/>
        </w:rPr>
        <w:t xml:space="preserve"> dotato di un carattere </w:t>
      </w:r>
      <w:r>
        <w:rPr>
          <w:rFonts w:ascii="Times New Roman" w:hAnsi="Times New Roman" w:cs="Times New Roman"/>
          <w:sz w:val="28"/>
          <w:szCs w:val="28"/>
        </w:rPr>
        <w:t xml:space="preserve">di provvisorietà che va poi man </w:t>
      </w:r>
      <w:r w:rsidRPr="003B1C02">
        <w:rPr>
          <w:rFonts w:ascii="Times New Roman" w:hAnsi="Times New Roman" w:cs="Times New Roman"/>
          <w:sz w:val="28"/>
          <w:szCs w:val="28"/>
        </w:rPr>
        <w:t>mano scomparendo</w:t>
      </w:r>
      <w:r>
        <w:rPr>
          <w:rFonts w:ascii="Times New Roman" w:hAnsi="Times New Roman" w:cs="Times New Roman"/>
          <w:sz w:val="28"/>
          <w:szCs w:val="28"/>
        </w:rPr>
        <w:t>,</w:t>
      </w:r>
      <w:r w:rsidRPr="003B1C02">
        <w:rPr>
          <w:rFonts w:ascii="Times New Roman" w:hAnsi="Times New Roman" w:cs="Times New Roman"/>
          <w:sz w:val="28"/>
          <w:szCs w:val="28"/>
        </w:rPr>
        <w:t xml:space="preserve"> laddove la Chiesa esce dal suo stato di neofita e, strutturandosi in modo</w:t>
      </w:r>
      <w:r>
        <w:rPr>
          <w:rFonts w:ascii="Times New Roman" w:hAnsi="Times New Roman" w:cs="Times New Roman"/>
          <w:sz w:val="28"/>
          <w:szCs w:val="28"/>
        </w:rPr>
        <w:t xml:space="preserve"> </w:t>
      </w:r>
      <w:r w:rsidRPr="003B1C02">
        <w:rPr>
          <w:rFonts w:ascii="Times New Roman" w:hAnsi="Times New Roman" w:cs="Times New Roman"/>
          <w:sz w:val="28"/>
          <w:szCs w:val="28"/>
        </w:rPr>
        <w:t>completo, può essere maggiormente garantita</w:t>
      </w:r>
      <w:r>
        <w:rPr>
          <w:rFonts w:ascii="Times New Roman" w:hAnsi="Times New Roman" w:cs="Times New Roman"/>
          <w:sz w:val="28"/>
          <w:szCs w:val="28"/>
        </w:rPr>
        <w:t xml:space="preserve"> dal diritto comune universale</w:t>
      </w:r>
      <w:r>
        <w:rPr>
          <w:rStyle w:val="Rimandonotaapidipagina"/>
          <w:rFonts w:ascii="Times New Roman" w:hAnsi="Times New Roman" w:cs="Times New Roman"/>
          <w:sz w:val="28"/>
          <w:szCs w:val="28"/>
        </w:rPr>
        <w:footnoteReference w:id="610"/>
      </w:r>
      <w:r>
        <w:rPr>
          <w:rFonts w:ascii="Times New Roman" w:hAnsi="Times New Roman" w:cs="Times New Roman"/>
          <w:sz w:val="28"/>
          <w:szCs w:val="28"/>
        </w:rPr>
        <w:t xml:space="preserve">. In tale ottica, </w:t>
      </w:r>
      <w:r w:rsidRPr="003B1C02">
        <w:rPr>
          <w:rFonts w:ascii="Times New Roman" w:hAnsi="Times New Roman" w:cs="Times New Roman"/>
          <w:sz w:val="28"/>
          <w:szCs w:val="28"/>
        </w:rPr>
        <w:t>il diritto missionario tende nel tempo ad assimilarsi sempre più al diritto comune man mano che</w:t>
      </w:r>
      <w:r>
        <w:rPr>
          <w:rFonts w:ascii="Times New Roman" w:hAnsi="Times New Roman" w:cs="Times New Roman"/>
          <w:sz w:val="28"/>
          <w:szCs w:val="28"/>
        </w:rPr>
        <w:t xml:space="preserve"> </w:t>
      </w:r>
      <w:r w:rsidRPr="003B1C02">
        <w:rPr>
          <w:rFonts w:ascii="Times New Roman" w:hAnsi="Times New Roman" w:cs="Times New Roman"/>
          <w:sz w:val="28"/>
          <w:szCs w:val="28"/>
        </w:rPr>
        <w:t>le nuove giovani chiese raggiungono uno stato di maturità ed autonomia</w:t>
      </w:r>
      <w:r>
        <w:rPr>
          <w:rStyle w:val="Rimandonotaapidipagina"/>
          <w:rFonts w:ascii="Times New Roman" w:hAnsi="Times New Roman" w:cs="Times New Roman"/>
          <w:sz w:val="28"/>
          <w:szCs w:val="28"/>
        </w:rPr>
        <w:footnoteReference w:id="611"/>
      </w:r>
      <w:r w:rsidRPr="003B1C02">
        <w:rPr>
          <w:rFonts w:ascii="Times New Roman" w:hAnsi="Times New Roman" w:cs="Times New Roman"/>
          <w:sz w:val="28"/>
          <w:szCs w:val="28"/>
        </w:rPr>
        <w:t>.</w:t>
      </w:r>
    </w:p>
    <w:p w14:paraId="39F83F07" w14:textId="3C34FAC9" w:rsidR="00B3403A" w:rsidRDefault="00484F9B" w:rsidP="00484F9B">
      <w:pPr>
        <w:pStyle w:val="Paragrafoelenco"/>
        <w:spacing w:after="0" w:line="360" w:lineRule="auto"/>
        <w:ind w:left="680" w:right="340"/>
        <w:jc w:val="both"/>
        <w:rPr>
          <w:rFonts w:ascii="Times New Roman" w:hAnsi="Times New Roman" w:cs="Times New Roman"/>
          <w:i/>
          <w:sz w:val="28"/>
          <w:szCs w:val="28"/>
        </w:rPr>
      </w:pPr>
      <w:r>
        <w:rPr>
          <w:rFonts w:ascii="Times New Roman" w:hAnsi="Times New Roman" w:cs="Times New Roman"/>
          <w:sz w:val="28"/>
          <w:szCs w:val="28"/>
        </w:rPr>
        <w:lastRenderedPageBreak/>
        <w:t xml:space="preserve">1.1.2 </w:t>
      </w:r>
      <w:r w:rsidR="00B3403A" w:rsidRPr="00484F9B">
        <w:rPr>
          <w:rFonts w:ascii="Times New Roman" w:hAnsi="Times New Roman" w:cs="Times New Roman"/>
          <w:i/>
          <w:sz w:val="28"/>
          <w:szCs w:val="28"/>
        </w:rPr>
        <w:t>I cambiamenti nel diritto missionario con il CIC del 1917</w:t>
      </w:r>
    </w:p>
    <w:p w14:paraId="5785B50E" w14:textId="77777777" w:rsidR="00484F9B" w:rsidRPr="00484F9B" w:rsidRDefault="00484F9B" w:rsidP="00484F9B">
      <w:pPr>
        <w:pStyle w:val="Paragrafoelenco"/>
        <w:spacing w:after="0" w:line="360" w:lineRule="auto"/>
        <w:ind w:left="680" w:right="340"/>
        <w:jc w:val="both"/>
        <w:rPr>
          <w:rFonts w:ascii="Times New Roman" w:hAnsi="Times New Roman" w:cs="Times New Roman"/>
          <w:sz w:val="28"/>
          <w:szCs w:val="28"/>
        </w:rPr>
      </w:pPr>
    </w:p>
    <w:p w14:paraId="4BDDB915" w14:textId="77777777" w:rsidR="00B3403A" w:rsidRDefault="00B3403A" w:rsidP="00484F9B">
      <w:pPr>
        <w:spacing w:after="0" w:line="360" w:lineRule="auto"/>
        <w:ind w:left="680" w:right="340"/>
        <w:jc w:val="both"/>
        <w:rPr>
          <w:rStyle w:val="fontstyle01"/>
          <w:sz w:val="28"/>
          <w:szCs w:val="28"/>
        </w:rPr>
      </w:pPr>
      <w:r w:rsidRPr="00E26F46">
        <w:rPr>
          <w:rStyle w:val="fontstyle01"/>
          <w:sz w:val="28"/>
          <w:szCs w:val="28"/>
        </w:rPr>
        <w:t xml:space="preserve">La codificazione del 1917 </w:t>
      </w:r>
      <w:r>
        <w:rPr>
          <w:rStyle w:val="fontstyle01"/>
          <w:sz w:val="28"/>
          <w:szCs w:val="28"/>
        </w:rPr>
        <w:t>fu frutto dell’iniziativa di</w:t>
      </w:r>
      <w:r w:rsidRPr="00E26F46">
        <w:rPr>
          <w:rStyle w:val="fontstyle01"/>
          <w:sz w:val="28"/>
          <w:szCs w:val="28"/>
        </w:rPr>
        <w:t xml:space="preserve"> Pio X, il </w:t>
      </w:r>
      <w:r>
        <w:rPr>
          <w:rStyle w:val="fontstyle01"/>
          <w:sz w:val="28"/>
          <w:szCs w:val="28"/>
        </w:rPr>
        <w:t xml:space="preserve">quale, seguendo il suggerimento del giurista Pietro Gasparri (1852-1934) </w:t>
      </w:r>
      <w:r w:rsidRPr="00E26F46">
        <w:rPr>
          <w:rStyle w:val="fontstyle01"/>
          <w:sz w:val="28"/>
          <w:szCs w:val="28"/>
        </w:rPr>
        <w:t>voll</w:t>
      </w:r>
      <w:r>
        <w:rPr>
          <w:rStyle w:val="fontstyle01"/>
          <w:sz w:val="28"/>
          <w:szCs w:val="28"/>
        </w:rPr>
        <w:t xml:space="preserve">e dare inizio all’opera con il </w:t>
      </w:r>
      <w:r w:rsidRPr="00E26F46">
        <w:rPr>
          <w:rStyle w:val="fontstyle01"/>
          <w:i/>
          <w:sz w:val="28"/>
          <w:szCs w:val="28"/>
        </w:rPr>
        <w:t>motu proprio</w:t>
      </w:r>
      <w:r>
        <w:rPr>
          <w:rStyle w:val="fontstyle01"/>
          <w:sz w:val="28"/>
          <w:szCs w:val="28"/>
        </w:rPr>
        <w:t xml:space="preserve"> </w:t>
      </w:r>
      <w:r w:rsidRPr="00E26F46">
        <w:rPr>
          <w:rStyle w:val="fontstyle01"/>
          <w:i/>
          <w:sz w:val="28"/>
          <w:szCs w:val="28"/>
        </w:rPr>
        <w:t>Arduum sane munus</w:t>
      </w:r>
      <w:r>
        <w:rPr>
          <w:rStyle w:val="fontstyle01"/>
          <w:sz w:val="28"/>
          <w:szCs w:val="28"/>
        </w:rPr>
        <w:t xml:space="preserve"> </w:t>
      </w:r>
      <w:r w:rsidRPr="00E26F46">
        <w:rPr>
          <w:rStyle w:val="fontstyle01"/>
          <w:sz w:val="28"/>
          <w:szCs w:val="28"/>
        </w:rPr>
        <w:t>del 19 marzo 1904</w:t>
      </w:r>
      <w:r>
        <w:rPr>
          <w:rStyle w:val="fontstyle01"/>
          <w:sz w:val="28"/>
          <w:szCs w:val="28"/>
        </w:rPr>
        <w:t xml:space="preserve">. </w:t>
      </w:r>
      <w:r w:rsidRPr="00E26F46">
        <w:rPr>
          <w:rStyle w:val="fontstyle01"/>
          <w:sz w:val="28"/>
          <w:szCs w:val="28"/>
        </w:rPr>
        <w:t>L’immane lavoro fu terminato sotto il ponti</w:t>
      </w:r>
      <w:r>
        <w:rPr>
          <w:rStyle w:val="fontstyle01"/>
          <w:rFonts w:hint="eastAsia"/>
          <w:sz w:val="28"/>
          <w:szCs w:val="28"/>
        </w:rPr>
        <w:t>f</w:t>
      </w:r>
      <w:r>
        <w:rPr>
          <w:rStyle w:val="fontstyle01"/>
          <w:sz w:val="28"/>
          <w:szCs w:val="28"/>
        </w:rPr>
        <w:t>i</w:t>
      </w:r>
      <w:r w:rsidRPr="00E26F46">
        <w:rPr>
          <w:rStyle w:val="fontstyle01"/>
          <w:sz w:val="28"/>
          <w:szCs w:val="28"/>
        </w:rPr>
        <w:t>cato di Papa Benedetto XV</w:t>
      </w:r>
      <w:r>
        <w:rPr>
          <w:rStyle w:val="fontstyle01"/>
          <w:sz w:val="28"/>
          <w:szCs w:val="28"/>
        </w:rPr>
        <w:t xml:space="preserve">, nel 1917 quando il papa </w:t>
      </w:r>
      <w:r w:rsidRPr="00E26F46">
        <w:rPr>
          <w:rStyle w:val="fontstyle01"/>
          <w:sz w:val="28"/>
          <w:szCs w:val="28"/>
        </w:rPr>
        <w:t xml:space="preserve">promulgò il primo </w:t>
      </w:r>
      <w:r w:rsidRPr="00E26F46">
        <w:rPr>
          <w:rStyle w:val="fontstyle01"/>
          <w:i/>
          <w:sz w:val="28"/>
          <w:szCs w:val="28"/>
        </w:rPr>
        <w:t>Codex Iuris Canonici</w:t>
      </w:r>
      <w:r>
        <w:rPr>
          <w:rStyle w:val="fontstyle01"/>
          <w:sz w:val="28"/>
          <w:szCs w:val="28"/>
        </w:rPr>
        <w:t xml:space="preserve"> con la costituzione a</w:t>
      </w:r>
      <w:r w:rsidRPr="00E26F46">
        <w:rPr>
          <w:rStyle w:val="fontstyle01"/>
          <w:sz w:val="28"/>
          <w:szCs w:val="28"/>
        </w:rPr>
        <w:t xml:space="preserve">postolica </w:t>
      </w:r>
      <w:r w:rsidRPr="00E26F46">
        <w:rPr>
          <w:rStyle w:val="fontstyle01"/>
          <w:i/>
          <w:sz w:val="28"/>
          <w:szCs w:val="28"/>
        </w:rPr>
        <w:t>Providentissima Mater Ecclesia</w:t>
      </w:r>
      <w:r>
        <w:rPr>
          <w:rStyle w:val="fontstyle01"/>
          <w:i/>
          <w:sz w:val="28"/>
          <w:szCs w:val="28"/>
        </w:rPr>
        <w:t>.</w:t>
      </w:r>
      <w:r w:rsidRPr="00E26F46">
        <w:t xml:space="preserve"> </w:t>
      </w:r>
      <w:r>
        <w:rPr>
          <w:rStyle w:val="fontstyle01"/>
          <w:sz w:val="28"/>
          <w:szCs w:val="28"/>
        </w:rPr>
        <w:t xml:space="preserve">Il nuovo codice non prevedeva </w:t>
      </w:r>
      <w:r w:rsidRPr="00E26F46">
        <w:rPr>
          <w:rStyle w:val="fontstyle01"/>
          <w:sz w:val="28"/>
          <w:szCs w:val="28"/>
        </w:rPr>
        <w:t>una collezione di leggi ca</w:t>
      </w:r>
      <w:r>
        <w:rPr>
          <w:rStyle w:val="fontstyle01"/>
          <w:sz w:val="28"/>
          <w:szCs w:val="28"/>
        </w:rPr>
        <w:t>noniche limitata nel tempo, ma si configurava come</w:t>
      </w:r>
      <w:r w:rsidRPr="00E26F46">
        <w:rPr>
          <w:rStyle w:val="fontstyle01"/>
          <w:sz w:val="28"/>
          <w:szCs w:val="28"/>
        </w:rPr>
        <w:t xml:space="preserve"> la sintesi di diciannove secoli di legislazione</w:t>
      </w:r>
      <w:r>
        <w:rPr>
          <w:rStyle w:val="fontstyle01"/>
          <w:sz w:val="28"/>
          <w:szCs w:val="28"/>
        </w:rPr>
        <w:t xml:space="preserve"> e comprendeva una rielaborazione delle norme in esso contenute, creata </w:t>
      </w:r>
      <w:r w:rsidRPr="00E26F46">
        <w:rPr>
          <w:rStyle w:val="fontstyle01"/>
          <w:sz w:val="28"/>
          <w:szCs w:val="28"/>
        </w:rPr>
        <w:t>sul</w:t>
      </w:r>
      <w:r>
        <w:rPr>
          <w:rStyle w:val="fontstyle01"/>
          <w:sz w:val="28"/>
          <w:szCs w:val="28"/>
        </w:rPr>
        <w:t>la base del</w:t>
      </w:r>
      <w:r w:rsidRPr="00E26F46">
        <w:rPr>
          <w:rStyle w:val="fontstyle01"/>
          <w:sz w:val="28"/>
          <w:szCs w:val="28"/>
        </w:rPr>
        <w:t xml:space="preserve"> modello te</w:t>
      </w:r>
      <w:r>
        <w:rPr>
          <w:rStyle w:val="fontstyle01"/>
          <w:sz w:val="28"/>
          <w:szCs w:val="28"/>
        </w:rPr>
        <w:t>cnico dei codici moderni degli S</w:t>
      </w:r>
      <w:r w:rsidRPr="00E26F46">
        <w:rPr>
          <w:rStyle w:val="fontstyle01"/>
          <w:sz w:val="28"/>
          <w:szCs w:val="28"/>
        </w:rPr>
        <w:t>tati</w:t>
      </w:r>
      <w:r>
        <w:rPr>
          <w:rStyle w:val="fontstyle01"/>
          <w:sz w:val="28"/>
          <w:szCs w:val="28"/>
        </w:rPr>
        <w:t xml:space="preserve">. Tale Codice assunse il valore di una </w:t>
      </w:r>
      <w:r w:rsidRPr="004F5837">
        <w:rPr>
          <w:rStyle w:val="fontstyle01"/>
          <w:sz w:val="28"/>
          <w:szCs w:val="28"/>
        </w:rPr>
        <w:t>rispos</w:t>
      </w:r>
      <w:r>
        <w:rPr>
          <w:rStyle w:val="fontstyle01"/>
          <w:sz w:val="28"/>
          <w:szCs w:val="28"/>
        </w:rPr>
        <w:t>ta a una triplice sfida, che si era profilata al</w:t>
      </w:r>
      <w:r w:rsidRPr="004F5837">
        <w:rPr>
          <w:rStyle w:val="fontstyle01"/>
          <w:sz w:val="28"/>
          <w:szCs w:val="28"/>
        </w:rPr>
        <w:t>la</w:t>
      </w:r>
      <w:r>
        <w:rPr>
          <w:rStyle w:val="fontstyle01"/>
          <w:sz w:val="28"/>
          <w:szCs w:val="28"/>
        </w:rPr>
        <w:t xml:space="preserve"> Chiesa cattolica nei confronti </w:t>
      </w:r>
      <w:r w:rsidRPr="004F5837">
        <w:rPr>
          <w:rStyle w:val="fontstyle01"/>
          <w:sz w:val="28"/>
          <w:szCs w:val="28"/>
        </w:rPr>
        <w:t>di altrettante facce della modernità: giuridica, politica e culturale</w:t>
      </w:r>
      <w:r>
        <w:rPr>
          <w:rStyle w:val="fontstyle01"/>
          <w:sz w:val="28"/>
          <w:szCs w:val="28"/>
        </w:rPr>
        <w:t>.</w:t>
      </w:r>
      <w:r w:rsidRPr="00DF729A">
        <w:t xml:space="preserve"> </w:t>
      </w:r>
      <w:r w:rsidRPr="00DF729A">
        <w:rPr>
          <w:rStyle w:val="fontstyle01"/>
          <w:sz w:val="28"/>
          <w:szCs w:val="28"/>
        </w:rPr>
        <w:t>La sfida della modernità giuridica</w:t>
      </w:r>
      <w:r>
        <w:rPr>
          <w:rStyle w:val="fontstyle01"/>
          <w:sz w:val="28"/>
          <w:szCs w:val="28"/>
        </w:rPr>
        <w:t xml:space="preserve"> si era concretizzata</w:t>
      </w:r>
      <w:r w:rsidRPr="00DF729A">
        <w:rPr>
          <w:rStyle w:val="fontstyle01"/>
          <w:sz w:val="28"/>
          <w:szCs w:val="28"/>
        </w:rPr>
        <w:t>, innanzi tutto, nel superam</w:t>
      </w:r>
      <w:r>
        <w:rPr>
          <w:rStyle w:val="fontstyle01"/>
          <w:sz w:val="28"/>
          <w:szCs w:val="28"/>
        </w:rPr>
        <w:t xml:space="preserve">ento </w:t>
      </w:r>
      <w:r w:rsidRPr="00DF729A">
        <w:rPr>
          <w:rStyle w:val="fontstyle01"/>
          <w:sz w:val="28"/>
          <w:szCs w:val="28"/>
        </w:rPr>
        <w:t>dello stato di confusione e incertezza in cui versava</w:t>
      </w:r>
      <w:r>
        <w:rPr>
          <w:rStyle w:val="fontstyle01"/>
          <w:sz w:val="28"/>
          <w:szCs w:val="28"/>
        </w:rPr>
        <w:t xml:space="preserve"> la legislazione ecclesiastica. </w:t>
      </w:r>
      <w:r>
        <w:rPr>
          <w:rStyle w:val="fontstyle01"/>
          <w:rFonts w:ascii="Times New Roman" w:hAnsi="Times New Roman" w:cs="Times New Roman"/>
          <w:sz w:val="28"/>
          <w:szCs w:val="28"/>
        </w:rPr>
        <w:t>«</w:t>
      </w:r>
      <w:r w:rsidRPr="00DF729A">
        <w:rPr>
          <w:rStyle w:val="fontstyle01"/>
          <w:sz w:val="28"/>
          <w:szCs w:val="28"/>
        </w:rPr>
        <w:t xml:space="preserve">Il </w:t>
      </w:r>
      <w:r w:rsidRPr="00DF729A">
        <w:rPr>
          <w:rStyle w:val="fontstyle01"/>
          <w:i/>
          <w:sz w:val="28"/>
          <w:szCs w:val="28"/>
        </w:rPr>
        <w:t>Corpus iuris canonici</w:t>
      </w:r>
      <w:r w:rsidRPr="00DF729A">
        <w:rPr>
          <w:rStyle w:val="fontstyle01"/>
          <w:sz w:val="28"/>
          <w:szCs w:val="28"/>
        </w:rPr>
        <w:t xml:space="preserve"> non era stato formalmen</w:t>
      </w:r>
      <w:r>
        <w:rPr>
          <w:rStyle w:val="fontstyle01"/>
          <w:sz w:val="28"/>
          <w:szCs w:val="28"/>
        </w:rPr>
        <w:t xml:space="preserve">te aggiornato dopo i decreti di </w:t>
      </w:r>
      <w:r w:rsidRPr="00DF729A">
        <w:rPr>
          <w:rStyle w:val="fontstyle01"/>
          <w:sz w:val="28"/>
          <w:szCs w:val="28"/>
        </w:rPr>
        <w:t>riforma del concilio di Trento. Da allora si er</w:t>
      </w:r>
      <w:r>
        <w:rPr>
          <w:rStyle w:val="fontstyle01"/>
          <w:sz w:val="28"/>
          <w:szCs w:val="28"/>
        </w:rPr>
        <w:t xml:space="preserve">ano accumulate moltissime norme </w:t>
      </w:r>
      <w:r w:rsidRPr="00DF729A">
        <w:rPr>
          <w:rStyle w:val="fontstyle01"/>
          <w:sz w:val="28"/>
          <w:szCs w:val="28"/>
        </w:rPr>
        <w:t>di vario genere e valore, tra loro non sempre co</w:t>
      </w:r>
      <w:r>
        <w:rPr>
          <w:rStyle w:val="fontstyle01"/>
          <w:sz w:val="28"/>
          <w:szCs w:val="28"/>
        </w:rPr>
        <w:t xml:space="preserve">erenti. Inoltre l’articolazione </w:t>
      </w:r>
      <w:r w:rsidRPr="00DF729A">
        <w:rPr>
          <w:rStyle w:val="fontstyle01"/>
          <w:sz w:val="28"/>
          <w:szCs w:val="28"/>
        </w:rPr>
        <w:t>unitaria del diritto canonico medievale si era fran</w:t>
      </w:r>
      <w:r>
        <w:rPr>
          <w:rStyle w:val="fontstyle01"/>
          <w:sz w:val="28"/>
          <w:szCs w:val="28"/>
        </w:rPr>
        <w:t xml:space="preserve">tumata in diversi sottosistemi: </w:t>
      </w:r>
      <w:r w:rsidRPr="00DF729A">
        <w:rPr>
          <w:rStyle w:val="fontstyle01"/>
          <w:sz w:val="28"/>
          <w:szCs w:val="28"/>
        </w:rPr>
        <w:t xml:space="preserve">il diritto tridentino, il diritto </w:t>
      </w:r>
      <w:r>
        <w:rPr>
          <w:rStyle w:val="fontstyle01"/>
          <w:sz w:val="28"/>
          <w:szCs w:val="28"/>
        </w:rPr>
        <w:t xml:space="preserve">missionario, il diritto indiano. </w:t>
      </w:r>
      <w:r w:rsidRPr="00DF729A">
        <w:rPr>
          <w:rStyle w:val="fontstyle01"/>
          <w:sz w:val="28"/>
          <w:szCs w:val="28"/>
        </w:rPr>
        <w:t>Però la crisi post-tridentina non derivava</w:t>
      </w:r>
      <w:r>
        <w:rPr>
          <w:rStyle w:val="fontstyle01"/>
          <w:sz w:val="28"/>
          <w:szCs w:val="28"/>
        </w:rPr>
        <w:t xml:space="preserve"> tanto dall’arresto del sistema canonico </w:t>
      </w:r>
      <w:r w:rsidRPr="00DF729A">
        <w:rPr>
          <w:rStyle w:val="fontstyle01"/>
          <w:sz w:val="28"/>
          <w:szCs w:val="28"/>
        </w:rPr>
        <w:t xml:space="preserve">medievale quanto dall’impatto </w:t>
      </w:r>
      <w:r>
        <w:rPr>
          <w:rStyle w:val="fontstyle01"/>
          <w:sz w:val="28"/>
          <w:szCs w:val="28"/>
        </w:rPr>
        <w:t xml:space="preserve">con l’umanesimo giuridico e con </w:t>
      </w:r>
      <w:r w:rsidRPr="00DF729A">
        <w:rPr>
          <w:rStyle w:val="fontstyle01"/>
          <w:sz w:val="28"/>
          <w:szCs w:val="28"/>
        </w:rPr>
        <w:t>la filosofia politica moderna. Nei secoli XVI</w:t>
      </w:r>
      <w:r>
        <w:rPr>
          <w:rStyle w:val="fontstyle01"/>
          <w:sz w:val="28"/>
          <w:szCs w:val="28"/>
        </w:rPr>
        <w:t xml:space="preserve">-XVIII essi avevano sconvolto i </w:t>
      </w:r>
      <w:r w:rsidRPr="00DF729A">
        <w:rPr>
          <w:rStyle w:val="fontstyle01"/>
          <w:sz w:val="28"/>
          <w:szCs w:val="28"/>
        </w:rPr>
        <w:t>soggetti produttori del diritto, l’articolazione e lo schema delle</w:t>
      </w:r>
      <w:r>
        <w:rPr>
          <w:rStyle w:val="fontstyle01"/>
          <w:sz w:val="28"/>
          <w:szCs w:val="28"/>
        </w:rPr>
        <w:t xml:space="preserve"> fonti, i metodi </w:t>
      </w:r>
      <w:r w:rsidRPr="00DF729A">
        <w:rPr>
          <w:rStyle w:val="fontstyle01"/>
          <w:sz w:val="28"/>
          <w:szCs w:val="28"/>
        </w:rPr>
        <w:t>di sistemazione e di insegnamento. Era dunque cambiata la forma del diritto</w:t>
      </w:r>
      <w:r>
        <w:rPr>
          <w:rStyle w:val="fontstyle01"/>
          <w:rFonts w:ascii="Times New Roman" w:hAnsi="Times New Roman" w:cs="Times New Roman"/>
          <w:sz w:val="28"/>
          <w:szCs w:val="28"/>
        </w:rPr>
        <w:t>»</w:t>
      </w:r>
      <w:r>
        <w:rPr>
          <w:rStyle w:val="Rimandonotaapidipagina"/>
          <w:rFonts w:ascii="Times New Roman" w:hAnsi="Times New Roman" w:cs="Times New Roman"/>
          <w:color w:val="000000"/>
          <w:sz w:val="28"/>
          <w:szCs w:val="28"/>
        </w:rPr>
        <w:footnoteReference w:id="612"/>
      </w:r>
      <w:r w:rsidRPr="00DF729A">
        <w:rPr>
          <w:rStyle w:val="fontstyle01"/>
          <w:sz w:val="28"/>
          <w:szCs w:val="28"/>
        </w:rPr>
        <w:t>.</w:t>
      </w:r>
    </w:p>
    <w:p w14:paraId="19A1AF33" w14:textId="77777777" w:rsidR="00B3403A" w:rsidRDefault="00B3403A" w:rsidP="00484F9B">
      <w:pPr>
        <w:spacing w:after="0" w:line="360" w:lineRule="auto"/>
        <w:ind w:left="680" w:right="340"/>
        <w:jc w:val="both"/>
        <w:rPr>
          <w:rStyle w:val="fontstyle01"/>
          <w:sz w:val="28"/>
          <w:szCs w:val="28"/>
        </w:rPr>
      </w:pPr>
      <w:r>
        <w:rPr>
          <w:rStyle w:val="fontstyle01"/>
          <w:sz w:val="28"/>
          <w:szCs w:val="28"/>
        </w:rPr>
        <w:lastRenderedPageBreak/>
        <w:t>In termini politici la sfida si configurava come un tentativo da parte della Chiesa di rivendicare la propria sovranità in modo analogo e parallelo a quello dello Stato.</w:t>
      </w:r>
      <w:r w:rsidRPr="00F96346">
        <w:t xml:space="preserve"> </w:t>
      </w:r>
      <w:r w:rsidRPr="00F96346">
        <w:rPr>
          <w:rStyle w:val="fontstyle01"/>
          <w:sz w:val="28"/>
          <w:szCs w:val="28"/>
        </w:rPr>
        <w:t>Connessa alla realizzazione del Codice</w:t>
      </w:r>
      <w:r>
        <w:rPr>
          <w:rStyle w:val="fontstyle01"/>
          <w:sz w:val="28"/>
          <w:szCs w:val="28"/>
        </w:rPr>
        <w:t xml:space="preserve"> vi</w:t>
      </w:r>
      <w:r w:rsidRPr="00F96346">
        <w:rPr>
          <w:rStyle w:val="fontstyle01"/>
          <w:sz w:val="28"/>
          <w:szCs w:val="28"/>
        </w:rPr>
        <w:t xml:space="preserve"> era, infine, una sfida culturale in</w:t>
      </w:r>
      <w:r>
        <w:rPr>
          <w:rStyle w:val="fontstyle01"/>
          <w:sz w:val="28"/>
          <w:szCs w:val="28"/>
        </w:rPr>
        <w:t xml:space="preserve"> </w:t>
      </w:r>
      <w:r w:rsidRPr="00F96346">
        <w:rPr>
          <w:rStyle w:val="fontstyle01"/>
          <w:sz w:val="28"/>
          <w:szCs w:val="28"/>
        </w:rPr>
        <w:t>cui era in gioco il rapporto tra tradizione e prog</w:t>
      </w:r>
      <w:r>
        <w:rPr>
          <w:rStyle w:val="fontstyle01"/>
          <w:sz w:val="28"/>
          <w:szCs w:val="28"/>
        </w:rPr>
        <w:t>resso del diritto della Chiesa. Questo, perché e</w:t>
      </w:r>
      <w:r w:rsidRPr="00F96346">
        <w:rPr>
          <w:rStyle w:val="fontstyle01"/>
          <w:sz w:val="28"/>
          <w:szCs w:val="28"/>
        </w:rPr>
        <w:t xml:space="preserve">sistevano molte indecisioni e perplessità sulle </w:t>
      </w:r>
      <w:r>
        <w:rPr>
          <w:rStyle w:val="fontstyle01"/>
          <w:sz w:val="28"/>
          <w:szCs w:val="28"/>
        </w:rPr>
        <w:t xml:space="preserve">concrete modalità di riforma </w:t>
      </w:r>
      <w:r w:rsidRPr="00F96346">
        <w:rPr>
          <w:rStyle w:val="fontstyle01"/>
          <w:sz w:val="28"/>
          <w:szCs w:val="28"/>
        </w:rPr>
        <w:t>della legislazione ecclesiastica nella dottrina,</w:t>
      </w:r>
      <w:r>
        <w:rPr>
          <w:rStyle w:val="fontstyle01"/>
          <w:sz w:val="28"/>
          <w:szCs w:val="28"/>
        </w:rPr>
        <w:t xml:space="preserve"> nell’episcopato e nella stessa Curia, alimentate dal fatto che </w:t>
      </w:r>
      <w:r>
        <w:rPr>
          <w:rStyle w:val="fontstyle01"/>
          <w:rFonts w:ascii="Times New Roman" w:hAnsi="Times New Roman" w:cs="Times New Roman"/>
          <w:sz w:val="28"/>
          <w:szCs w:val="28"/>
        </w:rPr>
        <w:t>«</w:t>
      </w:r>
      <w:r>
        <w:rPr>
          <w:rStyle w:val="fontstyle01"/>
          <w:sz w:val="28"/>
          <w:szCs w:val="28"/>
        </w:rPr>
        <w:t>a</w:t>
      </w:r>
      <w:r w:rsidRPr="00F96346">
        <w:rPr>
          <w:rStyle w:val="fontstyle01"/>
          <w:sz w:val="28"/>
          <w:szCs w:val="28"/>
        </w:rPr>
        <w:t>lcuni preferivano le ragioni della tradi</w:t>
      </w:r>
      <w:r>
        <w:rPr>
          <w:rStyle w:val="fontstyle01"/>
          <w:sz w:val="28"/>
          <w:szCs w:val="28"/>
        </w:rPr>
        <w:t xml:space="preserve">zione e della continuità, altri </w:t>
      </w:r>
      <w:r w:rsidRPr="00F96346">
        <w:rPr>
          <w:rStyle w:val="fontstyle01"/>
          <w:sz w:val="28"/>
          <w:szCs w:val="28"/>
        </w:rPr>
        <w:t>assecondavano la spinta innovativa e modernizzatrice</w:t>
      </w:r>
      <w:r>
        <w:rPr>
          <w:rStyle w:val="fontstyle01"/>
          <w:rFonts w:ascii="Times New Roman" w:hAnsi="Times New Roman" w:cs="Times New Roman"/>
          <w:sz w:val="28"/>
          <w:szCs w:val="28"/>
        </w:rPr>
        <w:t>»</w:t>
      </w:r>
      <w:r>
        <w:rPr>
          <w:rStyle w:val="Rimandonotaapidipagina"/>
          <w:rFonts w:ascii="Times New Roman" w:hAnsi="Times New Roman" w:cs="Times New Roman"/>
          <w:color w:val="000000"/>
          <w:sz w:val="28"/>
          <w:szCs w:val="28"/>
        </w:rPr>
        <w:footnoteReference w:id="613"/>
      </w:r>
      <w:r>
        <w:rPr>
          <w:rStyle w:val="fontstyle01"/>
          <w:sz w:val="28"/>
          <w:szCs w:val="28"/>
        </w:rPr>
        <w:t>.</w:t>
      </w:r>
    </w:p>
    <w:p w14:paraId="07330531" w14:textId="77777777" w:rsidR="00B3403A" w:rsidRDefault="00B3403A" w:rsidP="00484F9B">
      <w:pPr>
        <w:spacing w:after="0" w:line="360" w:lineRule="auto"/>
        <w:ind w:left="680" w:right="340"/>
        <w:jc w:val="both"/>
        <w:rPr>
          <w:rStyle w:val="fontstyle01"/>
          <w:sz w:val="28"/>
          <w:szCs w:val="28"/>
        </w:rPr>
      </w:pPr>
      <w:r>
        <w:rPr>
          <w:rStyle w:val="fontstyle01"/>
          <w:sz w:val="28"/>
          <w:szCs w:val="28"/>
        </w:rPr>
        <w:t>L’anima del codice pio-benedettino era di carattere pastorale, quindi improntata sull’accessibilità, sulla chiarezza espositiva e sull’affidabilità sia nella formulazione, che nella promulgazione delle leggi. Tale carattere pastorale si adattava bene alla natura del diritto missionario, il cui scopo principale era garantire la massimizzazione dell’opera di evangelizzazione. Nel fare questo necessitava di libertà nella formulazione e di accessibilità nei confronti dei destinatari.</w:t>
      </w:r>
    </w:p>
    <w:p w14:paraId="4B5AE292" w14:textId="77777777" w:rsidR="00B3403A" w:rsidRDefault="00B3403A" w:rsidP="00484F9B">
      <w:pPr>
        <w:spacing w:after="0" w:line="360" w:lineRule="auto"/>
        <w:ind w:left="680" w:right="340"/>
        <w:jc w:val="both"/>
        <w:rPr>
          <w:rFonts w:ascii="Times New Roman" w:hAnsi="Times New Roman" w:cs="Times New Roman"/>
          <w:sz w:val="28"/>
          <w:szCs w:val="28"/>
        </w:rPr>
      </w:pPr>
      <w:r>
        <w:rPr>
          <w:rStyle w:val="fontstyle01"/>
          <w:sz w:val="28"/>
          <w:szCs w:val="28"/>
        </w:rPr>
        <w:t>Alcuni canoni affrontarono la problematica delle missioni.</w:t>
      </w:r>
      <w:r w:rsidRPr="00D80C46">
        <w:t xml:space="preserve"> </w:t>
      </w:r>
      <w:r>
        <w:rPr>
          <w:rFonts w:ascii="TimesNewRomanPSMT" w:hAnsi="TimesNewRomanPSMT"/>
          <w:color w:val="000000"/>
          <w:sz w:val="28"/>
          <w:szCs w:val="28"/>
        </w:rPr>
        <w:t>Difatti i</w:t>
      </w:r>
      <w:r w:rsidRPr="00D80C46">
        <w:rPr>
          <w:rFonts w:ascii="TimesNewRomanPSMT" w:hAnsi="TimesNewRomanPSMT"/>
          <w:color w:val="000000"/>
          <w:sz w:val="28"/>
          <w:szCs w:val="28"/>
        </w:rPr>
        <w:t xml:space="preserve">l Codice </w:t>
      </w:r>
      <w:r>
        <w:rPr>
          <w:rFonts w:ascii="TimesNewRomanPSMT" w:hAnsi="TimesNewRomanPSMT"/>
          <w:color w:val="000000"/>
          <w:sz w:val="28"/>
          <w:szCs w:val="28"/>
        </w:rPr>
        <w:t xml:space="preserve">attuò </w:t>
      </w:r>
      <w:r w:rsidRPr="00D80C46">
        <w:rPr>
          <w:rFonts w:ascii="TimesNewRomanPSMT" w:hAnsi="TimesNewRomanPSMT"/>
          <w:color w:val="000000"/>
          <w:sz w:val="28"/>
          <w:szCs w:val="28"/>
        </w:rPr>
        <w:t>quel rafforzamento degli uffici pastorali che il concilio di</w:t>
      </w:r>
      <w:r>
        <w:rPr>
          <w:rFonts w:ascii="TimesNewRomanPSMT" w:hAnsi="TimesNewRomanPSMT"/>
          <w:color w:val="000000"/>
          <w:sz w:val="28"/>
          <w:szCs w:val="28"/>
        </w:rPr>
        <w:t xml:space="preserve"> </w:t>
      </w:r>
      <w:r w:rsidRPr="00D80C46">
        <w:rPr>
          <w:rFonts w:ascii="TimesNewRomanPSMT" w:hAnsi="TimesNewRomanPSMT"/>
          <w:color w:val="000000"/>
          <w:sz w:val="28"/>
          <w:szCs w:val="28"/>
        </w:rPr>
        <w:t>Trento aveva iniziato ma che le resistenze sociali avevano impedito di realizzare.</w:t>
      </w:r>
      <w:r w:rsidRPr="00D80C46">
        <w:rPr>
          <w:rFonts w:ascii="TimesNewRomanPSMT" w:hAnsi="TimesNewRomanPSMT"/>
          <w:color w:val="000000"/>
          <w:sz w:val="28"/>
          <w:szCs w:val="28"/>
        </w:rPr>
        <w:br/>
      </w:r>
      <w:r>
        <w:rPr>
          <w:rFonts w:ascii="TimesNewRomanPSMT" w:hAnsi="TimesNewRomanPSMT"/>
          <w:color w:val="000000"/>
          <w:sz w:val="28"/>
          <w:szCs w:val="28"/>
        </w:rPr>
        <w:t xml:space="preserve">In tale ottica furono particolarmente importanti </w:t>
      </w:r>
      <w:r w:rsidRPr="00D80C46">
        <w:rPr>
          <w:rFonts w:ascii="TimesNewRomanPSMT" w:hAnsi="TimesNewRomanPSMT"/>
          <w:color w:val="000000"/>
          <w:sz w:val="28"/>
          <w:szCs w:val="28"/>
        </w:rPr>
        <w:t>una serie di norme: quelle dirette ad</w:t>
      </w:r>
      <w:r>
        <w:rPr>
          <w:rFonts w:ascii="TimesNewRomanPSMT" w:hAnsi="TimesNewRomanPSMT"/>
          <w:color w:val="000000"/>
          <w:sz w:val="28"/>
          <w:szCs w:val="28"/>
        </w:rPr>
        <w:t xml:space="preserve"> </w:t>
      </w:r>
      <w:r w:rsidRPr="00D80C46">
        <w:rPr>
          <w:rFonts w:ascii="TimesNewRomanPSMT" w:hAnsi="TimesNewRomanPSMT"/>
          <w:color w:val="000000"/>
          <w:sz w:val="28"/>
          <w:szCs w:val="28"/>
        </w:rPr>
        <w:t>accordare il potere di dispensa dei vescovi e dei parroci in diversi ambiti</w:t>
      </w:r>
      <w:r w:rsidRPr="00D80C46">
        <w:rPr>
          <w:rFonts w:ascii="TimesNewRomanPSMT" w:hAnsi="TimesNewRomanPSMT"/>
          <w:color w:val="000000"/>
          <w:sz w:val="28"/>
          <w:szCs w:val="28"/>
        </w:rPr>
        <w:br/>
        <w:t>e specialmente in materia matrimoniale (can. 199 § 1); quelle tendenti ad</w:t>
      </w:r>
      <w:r w:rsidRPr="00D80C46">
        <w:rPr>
          <w:rFonts w:ascii="TimesNewRomanPSMT" w:hAnsi="TimesNewRomanPSMT"/>
          <w:color w:val="000000"/>
          <w:sz w:val="28"/>
          <w:szCs w:val="28"/>
        </w:rPr>
        <w:br/>
        <w:t>accrescere l’autorità dei vescovi nei riguardi dei Capitoli cattedrali, del clero</w:t>
      </w:r>
      <w:r w:rsidRPr="00D80C46">
        <w:rPr>
          <w:rFonts w:ascii="TimesNewRomanPSMT" w:hAnsi="TimesNewRomanPSMT"/>
          <w:color w:val="000000"/>
          <w:sz w:val="28"/>
          <w:szCs w:val="28"/>
        </w:rPr>
        <w:br/>
        <w:t>regolare, della sede metropolitana e dei parroci; infine quelle miranti a favorire</w:t>
      </w:r>
      <w:r w:rsidRPr="00D80C46">
        <w:rPr>
          <w:rFonts w:ascii="TimesNewRomanPSMT" w:hAnsi="TimesNewRomanPSMT"/>
          <w:color w:val="000000"/>
          <w:sz w:val="28"/>
          <w:szCs w:val="28"/>
        </w:rPr>
        <w:br/>
      </w:r>
      <w:r w:rsidRPr="00D80C46">
        <w:rPr>
          <w:rFonts w:ascii="TimesNewRomanPSMT" w:hAnsi="TimesNewRomanPSMT"/>
          <w:color w:val="000000"/>
          <w:sz w:val="28"/>
          <w:szCs w:val="28"/>
        </w:rPr>
        <w:lastRenderedPageBreak/>
        <w:t>una migliore formazion</w:t>
      </w:r>
      <w:r>
        <w:rPr>
          <w:rFonts w:ascii="TimesNewRomanPSMT" w:hAnsi="TimesNewRomanPSMT"/>
          <w:color w:val="000000"/>
          <w:sz w:val="28"/>
          <w:szCs w:val="28"/>
        </w:rPr>
        <w:t>e ed educazione del clero (can.</w:t>
      </w:r>
      <w:r w:rsidRPr="00D80C46">
        <w:rPr>
          <w:rFonts w:ascii="TimesNewRomanPSMT" w:hAnsi="TimesNewRomanPSMT"/>
          <w:color w:val="000000"/>
          <w:sz w:val="28"/>
          <w:szCs w:val="28"/>
        </w:rPr>
        <w:t>976)</w:t>
      </w:r>
      <w:r>
        <w:rPr>
          <w:rStyle w:val="Rimandonotaapidipagina"/>
          <w:rFonts w:ascii="TimesNewRomanPSMT" w:hAnsi="TimesNewRomanPSMT"/>
          <w:color w:val="000000"/>
          <w:sz w:val="28"/>
          <w:szCs w:val="28"/>
        </w:rPr>
        <w:footnoteReference w:id="614"/>
      </w:r>
      <w:r w:rsidRPr="00D80C46">
        <w:rPr>
          <w:rFonts w:ascii="TimesNewRomanPSMT" w:hAnsi="TimesNewRomanPSMT"/>
          <w:color w:val="000000"/>
          <w:sz w:val="28"/>
          <w:szCs w:val="28"/>
        </w:rPr>
        <w:t>.</w:t>
      </w:r>
      <w:r w:rsidRPr="00D80C46">
        <w:rPr>
          <w:rFonts w:ascii="TimesNewRomanPSMT" w:hAnsi="TimesNewRomanPSMT"/>
          <w:color w:val="000000"/>
          <w:sz w:val="28"/>
          <w:szCs w:val="28"/>
        </w:rPr>
        <w:br/>
      </w:r>
      <w:r>
        <w:rPr>
          <w:rFonts w:ascii="TimesNewRomanPSMT" w:hAnsi="TimesNewRomanPSMT"/>
          <w:color w:val="000000"/>
          <w:sz w:val="28"/>
          <w:szCs w:val="28"/>
        </w:rPr>
        <w:t>Degno di rilievo fu anche</w:t>
      </w:r>
      <w:r w:rsidRPr="00D80C46">
        <w:rPr>
          <w:rFonts w:ascii="TimesNewRomanPSMT" w:hAnsi="TimesNewRomanPSMT"/>
          <w:color w:val="000000"/>
          <w:sz w:val="28"/>
          <w:szCs w:val="28"/>
        </w:rPr>
        <w:t xml:space="preserve"> lo svincolamento della </w:t>
      </w:r>
      <w:r w:rsidRPr="00D80C46">
        <w:rPr>
          <w:rFonts w:ascii="TimesNewRomanPSMT" w:hAnsi="TimesNewRomanPSMT"/>
          <w:i/>
          <w:color w:val="000000"/>
          <w:sz w:val="28"/>
          <w:szCs w:val="28"/>
        </w:rPr>
        <w:t>cura animarum</w:t>
      </w:r>
      <w:r w:rsidRPr="00D80C46">
        <w:rPr>
          <w:rFonts w:ascii="TimesNewRomanPSMT" w:hAnsi="TimesNewRomanPSMT"/>
          <w:color w:val="000000"/>
          <w:sz w:val="28"/>
          <w:szCs w:val="28"/>
        </w:rPr>
        <w:t xml:space="preserve"> dall’istituto del</w:t>
      </w:r>
      <w:r w:rsidRPr="00D80C46">
        <w:rPr>
          <w:rFonts w:ascii="TimesNewRomanPSMT" w:hAnsi="TimesNewRomanPSMT"/>
          <w:color w:val="000000"/>
          <w:sz w:val="28"/>
          <w:szCs w:val="28"/>
        </w:rPr>
        <w:br/>
        <w:t>beneficio ecclesiastico di origine feudale (can. 1415 § 3</w:t>
      </w:r>
      <w:r>
        <w:rPr>
          <w:rFonts w:ascii="TimesNewRomanPSMT" w:hAnsi="TimesNewRomanPSMT"/>
          <w:color w:val="000000"/>
          <w:sz w:val="28"/>
          <w:szCs w:val="28"/>
        </w:rPr>
        <w:t>). Tuttavia è importante sottolineare come numerose modifiche al diritto comune, volte ad ottenere il pieno successo delle missioni furono approvate dalla stessa Propaganda Fide. Basti solo pensare alla facoltà missionarie, viste nel capitolo precedente, che erano necessarie per garantire il pieno sviluppo dell’apostolato ed erano di tre tipi per i missionari:</w:t>
      </w:r>
      <w:r w:rsidRPr="00C1411F">
        <w:rPr>
          <w:rFonts w:ascii="Times New Roman" w:hAnsi="Times New Roman" w:cs="Times New Roman"/>
          <w:sz w:val="28"/>
          <w:szCs w:val="28"/>
        </w:rPr>
        <w:t xml:space="preserve"> </w:t>
      </w:r>
      <w:r w:rsidRPr="00386122">
        <w:rPr>
          <w:rFonts w:ascii="Times New Roman" w:hAnsi="Times New Roman" w:cs="Times New Roman"/>
          <w:sz w:val="28"/>
          <w:szCs w:val="28"/>
        </w:rPr>
        <w:t>la prima riguardava la facoltà relativ</w:t>
      </w:r>
      <w:r>
        <w:rPr>
          <w:rFonts w:ascii="Times New Roman" w:hAnsi="Times New Roman" w:cs="Times New Roman"/>
          <w:sz w:val="28"/>
          <w:szCs w:val="28"/>
        </w:rPr>
        <w:t xml:space="preserve">a all’amministrazione dei sacramenti. Un esempio poteva considerarsi la facoltà concessa ad un abate in Brasile, al quale veniva lasciata </w:t>
      </w:r>
      <w:r>
        <w:rPr>
          <w:rFonts w:ascii="Times New Roman" w:eastAsia="Times New Roman" w:hAnsi="Times New Roman" w:cs="Times New Roman"/>
          <w:color w:val="202124"/>
          <w:sz w:val="28"/>
          <w:szCs w:val="28"/>
          <w:lang w:eastAsia="it-IT"/>
        </w:rPr>
        <w:t>la cura delle anime, l’amministrazione del sacramento della cresima insieme alla possibilità di celebrare senza ministro</w:t>
      </w:r>
      <w:r>
        <w:rPr>
          <w:rStyle w:val="Rimandonotaapidipagina"/>
          <w:rFonts w:ascii="Times New Roman" w:eastAsia="Times New Roman" w:hAnsi="Times New Roman" w:cs="Times New Roman"/>
          <w:color w:val="202124"/>
          <w:sz w:val="28"/>
          <w:szCs w:val="28"/>
          <w:lang w:eastAsia="it-IT"/>
        </w:rPr>
        <w:footnoteReference w:id="615"/>
      </w:r>
      <w:r>
        <w:rPr>
          <w:rFonts w:ascii="Times New Roman" w:hAnsi="Times New Roman" w:cs="Times New Roman"/>
          <w:sz w:val="28"/>
          <w:szCs w:val="28"/>
        </w:rPr>
        <w:t>. L</w:t>
      </w:r>
      <w:r w:rsidRPr="00386122">
        <w:rPr>
          <w:rFonts w:ascii="Times New Roman" w:hAnsi="Times New Roman" w:cs="Times New Roman"/>
          <w:sz w:val="28"/>
          <w:szCs w:val="28"/>
        </w:rPr>
        <w:t xml:space="preserve">a </w:t>
      </w:r>
      <w:r>
        <w:rPr>
          <w:rFonts w:ascii="Times New Roman" w:hAnsi="Times New Roman" w:cs="Times New Roman"/>
          <w:sz w:val="28"/>
          <w:szCs w:val="28"/>
        </w:rPr>
        <w:t xml:space="preserve">seconda </w:t>
      </w:r>
      <w:r w:rsidRPr="00386122">
        <w:rPr>
          <w:rFonts w:ascii="Times New Roman" w:hAnsi="Times New Roman" w:cs="Times New Roman"/>
          <w:sz w:val="28"/>
          <w:szCs w:val="28"/>
        </w:rPr>
        <w:t>facoltà</w:t>
      </w:r>
      <w:r>
        <w:rPr>
          <w:rFonts w:ascii="Times New Roman" w:hAnsi="Times New Roman" w:cs="Times New Roman"/>
          <w:sz w:val="28"/>
          <w:szCs w:val="28"/>
        </w:rPr>
        <w:t>, invece,</w:t>
      </w:r>
      <w:r w:rsidRPr="00386122">
        <w:rPr>
          <w:rFonts w:ascii="Times New Roman" w:hAnsi="Times New Roman" w:cs="Times New Roman"/>
          <w:sz w:val="28"/>
          <w:szCs w:val="28"/>
        </w:rPr>
        <w:t xml:space="preserve"> </w:t>
      </w:r>
      <w:r>
        <w:rPr>
          <w:rFonts w:ascii="Times New Roman" w:hAnsi="Times New Roman" w:cs="Times New Roman"/>
          <w:sz w:val="28"/>
          <w:szCs w:val="28"/>
        </w:rPr>
        <w:t>era connessa all’esercizio del</w:t>
      </w:r>
      <w:r w:rsidRPr="00386122">
        <w:rPr>
          <w:rFonts w:ascii="Times New Roman" w:hAnsi="Times New Roman" w:cs="Times New Roman"/>
          <w:sz w:val="28"/>
          <w:szCs w:val="28"/>
        </w:rPr>
        <w:t>la giurisdizione delegata</w:t>
      </w:r>
      <w:r>
        <w:rPr>
          <w:rFonts w:ascii="Times New Roman" w:hAnsi="Times New Roman" w:cs="Times New Roman"/>
          <w:sz w:val="28"/>
          <w:szCs w:val="28"/>
        </w:rPr>
        <w:t>.</w:t>
      </w:r>
      <w:r w:rsidRPr="00586FC5">
        <w:rPr>
          <w:rFonts w:ascii="Times New Roman" w:hAnsi="Times New Roman" w:cs="Times New Roman"/>
          <w:sz w:val="28"/>
          <w:szCs w:val="28"/>
        </w:rPr>
        <w:t xml:space="preserve"> </w:t>
      </w:r>
      <w:r w:rsidRPr="00386122">
        <w:rPr>
          <w:rFonts w:ascii="Times New Roman" w:hAnsi="Times New Roman" w:cs="Times New Roman"/>
          <w:sz w:val="28"/>
          <w:szCs w:val="28"/>
        </w:rPr>
        <w:t xml:space="preserve">I missionari potevano </w:t>
      </w:r>
      <w:r>
        <w:rPr>
          <w:rFonts w:ascii="Times New Roman" w:hAnsi="Times New Roman" w:cs="Times New Roman"/>
          <w:sz w:val="28"/>
          <w:szCs w:val="28"/>
        </w:rPr>
        <w:t>concedere dispense dagli impedim</w:t>
      </w:r>
      <w:r w:rsidRPr="00386122">
        <w:rPr>
          <w:rFonts w:ascii="Times New Roman" w:hAnsi="Times New Roman" w:cs="Times New Roman"/>
          <w:sz w:val="28"/>
          <w:szCs w:val="28"/>
        </w:rPr>
        <w:t>enti matrimoniali, dai voti, dal digiuno e anc</w:t>
      </w:r>
      <w:r>
        <w:rPr>
          <w:rFonts w:ascii="Times New Roman" w:hAnsi="Times New Roman" w:cs="Times New Roman"/>
          <w:sz w:val="28"/>
          <w:szCs w:val="28"/>
        </w:rPr>
        <w:t>he assolvere dalle irregolarità, purché autorizzati d</w:t>
      </w:r>
      <w:r w:rsidRPr="00386122">
        <w:rPr>
          <w:rFonts w:ascii="Times New Roman" w:hAnsi="Times New Roman" w:cs="Times New Roman"/>
          <w:sz w:val="28"/>
          <w:szCs w:val="28"/>
        </w:rPr>
        <w:t>alla Santa Sede e concedere indulgenze.</w:t>
      </w:r>
    </w:p>
    <w:p w14:paraId="429A5218" w14:textId="77777777" w:rsidR="00B3403A" w:rsidRDefault="00B3403A"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t>Infine la</w:t>
      </w:r>
      <w:r w:rsidRPr="00386122">
        <w:rPr>
          <w:rFonts w:ascii="Times New Roman" w:hAnsi="Times New Roman" w:cs="Times New Roman"/>
          <w:sz w:val="28"/>
          <w:szCs w:val="28"/>
        </w:rPr>
        <w:t xml:space="preserve"> </w:t>
      </w:r>
      <w:r>
        <w:rPr>
          <w:rFonts w:ascii="Times New Roman" w:hAnsi="Times New Roman" w:cs="Times New Roman"/>
          <w:sz w:val="28"/>
          <w:szCs w:val="28"/>
        </w:rPr>
        <w:t xml:space="preserve">terza </w:t>
      </w:r>
      <w:r w:rsidRPr="00386122">
        <w:rPr>
          <w:rFonts w:ascii="Times New Roman" w:hAnsi="Times New Roman" w:cs="Times New Roman"/>
          <w:sz w:val="28"/>
          <w:szCs w:val="28"/>
        </w:rPr>
        <w:t>facoltà era quella</w:t>
      </w:r>
      <w:r>
        <w:rPr>
          <w:rFonts w:ascii="Times New Roman" w:hAnsi="Times New Roman" w:cs="Times New Roman"/>
          <w:sz w:val="28"/>
          <w:szCs w:val="28"/>
        </w:rPr>
        <w:t xml:space="preserve"> </w:t>
      </w:r>
      <w:r w:rsidRPr="00386122">
        <w:rPr>
          <w:rFonts w:ascii="Times New Roman" w:hAnsi="Times New Roman" w:cs="Times New Roman"/>
          <w:sz w:val="28"/>
          <w:szCs w:val="28"/>
        </w:rPr>
        <w:t>relativa ai privilegi personali, vale a dire la facoltà di recitare il rosario o altre</w:t>
      </w:r>
      <w:r w:rsidRPr="00D76F5F">
        <w:t xml:space="preserve"> </w:t>
      </w:r>
      <w:r>
        <w:rPr>
          <w:rFonts w:ascii="Times New Roman" w:hAnsi="Times New Roman" w:cs="Times New Roman"/>
          <w:sz w:val="28"/>
          <w:szCs w:val="28"/>
        </w:rPr>
        <w:t>preghiere invece dell’officio divino o breviario, o ancora la possibilità di usare un abito secolare o un al</w:t>
      </w:r>
      <w:r w:rsidRPr="00D76F5F">
        <w:rPr>
          <w:rFonts w:ascii="Times New Roman" w:hAnsi="Times New Roman" w:cs="Times New Roman"/>
          <w:sz w:val="28"/>
          <w:szCs w:val="28"/>
        </w:rPr>
        <w:t>tare privil</w:t>
      </w:r>
      <w:r>
        <w:rPr>
          <w:rFonts w:ascii="Times New Roman" w:hAnsi="Times New Roman" w:cs="Times New Roman"/>
          <w:sz w:val="28"/>
          <w:szCs w:val="28"/>
        </w:rPr>
        <w:t xml:space="preserve">egiato e di </w:t>
      </w:r>
      <w:r w:rsidRPr="00D76F5F">
        <w:rPr>
          <w:rFonts w:ascii="Times New Roman" w:hAnsi="Times New Roman" w:cs="Times New Roman"/>
          <w:sz w:val="28"/>
          <w:szCs w:val="28"/>
        </w:rPr>
        <w:t>leggere libri proibiti</w:t>
      </w:r>
      <w:r>
        <w:rPr>
          <w:rFonts w:ascii="Times New Roman" w:hAnsi="Times New Roman" w:cs="Times New Roman"/>
          <w:sz w:val="28"/>
          <w:szCs w:val="28"/>
        </w:rPr>
        <w:t>. Ad esempio la concessione venne fatta da Propaganda ad alcuni missionari in Africa di celebrare messa con una casula gialla e nera</w:t>
      </w:r>
      <w:r>
        <w:rPr>
          <w:rStyle w:val="Rimandonotaapidipagina"/>
          <w:rFonts w:ascii="Times New Roman" w:hAnsi="Times New Roman" w:cs="Times New Roman"/>
          <w:sz w:val="28"/>
          <w:szCs w:val="28"/>
        </w:rPr>
        <w:footnoteReference w:id="616"/>
      </w:r>
      <w:r>
        <w:rPr>
          <w:rFonts w:ascii="Times New Roman" w:hAnsi="Times New Roman" w:cs="Times New Roman"/>
          <w:sz w:val="28"/>
          <w:szCs w:val="28"/>
        </w:rPr>
        <w:t xml:space="preserve"> oppure quella ad alcuni ordinari, a cui concedeva il diritto di usare altari mobili e con luci ridotte in caso di necessità</w:t>
      </w:r>
      <w:r>
        <w:rPr>
          <w:rStyle w:val="Rimandonotaapidipagina"/>
          <w:rFonts w:ascii="Times New Roman" w:hAnsi="Times New Roman" w:cs="Times New Roman"/>
          <w:sz w:val="28"/>
          <w:szCs w:val="28"/>
        </w:rPr>
        <w:footnoteReference w:id="617"/>
      </w:r>
      <w:r>
        <w:rPr>
          <w:rFonts w:ascii="Times New Roman" w:hAnsi="Times New Roman" w:cs="Times New Roman"/>
          <w:sz w:val="28"/>
          <w:szCs w:val="28"/>
        </w:rPr>
        <w:t>.</w:t>
      </w:r>
    </w:p>
    <w:p w14:paraId="210F963E" w14:textId="77777777" w:rsidR="00484F9B" w:rsidRDefault="00484F9B" w:rsidP="00484F9B">
      <w:pPr>
        <w:spacing w:after="0" w:line="360" w:lineRule="auto"/>
        <w:ind w:right="340"/>
        <w:jc w:val="both"/>
        <w:rPr>
          <w:rFonts w:ascii="Times New Roman" w:hAnsi="Times New Roman" w:cs="Times New Roman"/>
          <w:sz w:val="28"/>
          <w:szCs w:val="28"/>
        </w:rPr>
      </w:pPr>
    </w:p>
    <w:p w14:paraId="6F2D2656" w14:textId="7F2C2286" w:rsidR="00B3403A" w:rsidRPr="007C6CCB" w:rsidRDefault="00B3403A" w:rsidP="007C6CCB">
      <w:pPr>
        <w:pStyle w:val="Paragrafoelenco"/>
        <w:numPr>
          <w:ilvl w:val="2"/>
          <w:numId w:val="29"/>
        </w:numPr>
        <w:spacing w:after="0" w:line="360" w:lineRule="auto"/>
        <w:ind w:right="340"/>
        <w:jc w:val="both"/>
        <w:rPr>
          <w:rFonts w:ascii="Times New Roman" w:hAnsi="Times New Roman" w:cs="Times New Roman"/>
          <w:i/>
          <w:sz w:val="28"/>
          <w:szCs w:val="28"/>
        </w:rPr>
      </w:pPr>
      <w:r w:rsidRPr="007C6CCB">
        <w:rPr>
          <w:rFonts w:ascii="Times New Roman" w:hAnsi="Times New Roman" w:cs="Times New Roman"/>
          <w:i/>
          <w:sz w:val="28"/>
          <w:szCs w:val="28"/>
        </w:rPr>
        <w:lastRenderedPageBreak/>
        <w:t>Il diritto missionario e il Concilio Vaticano II</w:t>
      </w:r>
    </w:p>
    <w:p w14:paraId="1EF0DB22" w14:textId="77777777" w:rsidR="007C6CCB" w:rsidRPr="007C6CCB" w:rsidRDefault="007C6CCB" w:rsidP="007C6CCB">
      <w:pPr>
        <w:pStyle w:val="Paragrafoelenco"/>
        <w:spacing w:after="0" w:line="360" w:lineRule="auto"/>
        <w:ind w:left="1440" w:right="340"/>
        <w:jc w:val="both"/>
        <w:rPr>
          <w:rFonts w:ascii="Times New Roman" w:hAnsi="Times New Roman" w:cs="Times New Roman"/>
          <w:i/>
          <w:sz w:val="28"/>
          <w:szCs w:val="28"/>
        </w:rPr>
      </w:pPr>
    </w:p>
    <w:p w14:paraId="43AFC00F" w14:textId="77777777" w:rsidR="00B3403A" w:rsidRDefault="00B3403A" w:rsidP="00484F9B">
      <w:pPr>
        <w:pStyle w:val="Paragrafoelenco"/>
        <w:spacing w:after="0" w:line="360" w:lineRule="auto"/>
        <w:ind w:left="680" w:right="340"/>
        <w:jc w:val="both"/>
        <w:rPr>
          <w:rFonts w:ascii="TimesNewRomanPSMT" w:hAnsi="TimesNewRomanPSMT"/>
          <w:color w:val="000000"/>
          <w:sz w:val="28"/>
          <w:szCs w:val="28"/>
        </w:rPr>
      </w:pPr>
      <w:r w:rsidRPr="00A6255D">
        <w:rPr>
          <w:rFonts w:ascii="TimesNewRomanPSMT" w:hAnsi="TimesNewRomanPSMT"/>
          <w:color w:val="000000"/>
          <w:sz w:val="28"/>
          <w:szCs w:val="28"/>
        </w:rPr>
        <w:t>Il rapporto tra la Chiesa cattolica e il diritto canonico nel corso del Novecento presenta aspetti in apparenza singolari. Nel periodo compreso tra la</w:t>
      </w:r>
      <w:r>
        <w:rPr>
          <w:rFonts w:ascii="TimesNewRomanPSMT" w:hAnsi="TimesNewRomanPSMT"/>
          <w:color w:val="000000"/>
          <w:sz w:val="28"/>
          <w:szCs w:val="28"/>
        </w:rPr>
        <w:t xml:space="preserve"> </w:t>
      </w:r>
      <w:r w:rsidRPr="00A6255D">
        <w:rPr>
          <w:rFonts w:ascii="TimesNewRomanPSMT" w:hAnsi="TimesNewRomanPSMT"/>
          <w:color w:val="000000"/>
          <w:sz w:val="28"/>
          <w:szCs w:val="28"/>
        </w:rPr>
        <w:t>vigenza del Codice pio-benedettino (1918) e l’inizio del Concilio Vaticano II</w:t>
      </w:r>
      <w:r>
        <w:rPr>
          <w:rFonts w:ascii="TimesNewRomanPSMT" w:hAnsi="TimesNewRomanPSMT"/>
          <w:color w:val="000000"/>
          <w:sz w:val="28"/>
          <w:szCs w:val="28"/>
        </w:rPr>
        <w:t xml:space="preserve"> </w:t>
      </w:r>
      <w:r w:rsidRPr="00A6255D">
        <w:rPr>
          <w:rFonts w:ascii="TimesNewRomanPSMT" w:hAnsi="TimesNewRomanPSMT"/>
          <w:color w:val="000000"/>
          <w:sz w:val="28"/>
          <w:szCs w:val="28"/>
        </w:rPr>
        <w:t xml:space="preserve">(1962) non è dato assistere ad alcuna importante riforma istituzionale dell’assetto della Chiesa, non si riscontra una consistente </w:t>
      </w:r>
      <w:r>
        <w:rPr>
          <w:rFonts w:ascii="TimesNewRomanPSMT" w:hAnsi="TimesNewRomanPSMT"/>
          <w:color w:val="000000"/>
          <w:sz w:val="28"/>
          <w:szCs w:val="28"/>
        </w:rPr>
        <w:t xml:space="preserve">produzione normativa di diritto </w:t>
      </w:r>
      <w:r w:rsidRPr="00A6255D">
        <w:rPr>
          <w:rFonts w:ascii="TimesNewRomanPSMT" w:hAnsi="TimesNewRomanPSMT"/>
          <w:color w:val="000000"/>
          <w:sz w:val="28"/>
          <w:szCs w:val="28"/>
        </w:rPr>
        <w:t xml:space="preserve">universale e neppure si </w:t>
      </w:r>
      <w:r>
        <w:rPr>
          <w:rFonts w:ascii="TimesNewRomanPSMT" w:hAnsi="TimesNewRomanPSMT"/>
          <w:color w:val="000000"/>
          <w:sz w:val="28"/>
          <w:szCs w:val="28"/>
        </w:rPr>
        <w:t xml:space="preserve">affaccia, almeno da parte della </w:t>
      </w:r>
      <w:r w:rsidRPr="00A6255D">
        <w:rPr>
          <w:rFonts w:ascii="TimesNewRomanPSMT" w:hAnsi="TimesNewRomanPSMT"/>
          <w:color w:val="000000"/>
          <w:sz w:val="28"/>
          <w:szCs w:val="28"/>
        </w:rPr>
        <w:t>canonistica pontificia,</w:t>
      </w:r>
      <w:r>
        <w:rPr>
          <w:rFonts w:ascii="TimesNewRomanPSMT" w:hAnsi="TimesNewRomanPSMT"/>
          <w:color w:val="000000"/>
          <w:sz w:val="28"/>
          <w:szCs w:val="28"/>
        </w:rPr>
        <w:t xml:space="preserve"> </w:t>
      </w:r>
      <w:r w:rsidRPr="00A6255D">
        <w:rPr>
          <w:rFonts w:ascii="TimesNewRomanPSMT" w:hAnsi="TimesNewRomanPSMT"/>
          <w:color w:val="000000"/>
          <w:sz w:val="28"/>
          <w:szCs w:val="28"/>
        </w:rPr>
        <w:t>una qualche discussione sulla necessità di una riforma del diritto canonico.</w:t>
      </w:r>
      <w:r>
        <w:rPr>
          <w:rFonts w:ascii="TimesNewRomanPSMT" w:hAnsi="TimesNewRomanPSMT"/>
          <w:color w:val="000000"/>
          <w:sz w:val="28"/>
          <w:szCs w:val="28"/>
        </w:rPr>
        <w:t xml:space="preserve"> </w:t>
      </w:r>
    </w:p>
    <w:p w14:paraId="4867DB50" w14:textId="77777777" w:rsidR="00B3403A" w:rsidRDefault="00B3403A" w:rsidP="00484F9B">
      <w:pPr>
        <w:pStyle w:val="Paragrafoelenco"/>
        <w:spacing w:after="0" w:line="360" w:lineRule="auto"/>
        <w:ind w:left="680" w:right="340"/>
        <w:jc w:val="both"/>
        <w:rPr>
          <w:rFonts w:ascii="TimesNewRomanPSMT" w:hAnsi="TimesNewRomanPSMT"/>
          <w:color w:val="000000"/>
          <w:sz w:val="28"/>
          <w:szCs w:val="28"/>
        </w:rPr>
      </w:pPr>
      <w:r>
        <w:rPr>
          <w:rFonts w:ascii="TimesNewRomanPSMT" w:hAnsi="TimesNewRomanPSMT"/>
          <w:color w:val="000000"/>
          <w:sz w:val="28"/>
          <w:szCs w:val="28"/>
        </w:rPr>
        <w:t>Tuttavia si iniziava a delineare</w:t>
      </w:r>
      <w:r w:rsidRPr="00A6255D">
        <w:rPr>
          <w:rFonts w:ascii="TimesNewRomanPSMT" w:hAnsi="TimesNewRomanPSMT"/>
          <w:color w:val="000000"/>
          <w:sz w:val="28"/>
          <w:szCs w:val="28"/>
        </w:rPr>
        <w:t xml:space="preserve"> una tensione tra il concetto di missione in senso ampio, quale attività di tutta la Chiesa, e la </w:t>
      </w:r>
      <w:r w:rsidRPr="00A6255D">
        <w:rPr>
          <w:rFonts w:ascii="TimesNewRomanPSMT" w:hAnsi="TimesNewRomanPSMT"/>
          <w:i/>
          <w:color w:val="000000"/>
          <w:sz w:val="28"/>
          <w:szCs w:val="28"/>
        </w:rPr>
        <w:t>missio ad gentes</w:t>
      </w:r>
      <w:r w:rsidRPr="00A6255D">
        <w:rPr>
          <w:rFonts w:ascii="TimesNewRomanPSMT" w:hAnsi="TimesNewRomanPSMT"/>
          <w:color w:val="000000"/>
          <w:sz w:val="28"/>
          <w:szCs w:val="28"/>
        </w:rPr>
        <w:t>. Questo duplice aspetto del termine missione, rinvenibile</w:t>
      </w:r>
      <w:r>
        <w:rPr>
          <w:rFonts w:ascii="TimesNewRomanPSMT" w:hAnsi="TimesNewRomanPSMT"/>
          <w:color w:val="000000"/>
          <w:sz w:val="28"/>
          <w:szCs w:val="28"/>
        </w:rPr>
        <w:t xml:space="preserve"> </w:t>
      </w:r>
      <w:r w:rsidRPr="00A6255D">
        <w:rPr>
          <w:rFonts w:ascii="TimesNewRomanPSMT" w:hAnsi="TimesNewRomanPSMT"/>
          <w:color w:val="000000"/>
          <w:sz w:val="28"/>
          <w:szCs w:val="28"/>
        </w:rPr>
        <w:t xml:space="preserve">rispettivamente nell’insegnamento della </w:t>
      </w:r>
      <w:r w:rsidRPr="00A6255D">
        <w:rPr>
          <w:rFonts w:ascii="TimesNewRomanPSMT" w:hAnsi="TimesNewRomanPSMT"/>
          <w:i/>
          <w:color w:val="000000"/>
          <w:sz w:val="28"/>
          <w:szCs w:val="28"/>
        </w:rPr>
        <w:t>Lumen Gentium</w:t>
      </w:r>
      <w:r w:rsidRPr="00A6255D">
        <w:rPr>
          <w:rFonts w:ascii="TimesNewRomanPSMT" w:hAnsi="TimesNewRomanPSMT"/>
          <w:color w:val="000000"/>
          <w:sz w:val="28"/>
          <w:szCs w:val="28"/>
        </w:rPr>
        <w:t xml:space="preserve"> (1964) e del decreto </w:t>
      </w:r>
      <w:r w:rsidRPr="00A6255D">
        <w:rPr>
          <w:rFonts w:ascii="TimesNewRomanPSMT" w:hAnsi="TimesNewRomanPSMT"/>
          <w:i/>
          <w:color w:val="000000"/>
          <w:sz w:val="28"/>
          <w:szCs w:val="28"/>
        </w:rPr>
        <w:t xml:space="preserve">Ad Gentes </w:t>
      </w:r>
      <w:r w:rsidRPr="00A6255D">
        <w:rPr>
          <w:rFonts w:ascii="TimesNewRomanPSMT" w:hAnsi="TimesNewRomanPSMT"/>
          <w:color w:val="000000"/>
          <w:sz w:val="28"/>
          <w:szCs w:val="28"/>
        </w:rPr>
        <w:t xml:space="preserve">(1965), è stato, a volte, fonte di ricchezza e di approfondimento, ma talvolta anche di fraintendimento e confusione. Se è vero infatti che tutta la Chiesa è missionaria, è altrettanto vero che bisogna comunque parlare di una particolarità della missione </w:t>
      </w:r>
      <w:r w:rsidRPr="00A6255D">
        <w:rPr>
          <w:rFonts w:ascii="TimesNewRomanPSMT" w:hAnsi="TimesNewRomanPSMT"/>
          <w:i/>
          <w:color w:val="000000"/>
          <w:sz w:val="28"/>
          <w:szCs w:val="28"/>
        </w:rPr>
        <w:t>Ad gentes</w:t>
      </w:r>
      <w:r w:rsidRPr="00A6255D">
        <w:rPr>
          <w:rFonts w:ascii="TimesNewRomanPSMT" w:hAnsi="TimesNewRomanPSMT"/>
          <w:color w:val="000000"/>
          <w:sz w:val="28"/>
          <w:szCs w:val="28"/>
        </w:rPr>
        <w:t xml:space="preserve"> che si struttura anche secondo forme giuridiche ben specifiche. </w:t>
      </w:r>
    </w:p>
    <w:p w14:paraId="53555A10" w14:textId="77777777" w:rsidR="00B3403A" w:rsidRDefault="00B3403A" w:rsidP="00484F9B">
      <w:pPr>
        <w:pStyle w:val="Paragrafoelenco"/>
        <w:spacing w:after="0" w:line="360" w:lineRule="auto"/>
        <w:ind w:left="680" w:right="340"/>
        <w:jc w:val="both"/>
        <w:rPr>
          <w:rFonts w:ascii="Times New Roman" w:hAnsi="Times New Roman" w:cs="Times New Roman"/>
          <w:color w:val="000000"/>
          <w:sz w:val="28"/>
          <w:szCs w:val="28"/>
        </w:rPr>
      </w:pPr>
      <w:r w:rsidRPr="00A6255D">
        <w:rPr>
          <w:rFonts w:ascii="TimesNewRomanPSMT" w:hAnsi="TimesNewRomanPSMT"/>
          <w:color w:val="000000"/>
          <w:sz w:val="28"/>
          <w:szCs w:val="28"/>
        </w:rPr>
        <w:t xml:space="preserve">Si è quindi verificata un’oscillazione, soprattutto nel post-concilio, tra la concezione di missione della Chiesa </w:t>
      </w:r>
      <w:r w:rsidRPr="00A6255D">
        <w:rPr>
          <w:rFonts w:ascii="TimesNewRomanPSMT" w:hAnsi="TimesNewRomanPSMT"/>
          <w:i/>
          <w:color w:val="000000"/>
          <w:sz w:val="28"/>
          <w:szCs w:val="28"/>
        </w:rPr>
        <w:t>tout court</w:t>
      </w:r>
      <w:r w:rsidRPr="00A6255D">
        <w:rPr>
          <w:rFonts w:ascii="TimesNewRomanPSMT" w:hAnsi="TimesNewRomanPSMT"/>
          <w:color w:val="000000"/>
          <w:sz w:val="28"/>
          <w:szCs w:val="28"/>
        </w:rPr>
        <w:t xml:space="preserve">, che riguarda ogni battezzato, e quella di una </w:t>
      </w:r>
      <w:r w:rsidRPr="00A6255D">
        <w:rPr>
          <w:rFonts w:ascii="TimesNewRomanPSMT" w:hAnsi="TimesNewRomanPSMT"/>
          <w:i/>
          <w:color w:val="000000"/>
          <w:sz w:val="28"/>
          <w:szCs w:val="28"/>
        </w:rPr>
        <w:t xml:space="preserve">missio </w:t>
      </w:r>
      <w:r>
        <w:rPr>
          <w:rFonts w:ascii="TimesNewRomanPSMT" w:hAnsi="TimesNewRomanPSMT"/>
          <w:i/>
          <w:color w:val="000000"/>
          <w:sz w:val="28"/>
          <w:szCs w:val="28"/>
        </w:rPr>
        <w:t>a</w:t>
      </w:r>
      <w:r w:rsidRPr="00A6255D">
        <w:rPr>
          <w:rFonts w:ascii="TimesNewRomanPSMT" w:hAnsi="TimesNewRomanPSMT"/>
          <w:i/>
          <w:color w:val="000000"/>
          <w:sz w:val="28"/>
          <w:szCs w:val="28"/>
        </w:rPr>
        <w:t>d gentes</w:t>
      </w:r>
      <w:r w:rsidRPr="00A6255D">
        <w:rPr>
          <w:rFonts w:ascii="TimesNewRomanPSMT" w:hAnsi="TimesNewRomanPSMT"/>
          <w:i/>
          <w:iCs/>
          <w:color w:val="000000"/>
          <w:sz w:val="28"/>
          <w:szCs w:val="28"/>
        </w:rPr>
        <w:t xml:space="preserve"> </w:t>
      </w:r>
      <w:r w:rsidRPr="00A6255D">
        <w:rPr>
          <w:rFonts w:ascii="TimesNewRomanPSMT" w:hAnsi="TimesNewRomanPSMT"/>
          <w:color w:val="000000"/>
          <w:sz w:val="28"/>
          <w:szCs w:val="28"/>
        </w:rPr>
        <w:t xml:space="preserve">propria e specifica solo di alcuni ambiti ecclesiali e indirizzata verso zone ben specifiche e determinate. Si è cercato poi, a tal proposito, di superare tale aporia, anche attraverso il decreto </w:t>
      </w:r>
      <w:r w:rsidRPr="00A6255D">
        <w:rPr>
          <w:rFonts w:ascii="TimesNewRomanPSMT" w:hAnsi="TimesNewRomanPSMT"/>
          <w:i/>
          <w:color w:val="000000"/>
          <w:sz w:val="28"/>
          <w:szCs w:val="28"/>
        </w:rPr>
        <w:t xml:space="preserve">Ecclesiae Sanctae </w:t>
      </w:r>
      <w:r w:rsidRPr="00A6255D">
        <w:rPr>
          <w:rFonts w:ascii="TimesNewRomanPSMT" w:hAnsi="TimesNewRomanPSMT"/>
          <w:color w:val="000000"/>
          <w:sz w:val="28"/>
          <w:szCs w:val="28"/>
        </w:rPr>
        <w:t xml:space="preserve">(1966), in cui si è affermato che ciò che era detto nel decreto </w:t>
      </w:r>
      <w:r w:rsidRPr="00A6255D">
        <w:rPr>
          <w:rFonts w:ascii="TimesNewRomanPSMT" w:hAnsi="TimesNewRomanPSMT"/>
          <w:i/>
          <w:color w:val="000000"/>
          <w:sz w:val="28"/>
          <w:szCs w:val="28"/>
        </w:rPr>
        <w:t>Ad gentes</w:t>
      </w:r>
      <w:r w:rsidRPr="00A6255D">
        <w:rPr>
          <w:rFonts w:ascii="TimesNewRomanPSMT" w:hAnsi="TimesNewRomanPSMT"/>
          <w:color w:val="000000"/>
          <w:sz w:val="28"/>
          <w:szCs w:val="28"/>
        </w:rPr>
        <w:t xml:space="preserve"> valeva per tutta la Chiesa. L’</w:t>
      </w:r>
      <w:r w:rsidRPr="00A6255D">
        <w:rPr>
          <w:rFonts w:ascii="TimesNewRomanPSMT" w:hAnsi="TimesNewRomanPSMT"/>
          <w:i/>
          <w:color w:val="000000"/>
          <w:sz w:val="28"/>
          <w:szCs w:val="28"/>
        </w:rPr>
        <w:t>Ad</w:t>
      </w:r>
      <w:r w:rsidRPr="00A6255D">
        <w:rPr>
          <w:rFonts w:ascii="TimesNewRomanPSMT" w:hAnsi="TimesNewRomanPSMT"/>
          <w:color w:val="000000"/>
          <w:sz w:val="28"/>
          <w:szCs w:val="28"/>
        </w:rPr>
        <w:t xml:space="preserve"> </w:t>
      </w:r>
      <w:r w:rsidRPr="00A6255D">
        <w:rPr>
          <w:rFonts w:ascii="TimesNewRomanPSMT" w:hAnsi="TimesNewRomanPSMT"/>
          <w:i/>
          <w:color w:val="000000"/>
          <w:sz w:val="28"/>
          <w:szCs w:val="28"/>
        </w:rPr>
        <w:t>gentes</w:t>
      </w:r>
      <w:r w:rsidRPr="00A6255D">
        <w:rPr>
          <w:rFonts w:ascii="TimesNewRomanPSMT" w:hAnsi="TimesNewRomanPSMT"/>
          <w:color w:val="000000"/>
          <w:sz w:val="28"/>
          <w:szCs w:val="28"/>
        </w:rPr>
        <w:t xml:space="preserve"> fu il risultato dell’ultima fase del Concilio Vaticano II e ribadiva il carattere missionario della Chiesa sulla base di due principi, </w:t>
      </w:r>
      <w:r w:rsidRPr="00A6255D">
        <w:rPr>
          <w:rFonts w:ascii="Times New Roman" w:hAnsi="Times New Roman" w:cs="Times New Roman"/>
          <w:color w:val="000000"/>
          <w:sz w:val="28"/>
          <w:szCs w:val="28"/>
        </w:rPr>
        <w:t>«</w:t>
      </w:r>
      <w:r w:rsidRPr="00A6255D">
        <w:rPr>
          <w:rFonts w:ascii="TimesNewRomanPSMT" w:hAnsi="TimesNewRomanPSMT"/>
          <w:color w:val="000000"/>
          <w:sz w:val="28"/>
          <w:szCs w:val="28"/>
        </w:rPr>
        <w:t xml:space="preserve">uno di carattere ontologico, ossia l’appartenenza di tale peculiarità alla natura stessa della Chiesa che è di essere </w:t>
      </w:r>
      <w:r w:rsidRPr="00A6255D">
        <w:rPr>
          <w:rFonts w:ascii="TimesNewRomanPSMT" w:hAnsi="TimesNewRomanPSMT"/>
          <w:color w:val="000000"/>
          <w:sz w:val="28"/>
          <w:szCs w:val="28"/>
        </w:rPr>
        <w:lastRenderedPageBreak/>
        <w:t>inviata e l’altro di ca</w:t>
      </w:r>
      <w:r>
        <w:rPr>
          <w:rFonts w:ascii="TimesNewRomanPSMT" w:hAnsi="TimesNewRomanPSMT"/>
          <w:color w:val="000000"/>
          <w:sz w:val="28"/>
          <w:szCs w:val="28"/>
        </w:rPr>
        <w:t>rattere storico, dipendente dalla missione affidata da</w:t>
      </w:r>
      <w:r w:rsidRPr="00A6255D">
        <w:rPr>
          <w:rFonts w:ascii="TimesNewRomanPSMT" w:hAnsi="TimesNewRomanPSMT"/>
          <w:color w:val="000000"/>
          <w:sz w:val="28"/>
          <w:szCs w:val="28"/>
        </w:rPr>
        <w:t xml:space="preserve"> Cristo ai suoi discepoli</w:t>
      </w:r>
      <w:r w:rsidRPr="00A6255D">
        <w:rPr>
          <w:rFonts w:ascii="Times New Roman" w:hAnsi="Times New Roman" w:cs="Times New Roman"/>
          <w:color w:val="000000"/>
          <w:sz w:val="28"/>
          <w:szCs w:val="28"/>
        </w:rPr>
        <w:t>»</w:t>
      </w:r>
      <w:r>
        <w:rPr>
          <w:rStyle w:val="Rimandonotaapidipagina"/>
          <w:rFonts w:ascii="Times New Roman" w:hAnsi="Times New Roman" w:cs="Times New Roman"/>
          <w:color w:val="000000"/>
          <w:sz w:val="28"/>
          <w:szCs w:val="28"/>
        </w:rPr>
        <w:footnoteReference w:id="618"/>
      </w:r>
      <w:r w:rsidRPr="00A6255D">
        <w:rPr>
          <w:rFonts w:ascii="Times New Roman" w:hAnsi="Times New Roman" w:cs="Times New Roman"/>
          <w:color w:val="000000"/>
          <w:sz w:val="28"/>
          <w:szCs w:val="28"/>
        </w:rPr>
        <w:t>.</w:t>
      </w:r>
    </w:p>
    <w:p w14:paraId="4B00BF85" w14:textId="77777777" w:rsidR="00B3403A" w:rsidRPr="006C5C8A" w:rsidRDefault="00B3403A" w:rsidP="00484F9B">
      <w:pPr>
        <w:pStyle w:val="Paragrafoelenco"/>
        <w:spacing w:after="0" w:line="360" w:lineRule="auto"/>
        <w:ind w:left="680" w:right="3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Tuttavia le nuove </w:t>
      </w:r>
      <w:r w:rsidRPr="001B0160">
        <w:rPr>
          <w:rFonts w:ascii="Times New Roman" w:hAnsi="Times New Roman" w:cs="Times New Roman"/>
          <w:color w:val="000000"/>
          <w:sz w:val="28"/>
          <w:szCs w:val="28"/>
        </w:rPr>
        <w:t>situazioni che si sono venute a creare hanno comportato, per cause esterne e interne alla Chiesa, un</w:t>
      </w:r>
      <w:r>
        <w:rPr>
          <w:rFonts w:ascii="Times New Roman" w:hAnsi="Times New Roman" w:cs="Times New Roman"/>
          <w:color w:val="000000"/>
          <w:sz w:val="28"/>
          <w:szCs w:val="28"/>
        </w:rPr>
        <w:t xml:space="preserve"> </w:t>
      </w:r>
      <w:r w:rsidRPr="006C5C8A">
        <w:rPr>
          <w:rFonts w:ascii="Times New Roman" w:hAnsi="Times New Roman" w:cs="Times New Roman"/>
          <w:color w:val="000000"/>
          <w:sz w:val="28"/>
          <w:szCs w:val="28"/>
        </w:rPr>
        <w:t xml:space="preserve">ridimensionamento del diritto missionario, inteso in senso tradizionale, sia perché di fatto anche nella </w:t>
      </w:r>
      <w:r w:rsidRPr="006C5C8A">
        <w:rPr>
          <w:rFonts w:ascii="Times New Roman" w:hAnsi="Times New Roman" w:cs="Times New Roman"/>
          <w:i/>
          <w:color w:val="000000"/>
          <w:sz w:val="28"/>
          <w:szCs w:val="28"/>
        </w:rPr>
        <w:t>missio ad gentes</w:t>
      </w:r>
      <w:r w:rsidRPr="006C5C8A">
        <w:rPr>
          <w:rFonts w:ascii="Times New Roman" w:hAnsi="Times New Roman" w:cs="Times New Roman"/>
          <w:color w:val="000000"/>
          <w:sz w:val="28"/>
          <w:szCs w:val="28"/>
        </w:rPr>
        <w:t xml:space="preserve"> la struttura gerarchica ordinaria viene ad essere stabilita molto presto, sia perché la dimensione territoriale non rimane più come criterio esclusivo, sia soprattutto perché il legislatore, anche nel suo ordinamento giuridico universale, «ha preferito ricorrere abbondantemente al principio di sussidiarietà, a più spiccati criteri di flessibilità e di adattabilità, soprattutto lasciando ampio margine e spazio al diritto particolare e al diritto complementare delle Conferenze Episcopali»</w:t>
      </w:r>
      <w:r>
        <w:rPr>
          <w:rStyle w:val="Rimandonotaapidipagina"/>
          <w:rFonts w:ascii="Times New Roman" w:hAnsi="Times New Roman" w:cs="Times New Roman"/>
          <w:color w:val="000000"/>
          <w:sz w:val="28"/>
          <w:szCs w:val="28"/>
        </w:rPr>
        <w:footnoteReference w:id="619"/>
      </w:r>
      <w:r w:rsidRPr="006C5C8A">
        <w:rPr>
          <w:rFonts w:ascii="Times New Roman" w:hAnsi="Times New Roman" w:cs="Times New Roman"/>
          <w:color w:val="000000"/>
          <w:sz w:val="28"/>
          <w:szCs w:val="28"/>
        </w:rPr>
        <w:t>.</w:t>
      </w:r>
    </w:p>
    <w:p w14:paraId="462784FC" w14:textId="77777777" w:rsidR="00B3403A" w:rsidRPr="001B0160" w:rsidRDefault="00B3403A" w:rsidP="00484F9B">
      <w:pPr>
        <w:pStyle w:val="Paragrafoelenco"/>
        <w:spacing w:after="0" w:line="360" w:lineRule="auto"/>
        <w:ind w:left="680" w:right="340"/>
        <w:jc w:val="both"/>
        <w:rPr>
          <w:rFonts w:ascii="Times New Roman" w:hAnsi="Times New Roman" w:cs="Times New Roman"/>
          <w:color w:val="000000"/>
          <w:sz w:val="28"/>
          <w:szCs w:val="28"/>
        </w:rPr>
      </w:pPr>
      <w:r w:rsidRPr="001B0160">
        <w:rPr>
          <w:rStyle w:val="fontstyle01"/>
          <w:rFonts w:ascii="Times New Roman" w:hAnsi="Times New Roman" w:cs="Times New Roman"/>
          <w:sz w:val="28"/>
          <w:szCs w:val="28"/>
        </w:rPr>
        <w:t>In tal modo, il diritto missionario risulta essere ridimensionato e non appare più soltanto come</w:t>
      </w:r>
      <w:r>
        <w:rPr>
          <w:rFonts w:ascii="Times New Roman" w:hAnsi="Times New Roman" w:cs="Times New Roman"/>
          <w:color w:val="000000"/>
          <w:sz w:val="28"/>
          <w:szCs w:val="28"/>
        </w:rPr>
        <w:t xml:space="preserve"> </w:t>
      </w:r>
      <w:r w:rsidRPr="001B0160">
        <w:rPr>
          <w:rStyle w:val="fontstyle01"/>
          <w:rFonts w:ascii="Times New Roman" w:hAnsi="Times New Roman" w:cs="Times New Roman"/>
          <w:sz w:val="28"/>
          <w:szCs w:val="28"/>
        </w:rPr>
        <w:t>un diritto specific</w:t>
      </w:r>
      <w:r>
        <w:rPr>
          <w:rStyle w:val="fontstyle01"/>
          <w:rFonts w:ascii="Times New Roman" w:hAnsi="Times New Roman" w:cs="Times New Roman"/>
          <w:sz w:val="28"/>
          <w:szCs w:val="28"/>
        </w:rPr>
        <w:t xml:space="preserve">o accanto al diritto comune, ma </w:t>
      </w:r>
      <w:r w:rsidRPr="001B0160">
        <w:rPr>
          <w:rStyle w:val="fontstyle01"/>
          <w:rFonts w:ascii="Times New Roman" w:hAnsi="Times New Roman" w:cs="Times New Roman"/>
          <w:sz w:val="28"/>
          <w:szCs w:val="28"/>
        </w:rPr>
        <w:t>semplicemente quale diritto particolare all’interno</w:t>
      </w:r>
      <w:r>
        <w:rPr>
          <w:rFonts w:ascii="Times New Roman" w:hAnsi="Times New Roman" w:cs="Times New Roman"/>
          <w:color w:val="000000"/>
          <w:sz w:val="28"/>
          <w:szCs w:val="28"/>
        </w:rPr>
        <w:t xml:space="preserve"> </w:t>
      </w:r>
      <w:r w:rsidRPr="001B0160">
        <w:rPr>
          <w:rStyle w:val="fontstyle01"/>
          <w:rFonts w:ascii="Times New Roman" w:hAnsi="Times New Roman" w:cs="Times New Roman"/>
          <w:sz w:val="28"/>
          <w:szCs w:val="28"/>
        </w:rPr>
        <w:t>del comune ordinamento giuridico per tutta la Chiesa.</w:t>
      </w:r>
      <w:r>
        <w:rPr>
          <w:rFonts w:ascii="Times New Roman" w:hAnsi="Times New Roman" w:cs="Times New Roman"/>
          <w:color w:val="000000"/>
          <w:sz w:val="28"/>
          <w:szCs w:val="28"/>
        </w:rPr>
        <w:t xml:space="preserve"> </w:t>
      </w:r>
      <w:r w:rsidRPr="001B0160">
        <w:rPr>
          <w:rStyle w:val="fontstyle01"/>
          <w:rFonts w:ascii="Times New Roman" w:hAnsi="Times New Roman" w:cs="Times New Roman"/>
          <w:sz w:val="28"/>
          <w:szCs w:val="28"/>
        </w:rPr>
        <w:t>Si è trattato quindi di un modo diverso di rispondere, a livello giuridico, alle esigenze proprie</w:t>
      </w:r>
      <w:r>
        <w:rPr>
          <w:rFonts w:ascii="Times New Roman" w:hAnsi="Times New Roman" w:cs="Times New Roman"/>
          <w:color w:val="000000"/>
          <w:sz w:val="28"/>
          <w:szCs w:val="28"/>
        </w:rPr>
        <w:t xml:space="preserve"> </w:t>
      </w:r>
      <w:r w:rsidRPr="001B0160">
        <w:rPr>
          <w:rStyle w:val="fontstyle01"/>
          <w:rFonts w:ascii="Times New Roman" w:hAnsi="Times New Roman" w:cs="Times New Roman"/>
          <w:sz w:val="28"/>
          <w:szCs w:val="28"/>
        </w:rPr>
        <w:t xml:space="preserve">dell’evangelizzazione. L’impegno della Chiesa nella sua </w:t>
      </w:r>
      <w:r w:rsidRPr="001B0160">
        <w:rPr>
          <w:rStyle w:val="fontstyle21"/>
          <w:rFonts w:ascii="Times New Roman" w:hAnsi="Times New Roman" w:cs="Times New Roman"/>
          <w:sz w:val="28"/>
          <w:szCs w:val="28"/>
        </w:rPr>
        <w:t xml:space="preserve">missio ad gentes </w:t>
      </w:r>
      <w:r w:rsidRPr="001B0160">
        <w:rPr>
          <w:rStyle w:val="fontstyle01"/>
          <w:rFonts w:ascii="Times New Roman" w:hAnsi="Times New Roman" w:cs="Times New Roman"/>
          <w:sz w:val="28"/>
          <w:szCs w:val="28"/>
        </w:rPr>
        <w:t>non può essere infatti</w:t>
      </w:r>
      <w:r w:rsidRPr="001B0160">
        <w:rPr>
          <w:rFonts w:ascii="Times New Roman" w:hAnsi="Times New Roman" w:cs="Times New Roman"/>
          <w:color w:val="000000"/>
          <w:sz w:val="28"/>
          <w:szCs w:val="28"/>
        </w:rPr>
        <w:br/>
      </w:r>
      <w:r w:rsidRPr="001B0160">
        <w:rPr>
          <w:rStyle w:val="fontstyle01"/>
          <w:rFonts w:ascii="Times New Roman" w:hAnsi="Times New Roman" w:cs="Times New Roman"/>
          <w:sz w:val="28"/>
          <w:szCs w:val="28"/>
        </w:rPr>
        <w:t xml:space="preserve">misurato dallo spessore o dallo spazio concesso al diritto missionario. </w:t>
      </w:r>
      <w:r>
        <w:rPr>
          <w:rStyle w:val="fontstyle01"/>
          <w:rFonts w:ascii="Times New Roman" w:hAnsi="Times New Roman" w:cs="Times New Roman"/>
          <w:sz w:val="28"/>
          <w:szCs w:val="28"/>
        </w:rPr>
        <w:t xml:space="preserve">Secondo alcuni studiosi, tuttavia, la </w:t>
      </w:r>
      <w:r w:rsidRPr="001B0160">
        <w:rPr>
          <w:rStyle w:val="fontstyle01"/>
          <w:rFonts w:ascii="Times New Roman" w:hAnsi="Times New Roman" w:cs="Times New Roman"/>
          <w:sz w:val="28"/>
          <w:szCs w:val="28"/>
        </w:rPr>
        <w:t xml:space="preserve">crisi dell’impegno della Chiesa nella </w:t>
      </w:r>
      <w:r w:rsidRPr="001B0160">
        <w:rPr>
          <w:rStyle w:val="fontstyle21"/>
          <w:rFonts w:ascii="Times New Roman" w:hAnsi="Times New Roman" w:cs="Times New Roman"/>
          <w:sz w:val="28"/>
          <w:szCs w:val="28"/>
        </w:rPr>
        <w:t xml:space="preserve">missio ad gentes </w:t>
      </w:r>
      <w:r>
        <w:rPr>
          <w:rStyle w:val="fontstyle01"/>
          <w:rFonts w:ascii="Times New Roman" w:hAnsi="Times New Roman" w:cs="Times New Roman"/>
          <w:sz w:val="28"/>
          <w:szCs w:val="28"/>
        </w:rPr>
        <w:t>non è derivata</w:t>
      </w:r>
      <w:r w:rsidRPr="001B0160">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d</w:t>
      </w:r>
      <w:r w:rsidRPr="001B0160">
        <w:rPr>
          <w:rStyle w:val="fontstyle01"/>
          <w:rFonts w:ascii="Times New Roman" w:hAnsi="Times New Roman" w:cs="Times New Roman"/>
          <w:sz w:val="28"/>
          <w:szCs w:val="28"/>
        </w:rPr>
        <w:t>al</w:t>
      </w:r>
      <w:r>
        <w:rPr>
          <w:rFonts w:ascii="Times New Roman" w:hAnsi="Times New Roman" w:cs="Times New Roman"/>
          <w:color w:val="000000"/>
          <w:sz w:val="28"/>
          <w:szCs w:val="28"/>
        </w:rPr>
        <w:t xml:space="preserve"> </w:t>
      </w:r>
      <w:r w:rsidRPr="001B0160">
        <w:rPr>
          <w:rStyle w:val="fontstyle01"/>
          <w:rFonts w:ascii="Times New Roman" w:hAnsi="Times New Roman" w:cs="Times New Roman"/>
          <w:sz w:val="28"/>
          <w:szCs w:val="28"/>
        </w:rPr>
        <w:t>ridimensionamento del diritto missionario, qu</w:t>
      </w:r>
      <w:r>
        <w:rPr>
          <w:rStyle w:val="fontstyle01"/>
          <w:rFonts w:ascii="Times New Roman" w:hAnsi="Times New Roman" w:cs="Times New Roman"/>
          <w:sz w:val="28"/>
          <w:szCs w:val="28"/>
        </w:rPr>
        <w:t xml:space="preserve">anto piuttosto da altri motivi, connessi tutti ad </w:t>
      </w:r>
      <w:r w:rsidRPr="001B0160">
        <w:rPr>
          <w:rStyle w:val="fontstyle01"/>
          <w:rFonts w:ascii="Times New Roman" w:hAnsi="Times New Roman" w:cs="Times New Roman"/>
          <w:sz w:val="28"/>
          <w:szCs w:val="28"/>
        </w:rPr>
        <w:t>un affievolimento della fede</w:t>
      </w:r>
      <w:r>
        <w:rPr>
          <w:rStyle w:val="Rimandonotaapidipagina"/>
          <w:rFonts w:ascii="Times New Roman" w:hAnsi="Times New Roman" w:cs="Times New Roman"/>
          <w:color w:val="000000"/>
          <w:sz w:val="28"/>
          <w:szCs w:val="28"/>
        </w:rPr>
        <w:footnoteReference w:id="620"/>
      </w:r>
      <w:r w:rsidRPr="001B0160">
        <w:rPr>
          <w:rStyle w:val="fontstyle01"/>
          <w:rFonts w:ascii="Times New Roman" w:hAnsi="Times New Roman" w:cs="Times New Roman"/>
          <w:sz w:val="28"/>
          <w:szCs w:val="28"/>
        </w:rPr>
        <w:t>.</w:t>
      </w:r>
    </w:p>
    <w:p w14:paraId="402CF345" w14:textId="77777777" w:rsidR="00F24444" w:rsidRDefault="00F24444" w:rsidP="00484F9B">
      <w:pPr>
        <w:spacing w:after="0" w:line="360" w:lineRule="auto"/>
        <w:ind w:left="680" w:right="340"/>
        <w:jc w:val="both"/>
        <w:rPr>
          <w:rFonts w:ascii="Times New Roman" w:hAnsi="Times New Roman" w:cs="Times New Roman"/>
          <w:color w:val="000000" w:themeColor="text1"/>
          <w:sz w:val="28"/>
          <w:szCs w:val="28"/>
        </w:rPr>
      </w:pPr>
    </w:p>
    <w:p w14:paraId="177D8266" w14:textId="650EC686" w:rsidR="00F646E3" w:rsidRDefault="00F646E3" w:rsidP="00484F9B">
      <w:pPr>
        <w:spacing w:after="0" w:line="360" w:lineRule="auto"/>
        <w:ind w:left="680" w:right="3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7CE2CAC" w14:textId="77777777" w:rsidR="00B3403A" w:rsidRPr="0096104B" w:rsidRDefault="00B3403A" w:rsidP="007C6CCB">
      <w:pPr>
        <w:spacing w:after="0" w:line="360" w:lineRule="auto"/>
        <w:ind w:left="680" w:right="340"/>
        <w:jc w:val="center"/>
        <w:rPr>
          <w:rFonts w:ascii="Times New Roman" w:hAnsi="Times New Roman" w:cs="Times New Roman"/>
          <w:i/>
          <w:sz w:val="28"/>
          <w:szCs w:val="28"/>
        </w:rPr>
      </w:pPr>
      <w:r w:rsidRPr="0096104B">
        <w:rPr>
          <w:rFonts w:ascii="Times New Roman" w:hAnsi="Times New Roman" w:cs="Times New Roman"/>
          <w:sz w:val="28"/>
          <w:szCs w:val="28"/>
        </w:rPr>
        <w:lastRenderedPageBreak/>
        <w:t>FONTI</w:t>
      </w:r>
    </w:p>
    <w:p w14:paraId="30270FB8" w14:textId="77777777" w:rsidR="00F646E3" w:rsidRDefault="00F646E3" w:rsidP="00484F9B">
      <w:pPr>
        <w:spacing w:after="0" w:line="360" w:lineRule="auto"/>
        <w:ind w:left="680" w:right="340"/>
        <w:jc w:val="both"/>
        <w:rPr>
          <w:rFonts w:ascii="Times New Roman" w:hAnsi="Times New Roman" w:cs="Times New Roman"/>
          <w:sz w:val="28"/>
          <w:szCs w:val="28"/>
        </w:rPr>
      </w:pPr>
    </w:p>
    <w:p w14:paraId="2B949907" w14:textId="51E3EDCF" w:rsidR="00B3403A" w:rsidRPr="0096104B" w:rsidRDefault="00B3403A" w:rsidP="00484F9B">
      <w:pPr>
        <w:spacing w:after="0" w:line="360" w:lineRule="auto"/>
        <w:ind w:left="680" w:right="340"/>
        <w:jc w:val="both"/>
        <w:rPr>
          <w:rFonts w:ascii="Times New Roman" w:hAnsi="Times New Roman" w:cs="Times New Roman"/>
          <w:b/>
          <w:i/>
          <w:sz w:val="28"/>
          <w:szCs w:val="28"/>
        </w:rPr>
      </w:pPr>
      <w:r w:rsidRPr="0096104B">
        <w:rPr>
          <w:rFonts w:ascii="Times New Roman" w:hAnsi="Times New Roman" w:cs="Times New Roman"/>
          <w:sz w:val="28"/>
          <w:szCs w:val="28"/>
        </w:rPr>
        <w:t xml:space="preserve">Il presente elenco è il risultato dello spoglio degli </w:t>
      </w:r>
      <w:r w:rsidRPr="0096104B">
        <w:rPr>
          <w:rFonts w:ascii="Times New Roman" w:hAnsi="Times New Roman" w:cs="Times New Roman"/>
          <w:i/>
          <w:sz w:val="28"/>
          <w:szCs w:val="28"/>
        </w:rPr>
        <w:t>Acta</w:t>
      </w:r>
      <w:r w:rsidRPr="0096104B">
        <w:rPr>
          <w:rFonts w:ascii="Times New Roman" w:hAnsi="Times New Roman" w:cs="Times New Roman"/>
          <w:sz w:val="28"/>
          <w:szCs w:val="28"/>
        </w:rPr>
        <w:t xml:space="preserve"> di Propaganda Fide</w:t>
      </w:r>
      <w:r w:rsidRPr="0096104B">
        <w:rPr>
          <w:rFonts w:ascii="Times New Roman" w:hAnsi="Times New Roman" w:cs="Times New Roman"/>
          <w:b/>
          <w:i/>
          <w:sz w:val="28"/>
          <w:szCs w:val="28"/>
        </w:rPr>
        <w:t xml:space="preserve"> </w:t>
      </w:r>
      <w:r w:rsidRPr="0096104B">
        <w:rPr>
          <w:rFonts w:ascii="Times New Roman" w:hAnsi="Times New Roman" w:cs="Times New Roman"/>
          <w:sz w:val="28"/>
          <w:szCs w:val="28"/>
        </w:rPr>
        <w:t>in</w:t>
      </w:r>
      <w:r w:rsidRPr="0096104B">
        <w:rPr>
          <w:rFonts w:ascii="Times New Roman" w:hAnsi="Times New Roman" w:cs="Times New Roman"/>
          <w:b/>
          <w:i/>
          <w:sz w:val="28"/>
          <w:szCs w:val="28"/>
        </w:rPr>
        <w:t xml:space="preserve"> </w:t>
      </w:r>
      <w:r w:rsidRPr="0096104B">
        <w:rPr>
          <w:rFonts w:ascii="Times New Roman" w:hAnsi="Times New Roman" w:cs="Times New Roman"/>
          <w:i/>
          <w:sz w:val="28"/>
          <w:szCs w:val="28"/>
        </w:rPr>
        <w:t>Acta Apostolicae Sedis</w:t>
      </w:r>
      <w:r w:rsidRPr="0096104B">
        <w:rPr>
          <w:rFonts w:ascii="Times New Roman" w:hAnsi="Times New Roman" w:cs="Times New Roman"/>
          <w:sz w:val="28"/>
          <w:szCs w:val="28"/>
        </w:rPr>
        <w:t xml:space="preserve"> dal 1918</w:t>
      </w:r>
      <w:r w:rsidRPr="0096104B">
        <w:rPr>
          <w:rFonts w:ascii="Times New Roman" w:hAnsi="Times New Roman" w:cs="Times New Roman"/>
          <w:b/>
          <w:i/>
          <w:sz w:val="28"/>
          <w:szCs w:val="28"/>
        </w:rPr>
        <w:t xml:space="preserve"> </w:t>
      </w:r>
      <w:r w:rsidRPr="0096104B">
        <w:rPr>
          <w:rFonts w:ascii="Times New Roman" w:hAnsi="Times New Roman" w:cs="Times New Roman"/>
          <w:sz w:val="28"/>
          <w:szCs w:val="28"/>
        </w:rPr>
        <w:t xml:space="preserve">al 1963 e dei vol. 1-3 delle </w:t>
      </w:r>
      <w:r w:rsidRPr="0096104B">
        <w:rPr>
          <w:rFonts w:ascii="Times New Roman" w:hAnsi="Times New Roman" w:cs="Times New Roman"/>
          <w:i/>
          <w:sz w:val="28"/>
          <w:szCs w:val="28"/>
        </w:rPr>
        <w:t>Leges Ecclesiae post Codicem iuris canonici 1917 editae / editae, collegit, digessit notisque ornavit</w:t>
      </w:r>
      <w:r w:rsidRPr="0096104B">
        <w:rPr>
          <w:rFonts w:ascii="Times New Roman" w:hAnsi="Times New Roman" w:cs="Times New Roman"/>
          <w:sz w:val="28"/>
          <w:szCs w:val="28"/>
        </w:rPr>
        <w:t xml:space="preserve"> Xaverius Ochoa, Roma, 1966 ss.</w:t>
      </w:r>
    </w:p>
    <w:p w14:paraId="49ED642D" w14:textId="77777777" w:rsidR="00F646E3" w:rsidRDefault="00F646E3" w:rsidP="00484F9B">
      <w:pPr>
        <w:spacing w:after="0" w:line="360" w:lineRule="auto"/>
        <w:ind w:left="680" w:right="340"/>
        <w:jc w:val="both"/>
        <w:rPr>
          <w:rFonts w:ascii="Times New Roman" w:hAnsi="Times New Roman" w:cs="Times New Roman"/>
          <w:b/>
          <w:i/>
          <w:sz w:val="28"/>
          <w:szCs w:val="28"/>
          <w:u w:val="single"/>
        </w:rPr>
      </w:pPr>
    </w:p>
    <w:p w14:paraId="7EBF7383" w14:textId="6592C070"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1918</w:t>
      </w:r>
    </w:p>
    <w:p w14:paraId="11BF5DD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Notificatio circa missiones ad delegationes apostolicas constantinopolis, aegypti, mesopotamiae, persiae et syriae pertinentes</w:t>
      </w:r>
      <w:r w:rsidRPr="0096104B">
        <w:rPr>
          <w:rFonts w:ascii="Times New Roman" w:hAnsi="Times New Roman" w:cs="Times New Roman"/>
          <w:sz w:val="28"/>
          <w:szCs w:val="28"/>
        </w:rPr>
        <w:t>, in AAS10-1918, 15 novembre 1918, p. 508.</w:t>
      </w:r>
    </w:p>
    <w:p w14:paraId="7580585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missionariis et militia redeuntibus</w:t>
      </w:r>
      <w:r w:rsidRPr="0096104B">
        <w:rPr>
          <w:rFonts w:ascii="Times New Roman" w:hAnsi="Times New Roman" w:cs="Times New Roman"/>
          <w:sz w:val="28"/>
          <w:szCs w:val="28"/>
        </w:rPr>
        <w:t>,</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in AAS11-1919, 15 novembre 1918, p. 51.</w:t>
      </w:r>
    </w:p>
    <w:p w14:paraId="57CB2F1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Ian</w:t>
      </w:r>
      <w:r w:rsidRPr="0096104B">
        <w:rPr>
          <w:rFonts w:ascii="Times New Roman" w:hAnsi="Times New Roman" w:cs="Times New Roman"/>
          <w:sz w:val="28"/>
          <w:szCs w:val="28"/>
        </w:rPr>
        <w:t xml:space="preserve">., p. 104, 10 gennaio 1918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Vol. I, 1918-1941.</w:t>
      </w:r>
    </w:p>
    <w:p w14:paraId="28DA8BDA"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1919</w:t>
      </w:r>
    </w:p>
    <w:p w14:paraId="633405C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Privilegia conceduntur «piae unioni cleri pro missionibus»,</w:t>
      </w:r>
      <w:r w:rsidRPr="0096104B">
        <w:rPr>
          <w:rFonts w:ascii="Times New Roman" w:hAnsi="Times New Roman" w:cs="Times New Roman"/>
          <w:sz w:val="28"/>
          <w:szCs w:val="28"/>
        </w:rPr>
        <w:t xml:space="preserve"> in AAS11-1919, 20 marzo 1919, p. 179.</w:t>
      </w:r>
    </w:p>
    <w:p w14:paraId="5DCDBBF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archiepiscopus ultraiectensis nominatur praeses in hollandia piae unionis cleri pro missionibus</w:t>
      </w:r>
      <w:r w:rsidRPr="0096104B">
        <w:rPr>
          <w:rFonts w:ascii="Times New Roman" w:hAnsi="Times New Roman" w:cs="Times New Roman"/>
          <w:sz w:val="28"/>
          <w:szCs w:val="28"/>
        </w:rPr>
        <w:t>, in AAS11-1919, 11 aprile 1919, p. 241.</w:t>
      </w:r>
    </w:p>
    <w:p w14:paraId="38B0E06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Decretum: extenditur iurisdictio delegati apostolici austral asiae, </w:t>
      </w:r>
      <w:r w:rsidRPr="0096104B">
        <w:rPr>
          <w:rFonts w:ascii="Times New Roman" w:hAnsi="Times New Roman" w:cs="Times New Roman"/>
          <w:sz w:val="28"/>
          <w:szCs w:val="28"/>
        </w:rPr>
        <w:t>in AAS11-1919, 20 maggio 1919, p. 285.</w:t>
      </w:r>
    </w:p>
    <w:p w14:paraId="749E8C7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Notificatio</w:t>
      </w:r>
      <w:r w:rsidRPr="0096104B">
        <w:rPr>
          <w:rFonts w:ascii="Times New Roman" w:hAnsi="Times New Roman" w:cs="Times New Roman"/>
          <w:sz w:val="28"/>
          <w:szCs w:val="28"/>
        </w:rPr>
        <w:t>, p. 218, 4 luglio 1919, in Leges ecclesiae Vol. I, 1918-1941.</w:t>
      </w:r>
    </w:p>
    <w:p w14:paraId="017E928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w:t>
      </w:r>
      <w:r w:rsidRPr="0096104B">
        <w:rPr>
          <w:rFonts w:ascii="Times New Roman" w:hAnsi="Times New Roman" w:cs="Times New Roman"/>
          <w:sz w:val="28"/>
          <w:szCs w:val="28"/>
        </w:rPr>
        <w:t>, p. 223, 21 luglio 1919, in Leges ecclesiae Vol. I, 1918-1941.</w:t>
      </w:r>
    </w:p>
    <w:p w14:paraId="6FC8505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Epistola: ad universos sacrorum antistites de stipe colligenda pro nigritis in africa, </w:t>
      </w:r>
      <w:r w:rsidRPr="0096104B">
        <w:rPr>
          <w:rFonts w:ascii="Times New Roman" w:hAnsi="Times New Roman" w:cs="Times New Roman"/>
          <w:sz w:val="28"/>
          <w:szCs w:val="28"/>
        </w:rPr>
        <w:t>in AAS12-1920, 29 settembre 1919, p. 74.</w:t>
      </w:r>
    </w:p>
    <w:p w14:paraId="72BEC06B"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1920</w:t>
      </w:r>
    </w:p>
    <w:p w14:paraId="1AE8B1B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 ad vicarios et praefectos apostolicos, qua potestas ipsis fit nominandi vicarium delegatum</w:t>
      </w:r>
      <w:r w:rsidRPr="0096104B">
        <w:rPr>
          <w:rFonts w:ascii="Times New Roman" w:hAnsi="Times New Roman" w:cs="Times New Roman"/>
          <w:sz w:val="28"/>
          <w:szCs w:val="28"/>
        </w:rPr>
        <w:t>, in AAS12-1920, 8 dicembre 1919, p. 120.</w:t>
      </w:r>
    </w:p>
    <w:p w14:paraId="6BF5D7F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Decretum: super adprobatione operis s. Petri apostoli</w:t>
      </w:r>
      <w:r w:rsidRPr="0096104B">
        <w:rPr>
          <w:rFonts w:ascii="Times New Roman" w:hAnsi="Times New Roman" w:cs="Times New Roman"/>
          <w:sz w:val="28"/>
          <w:szCs w:val="28"/>
        </w:rPr>
        <w:t>, in AAS12-1920, 26 aprile 1920, p. 247.</w:t>
      </w:r>
    </w:p>
    <w:p w14:paraId="516C45C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Iul, p. 324, 10 luglio 1920,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41BDABC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super extensione delegationis apostolicae indiarum orientalium adregionem birmanicam</w:t>
      </w:r>
      <w:r w:rsidRPr="0096104B">
        <w:rPr>
          <w:rFonts w:ascii="Times New Roman" w:hAnsi="Times New Roman" w:cs="Times New Roman"/>
          <w:sz w:val="28"/>
          <w:szCs w:val="28"/>
        </w:rPr>
        <w:t>, in AAS12-1920, 16 luglio 1920, p. 367.</w:t>
      </w:r>
    </w:p>
    <w:p w14:paraId="2472B10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 circa erectionem quasi-paroeciarum in vicariatibus et praefecturis apostolicis</w:t>
      </w:r>
      <w:r w:rsidRPr="0096104B">
        <w:rPr>
          <w:rFonts w:ascii="Times New Roman" w:hAnsi="Times New Roman" w:cs="Times New Roman"/>
          <w:sz w:val="28"/>
          <w:szCs w:val="28"/>
        </w:rPr>
        <w:t>, in AAS12-1920, 25 luglio, p. 331.</w:t>
      </w:r>
    </w:p>
    <w:p w14:paraId="5EFE2FEF"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1921</w:t>
      </w:r>
    </w:p>
    <w:p w14:paraId="5881CE3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archiepiscopus coloniensis praeses eligitur pro germania piae unionis cleri pro missionibus</w:t>
      </w:r>
      <w:r w:rsidRPr="0096104B">
        <w:rPr>
          <w:rFonts w:ascii="Times New Roman" w:hAnsi="Times New Roman" w:cs="Times New Roman"/>
          <w:sz w:val="28"/>
          <w:szCs w:val="28"/>
        </w:rPr>
        <w:t>, in AAS13- 1921, 3 dicembre 1920, p. 102.</w:t>
      </w:r>
    </w:p>
    <w:p w14:paraId="06D137D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archiepiscopus monacensis et frisingensis constituitur praeses in regione bavarica piae unionis cleri pro missionibus</w:t>
      </w:r>
      <w:r w:rsidRPr="0096104B">
        <w:rPr>
          <w:rFonts w:ascii="Times New Roman" w:hAnsi="Times New Roman" w:cs="Times New Roman"/>
          <w:sz w:val="28"/>
          <w:szCs w:val="28"/>
        </w:rPr>
        <w:t>, in AAS13- 1921, 3 dicembre 1920, p. 103.</w:t>
      </w:r>
    </w:p>
    <w:p w14:paraId="2358633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definiendis limitibus paroeciarum in dioecesibus s. Congregationi de propaganda fide subiectis,</w:t>
      </w:r>
      <w:r w:rsidRPr="0096104B">
        <w:rPr>
          <w:rFonts w:ascii="Times New Roman" w:hAnsi="Times New Roman" w:cs="Times New Roman"/>
          <w:sz w:val="28"/>
          <w:szCs w:val="28"/>
        </w:rPr>
        <w:t xml:space="preserve"> in AAS13- 1921, 9 dicembre 1920, p. 17.</w:t>
      </w:r>
    </w:p>
    <w:p w14:paraId="10E1FCB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definitiva adprobatio conceditur constitutionibus sodalitiis petri claver pro missionibus africae</w:t>
      </w:r>
      <w:r w:rsidRPr="0096104B">
        <w:rPr>
          <w:rFonts w:ascii="Times New Roman" w:hAnsi="Times New Roman" w:cs="Times New Roman"/>
          <w:sz w:val="28"/>
          <w:szCs w:val="28"/>
        </w:rPr>
        <w:t>,</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in AAS13- 1921, 18 dicembre 1920, p. 145.</w:t>
      </w:r>
    </w:p>
    <w:p w14:paraId="48A9790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Ian.,</w:t>
      </w:r>
      <w:r w:rsidRPr="0096104B">
        <w:rPr>
          <w:rFonts w:ascii="Times New Roman" w:hAnsi="Times New Roman" w:cs="Times New Roman"/>
          <w:sz w:val="28"/>
          <w:szCs w:val="28"/>
        </w:rPr>
        <w:t xml:space="preserve"> pp. 249-266, 1 gennaio 1920,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289525B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definitiva adprobatio conceditur constitutionibus instituti parmen - sisa s. Francisco xaverio pro missionibus exteris</w:t>
      </w:r>
      <w:r w:rsidRPr="0096104B">
        <w:rPr>
          <w:rFonts w:ascii="Times New Roman" w:hAnsi="Times New Roman" w:cs="Times New Roman"/>
          <w:sz w:val="28"/>
          <w:szCs w:val="28"/>
        </w:rPr>
        <w:t>, in AAS13- 1921, 6 gennaio 1921, p. 146.</w:t>
      </w:r>
    </w:p>
    <w:p w14:paraId="7CD48FF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nova approbatione definitive confirmantur constitutiones congregationis filiorum ss. Cordis iesu pro africanis missionibus, veronae institutae</w:t>
      </w:r>
      <w:r w:rsidRPr="0096104B">
        <w:rPr>
          <w:rFonts w:ascii="Times New Roman" w:hAnsi="Times New Roman" w:cs="Times New Roman"/>
          <w:sz w:val="28"/>
          <w:szCs w:val="28"/>
        </w:rPr>
        <w:t>, in AAS13-1921, 6 gennaio 1921, p. 384.</w:t>
      </w:r>
    </w:p>
    <w:p w14:paraId="01A47A5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Decretum: denominatio nonnullarum missionum immutatur, </w:t>
      </w:r>
      <w:r w:rsidRPr="0096104B">
        <w:rPr>
          <w:rFonts w:ascii="Times New Roman" w:hAnsi="Times New Roman" w:cs="Times New Roman"/>
          <w:sz w:val="28"/>
          <w:szCs w:val="28"/>
        </w:rPr>
        <w:t>in AAS13- 1921,10 gennaio 1921, p. 147.</w:t>
      </w:r>
    </w:p>
    <w:p w14:paraId="1DF6DDBC"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lastRenderedPageBreak/>
        <w:t>Decretum: r.p.d. thomas o'doherty , episcopu s clonpertensis , nominatur praeses pro hiberni a pia e unionis cleri a missionibus</w:t>
      </w:r>
      <w:r w:rsidRPr="0096104B">
        <w:rPr>
          <w:rFonts w:ascii="Times New Roman" w:hAnsi="Times New Roman" w:cs="Times New Roman"/>
          <w:sz w:val="28"/>
          <w:szCs w:val="28"/>
          <w:lang w:val="en-US"/>
        </w:rPr>
        <w:t>, in AAS13- 1921, 18 gennaio 1921, p. 148.</w:t>
      </w:r>
    </w:p>
    <w:p w14:paraId="22A545A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Ian.</w:t>
      </w:r>
      <w:r w:rsidRPr="0096104B">
        <w:rPr>
          <w:rFonts w:ascii="Times New Roman" w:hAnsi="Times New Roman" w:cs="Times New Roman"/>
          <w:sz w:val="28"/>
          <w:szCs w:val="28"/>
        </w:rPr>
        <w:t xml:space="preserve">, pp. 364-365, 25 gennaio 1921,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96CBF5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consilium centrale pii operis propagationis fidei pro universis italiae dioecesibus constituitur</w:t>
      </w:r>
      <w:r w:rsidRPr="0096104B">
        <w:rPr>
          <w:rFonts w:ascii="Times New Roman" w:hAnsi="Times New Roman" w:cs="Times New Roman"/>
          <w:sz w:val="28"/>
          <w:szCs w:val="28"/>
        </w:rPr>
        <w:t>, in AAS13- 1921,1 marzo, pp. 202 ss.</w:t>
      </w:r>
    </w:p>
    <w:p w14:paraId="1BF43A6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pp. 372-373, 1 marzo 1921,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370D3B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 delegati apostolici in iaponi a munera ad vicariatu S. apostolico sinsu - larum carolinen, marianen , et marshall extenduntur</w:t>
      </w:r>
      <w:r w:rsidRPr="0096104B">
        <w:rPr>
          <w:rFonts w:ascii="Times New Roman" w:hAnsi="Times New Roman" w:cs="Times New Roman"/>
          <w:sz w:val="28"/>
          <w:szCs w:val="28"/>
        </w:rPr>
        <w:t>, in AAS13- 1921 , 8 marzo 1921, p. 149.</w:t>
      </w:r>
    </w:p>
    <w:p w14:paraId="1A76CE9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w:t>
      </w:r>
      <w:r w:rsidRPr="0096104B">
        <w:rPr>
          <w:rFonts w:ascii="Times New Roman" w:hAnsi="Times New Roman" w:cs="Times New Roman"/>
          <w:sz w:val="28"/>
          <w:szCs w:val="28"/>
        </w:rPr>
        <w:t xml:space="preserve">, p. 384, 18 marzo 1921,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AE0A97C"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Dioecesis curiensis , in seminarium helveticum pro exteris missionibus erigitur</w:t>
      </w:r>
      <w:r w:rsidRPr="0096104B">
        <w:rPr>
          <w:rFonts w:ascii="Times New Roman" w:hAnsi="Times New Roman" w:cs="Times New Roman"/>
          <w:sz w:val="28"/>
          <w:szCs w:val="28"/>
          <w:lang w:val="en-US"/>
        </w:rPr>
        <w:t>, in AAS13-1921, 30 marzo 1921, p. 386.</w:t>
      </w:r>
    </w:p>
    <w:p w14:paraId="77D2D515"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e.mu s. P.d.  ludovicus nazarius card . Bégin , archiepiscopus quebecensis , praeses pro canadensi ditione constituitur pia et unionis cleri a missionibus</w:t>
      </w:r>
      <w:r w:rsidRPr="0096104B">
        <w:rPr>
          <w:rFonts w:ascii="Times New Roman" w:hAnsi="Times New Roman" w:cs="Times New Roman"/>
          <w:sz w:val="28"/>
          <w:szCs w:val="28"/>
          <w:lang w:val="en-US"/>
        </w:rPr>
        <w:t>, in AAS13- 1921, 31 marzo, p. 354.</w:t>
      </w:r>
    </w:p>
    <w:p w14:paraId="6E457B11"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a vicariatu apostolico leopoldopolitano pars territorii separatur et pinitima e praefectura e apostolicae de matadi adiicitur</w:t>
      </w:r>
      <w:r w:rsidRPr="0096104B">
        <w:rPr>
          <w:rFonts w:ascii="Times New Roman" w:hAnsi="Times New Roman" w:cs="Times New Roman"/>
          <w:sz w:val="28"/>
          <w:szCs w:val="28"/>
        </w:rPr>
        <w:t>, in AAS13-1921, 31 marzo 1921, p. 355.</w:t>
      </w:r>
    </w:p>
    <w:p w14:paraId="7A8F1F8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approbantur definitive constitutiones societatis missionariorum africae ad normam codicis revisae</w:t>
      </w:r>
      <w:r w:rsidRPr="0096104B">
        <w:rPr>
          <w:rFonts w:ascii="Times New Roman" w:hAnsi="Times New Roman" w:cs="Times New Roman"/>
          <w:sz w:val="28"/>
          <w:szCs w:val="28"/>
        </w:rPr>
        <w:t>, in AAS13-1921, 21 aprile 1921, p. 385.</w:t>
      </w:r>
    </w:p>
    <w:p w14:paraId="5FB87A1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immutatur nomen vicariatus apostolici de fu-kow</w:t>
      </w:r>
      <w:r w:rsidRPr="0096104B">
        <w:rPr>
          <w:rFonts w:ascii="Times New Roman" w:hAnsi="Times New Roman" w:cs="Times New Roman"/>
          <w:sz w:val="28"/>
          <w:szCs w:val="28"/>
        </w:rPr>
        <w:t>, in AAS13-1921,1 giugno 1921, p. 443.</w:t>
      </w:r>
    </w:p>
    <w:p w14:paraId="4330C9A7"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immutantur limites inter praefecturas apostolicas de « teffé » et « solimôes superioris » nuncupatas</w:t>
      </w:r>
      <w:r w:rsidRPr="0096104B">
        <w:rPr>
          <w:rFonts w:ascii="Times New Roman" w:hAnsi="Times New Roman" w:cs="Times New Roman"/>
          <w:sz w:val="28"/>
          <w:szCs w:val="28"/>
          <w:lang w:val="en-US"/>
        </w:rPr>
        <w:t>, in AAS13-1921, 10 settembre 1921, p. 482.</w:t>
      </w:r>
    </w:p>
    <w:p w14:paraId="41B4EAD4"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 xml:space="preserve">Novum spirituale privilegium conceditur sacerdotibus piae unionis • cleri a missionibus adscriptis. Rescriptum, </w:t>
      </w:r>
      <w:r w:rsidRPr="0096104B">
        <w:rPr>
          <w:rFonts w:ascii="Times New Roman" w:hAnsi="Times New Roman" w:cs="Times New Roman"/>
          <w:sz w:val="28"/>
          <w:szCs w:val="28"/>
          <w:lang w:val="en-US"/>
        </w:rPr>
        <w:t>in AAS13-1921, 2 dicembre 1921, p. 565.</w:t>
      </w:r>
    </w:p>
    <w:p w14:paraId="54A194B7"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lastRenderedPageBreak/>
        <w:t>Decretum: r. P. D. Robertus buerkler, episcopus sangallensis, praeses pro helvetia renuncia tur piae unionis cleri a missionibus</w:t>
      </w:r>
      <w:r w:rsidRPr="0096104B">
        <w:rPr>
          <w:rFonts w:ascii="Times New Roman" w:hAnsi="Times New Roman" w:cs="Times New Roman"/>
          <w:sz w:val="28"/>
          <w:szCs w:val="28"/>
          <w:lang w:val="en-US"/>
        </w:rPr>
        <w:t>, in AAS-14-1922, 3 ottobre 1921, p. 98.</w:t>
      </w:r>
    </w:p>
    <w:p w14:paraId="55D3182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novum collegium missionum a sancto alexio de falcuneriis o. S. M. In urbe erigitur</w:t>
      </w:r>
      <w:r w:rsidRPr="0096104B">
        <w:rPr>
          <w:rFonts w:ascii="Times New Roman" w:hAnsi="Times New Roman" w:cs="Times New Roman"/>
          <w:sz w:val="28"/>
          <w:szCs w:val="28"/>
        </w:rPr>
        <w:t>, in AAS-14-1922, 25 gennaio 1921, p. 15.</w:t>
      </w:r>
    </w:p>
    <w:p w14:paraId="1E53858A"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1922</w:t>
      </w:r>
    </w:p>
    <w:p w14:paraId="0536B70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ex vicariatu apostolico de zanzibar distrahitur statio missionalis de limuru et cum adnexo territorio addicatur vicariatui apostolico de kenya</w:t>
      </w:r>
      <w:r w:rsidRPr="0096104B">
        <w:rPr>
          <w:rFonts w:ascii="Times New Roman" w:hAnsi="Times New Roman" w:cs="Times New Roman"/>
          <w:sz w:val="28"/>
          <w:szCs w:val="28"/>
        </w:rPr>
        <w:t>, in AAS-14-1922, 20 febbraio 1922, p. 164.</w:t>
      </w:r>
    </w:p>
    <w:p w14:paraId="1F1874B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Dubia</w:t>
      </w:r>
      <w:r w:rsidRPr="0096104B">
        <w:rPr>
          <w:rFonts w:ascii="Times New Roman" w:hAnsi="Times New Roman" w:cs="Times New Roman"/>
          <w:sz w:val="28"/>
          <w:szCs w:val="28"/>
        </w:rPr>
        <w:t>, p. 429,</w:t>
      </w:r>
      <w:r w:rsidRPr="0096104B">
        <w:rPr>
          <w:rFonts w:ascii="Times New Roman" w:hAnsi="Times New Roman" w:cs="Times New Roman"/>
          <w:noProof/>
          <w:sz w:val="28"/>
          <w:szCs w:val="28"/>
          <w:lang w:eastAsia="it-IT"/>
        </w:rPr>
        <w:t xml:space="preserve"> </w:t>
      </w:r>
      <w:r w:rsidRPr="0096104B">
        <w:rPr>
          <w:rFonts w:ascii="Times New Roman" w:hAnsi="Times New Roman" w:cs="Times New Roman"/>
          <w:sz w:val="28"/>
          <w:szCs w:val="28"/>
        </w:rPr>
        <w:t xml:space="preserve">14 marzo 1922,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8425CE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Decretum: districtus civiles de yenki et de ilam a vicariatu apostolico manoiuriae separantur et definitive adiiciuntur vicariatui apostolico de wonsan in Corea, </w:t>
      </w:r>
      <w:r w:rsidRPr="0096104B">
        <w:rPr>
          <w:rFonts w:ascii="Times New Roman" w:hAnsi="Times New Roman" w:cs="Times New Roman"/>
          <w:sz w:val="28"/>
          <w:szCs w:val="28"/>
        </w:rPr>
        <w:t>in AAS-14-1922, 19 marzo 1922, p. 200.</w:t>
      </w:r>
    </w:p>
    <w:p w14:paraId="74F3149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Litterae circulares de primo internationali conventu consociationis missionalis cleri mense iunio ineunte in urbe habendo</w:t>
      </w:r>
      <w:r w:rsidRPr="0096104B">
        <w:rPr>
          <w:rFonts w:ascii="Times New Roman" w:hAnsi="Times New Roman" w:cs="Times New Roman"/>
          <w:sz w:val="28"/>
          <w:szCs w:val="28"/>
        </w:rPr>
        <w:t>, in AAS-14-1922, p. 198.</w:t>
      </w:r>
    </w:p>
    <w:p w14:paraId="2C6A86D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pp. 445-446, 1 aprile 1922,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DC34B0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Epistola ad episcopos, vicarios, praefectosque apostolicos ac missionum superiores: de relationibus missionum, singulis quinquenniis exhibendis, </w:t>
      </w:r>
      <w:r w:rsidRPr="0096104B">
        <w:rPr>
          <w:rFonts w:ascii="Times New Roman" w:hAnsi="Times New Roman" w:cs="Times New Roman"/>
          <w:sz w:val="28"/>
          <w:szCs w:val="28"/>
        </w:rPr>
        <w:t>in AAS-14-1922, 16 aprile1922, pp. 287-302.</w:t>
      </w:r>
    </w:p>
    <w:p w14:paraId="1823425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indicitur visitatio apostolica nonnullarum missionum indosinensium</w:t>
      </w:r>
      <w:r w:rsidRPr="0096104B">
        <w:rPr>
          <w:rFonts w:ascii="Times New Roman" w:hAnsi="Times New Roman" w:cs="Times New Roman"/>
          <w:sz w:val="28"/>
          <w:szCs w:val="28"/>
        </w:rPr>
        <w:t>, in AAS-14-1922, 7 giugno 1922, p. 502.</w:t>
      </w:r>
    </w:p>
    <w:p w14:paraId="1BB4A67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Decretum:immutatur nomen vicariatus apostolici congi gallici superioris</w:t>
      </w:r>
      <w:r w:rsidRPr="0096104B">
        <w:rPr>
          <w:rFonts w:ascii="Times New Roman" w:hAnsi="Times New Roman" w:cs="Times New Roman"/>
          <w:sz w:val="28"/>
          <w:szCs w:val="28"/>
        </w:rPr>
        <w:t>, in AAS-14-1922, 14 giugno 1922, p. 385.</w:t>
      </w:r>
    </w:p>
    <w:p w14:paraId="7C624F0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sedes vicariatus apostolici de kuam-tom occidentali et hainan, in sinis, transfertur ad urbem pakhoi</w:t>
      </w:r>
      <w:r w:rsidRPr="0096104B">
        <w:rPr>
          <w:rFonts w:ascii="Times New Roman" w:hAnsi="Times New Roman" w:cs="Times New Roman"/>
          <w:sz w:val="28"/>
          <w:szCs w:val="28"/>
        </w:rPr>
        <w:t>, in AAS-14-1922, 5 agosto 1922, p. 503.</w:t>
      </w:r>
    </w:p>
    <w:p w14:paraId="627DF9A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Epistola ad emum p. D. Ioannem, tit. S. Mariae in aracoeli, S. R. E. Presb. Card. Benlloch y vivó, archiepiscopum burgensem, renunciatum praesidem </w:t>
      </w:r>
      <w:r w:rsidRPr="0096104B">
        <w:rPr>
          <w:rFonts w:ascii="Times New Roman" w:hAnsi="Times New Roman" w:cs="Times New Roman"/>
          <w:i/>
          <w:sz w:val="28"/>
          <w:szCs w:val="28"/>
        </w:rPr>
        <w:lastRenderedPageBreak/>
        <w:t>generalem pro hispania piae unionis cleri a missionibus</w:t>
      </w:r>
      <w:r w:rsidRPr="0096104B">
        <w:rPr>
          <w:rFonts w:ascii="Times New Roman" w:hAnsi="Times New Roman" w:cs="Times New Roman"/>
          <w:sz w:val="28"/>
          <w:szCs w:val="28"/>
        </w:rPr>
        <w:t>, in AAS-14-1922, 14 ottobre 1922, p. 596.</w:t>
      </w:r>
    </w:p>
    <w:p w14:paraId="15DEAA1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praefectura apostolica de lulua et de katanga centrali curis o. F. M. Provinciae belgicae addigitür</w:t>
      </w:r>
      <w:r w:rsidRPr="0096104B">
        <w:rPr>
          <w:rFonts w:ascii="Times New Roman" w:hAnsi="Times New Roman" w:cs="Times New Roman"/>
          <w:sz w:val="28"/>
          <w:szCs w:val="28"/>
        </w:rPr>
        <w:t>, in AAS-14-1922, 30 ottobre 1922, p. 595.</w:t>
      </w:r>
    </w:p>
    <w:p w14:paraId="1A2F55C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 modo procedendi</w:t>
      </w:r>
      <w:r w:rsidRPr="0096104B">
        <w:rPr>
          <w:rFonts w:ascii="Times New Roman" w:hAnsi="Times New Roman" w:cs="Times New Roman"/>
          <w:sz w:val="28"/>
          <w:szCs w:val="28"/>
        </w:rPr>
        <w:t xml:space="preserve">, pp 512-513, novembre 1922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24FB441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w:t>
      </w:r>
      <w:r w:rsidRPr="0096104B">
        <w:rPr>
          <w:rFonts w:ascii="Times New Roman" w:hAnsi="Times New Roman" w:cs="Times New Roman"/>
          <w:sz w:val="28"/>
          <w:szCs w:val="28"/>
        </w:rPr>
        <w:t xml:space="preserve"> pp. 518-519,</w:t>
      </w:r>
      <w:r w:rsidRPr="0096104B">
        <w:rPr>
          <w:rFonts w:ascii="Times New Roman" w:hAnsi="Times New Roman" w:cs="Times New Roman"/>
          <w:noProof/>
          <w:sz w:val="28"/>
          <w:szCs w:val="28"/>
          <w:lang w:eastAsia="it-IT"/>
        </w:rPr>
        <w:t xml:space="preserve"> </w:t>
      </w:r>
      <w:r w:rsidRPr="0096104B">
        <w:rPr>
          <w:rFonts w:ascii="Times New Roman" w:hAnsi="Times New Roman" w:cs="Times New Roman"/>
          <w:sz w:val="28"/>
          <w:szCs w:val="28"/>
        </w:rPr>
        <w:t xml:space="preserve">2 dicembre 1922,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670A73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w:t>
      </w:r>
      <w:r w:rsidRPr="0096104B">
        <w:rPr>
          <w:rFonts w:ascii="Times New Roman" w:hAnsi="Times New Roman" w:cs="Times New Roman"/>
          <w:sz w:val="28"/>
          <w:szCs w:val="28"/>
        </w:rPr>
        <w:t xml:space="preserve">, pp. 521-522, 15 dicembre 1922,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ACB8F9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Immutatur denominatio non nullarum oceaniae missionum decretum</w:t>
      </w:r>
      <w:r w:rsidRPr="0096104B">
        <w:rPr>
          <w:rFonts w:ascii="Times New Roman" w:hAnsi="Times New Roman" w:cs="Times New Roman"/>
          <w:sz w:val="28"/>
          <w:szCs w:val="28"/>
        </w:rPr>
        <w:t>, in AAS-14-1922, p. 646.</w:t>
      </w:r>
    </w:p>
    <w:p w14:paraId="2E4F9C6C"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1923</w:t>
      </w:r>
    </w:p>
    <w:p w14:paraId="3F30A08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piae societatis salesianae curis committitur vicariatus apostolicus kimberliensis in australia occidentali</w:t>
      </w:r>
      <w:r w:rsidRPr="0096104B">
        <w:rPr>
          <w:rFonts w:ascii="Times New Roman" w:hAnsi="Times New Roman" w:cs="Times New Roman"/>
          <w:sz w:val="28"/>
          <w:szCs w:val="28"/>
        </w:rPr>
        <w:t>, in AAS-15-1923, 28 novembre 1922, p. 30.</w:t>
      </w:r>
    </w:p>
    <w:p w14:paraId="478BCF0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Ian</w:t>
      </w:r>
      <w:r w:rsidRPr="0096104B">
        <w:rPr>
          <w:rFonts w:ascii="Times New Roman" w:hAnsi="Times New Roman" w:cs="Times New Roman"/>
          <w:sz w:val="28"/>
          <w:szCs w:val="28"/>
        </w:rPr>
        <w:t xml:space="preserve">., pp. 523-526, 6 gennaio 1923,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99169C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Ian</w:t>
      </w:r>
      <w:r w:rsidRPr="0096104B">
        <w:rPr>
          <w:rFonts w:ascii="Times New Roman" w:hAnsi="Times New Roman" w:cs="Times New Roman"/>
          <w:sz w:val="28"/>
          <w:szCs w:val="28"/>
        </w:rPr>
        <w:t xml:space="preserve">., p. 531, 29 gennaio 1923,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A92C56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praefiniuntur limites inter vicariatum apostolicum leopoldopolitanum et praefecturam apostolicam de matadi</w:t>
      </w:r>
      <w:r w:rsidRPr="0096104B">
        <w:rPr>
          <w:rFonts w:ascii="Times New Roman" w:hAnsi="Times New Roman" w:cs="Times New Roman"/>
          <w:sz w:val="28"/>
          <w:szCs w:val="28"/>
        </w:rPr>
        <w:t>, in AAS-15-1923, 22 febbraio 1923, p. 122.</w:t>
      </w:r>
    </w:p>
    <w:p w14:paraId="2BAC451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Excardinatio</w:t>
      </w:r>
      <w:r w:rsidRPr="0096104B">
        <w:rPr>
          <w:rFonts w:ascii="Times New Roman" w:hAnsi="Times New Roman" w:cs="Times New Roman"/>
          <w:sz w:val="28"/>
          <w:szCs w:val="28"/>
        </w:rPr>
        <w:t xml:space="preserve">, p. 535, 28 febbraio 1923,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AE3EF3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regio de bussambiro a vicariatu apostolico unianembensi separatur et vicariatui apostolico de victoria njanza adiicitur</w:t>
      </w:r>
      <w:r w:rsidRPr="0096104B">
        <w:rPr>
          <w:rFonts w:ascii="Times New Roman" w:hAnsi="Times New Roman" w:cs="Times New Roman"/>
          <w:sz w:val="28"/>
          <w:szCs w:val="28"/>
        </w:rPr>
        <w:t>, in AAS-15-1923, 15 marzo 1923, p. 166.</w:t>
      </w:r>
    </w:p>
    <w:p w14:paraId="655D7CC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Litterae,</w:t>
      </w:r>
      <w:r w:rsidRPr="0096104B">
        <w:rPr>
          <w:rFonts w:ascii="Times New Roman" w:hAnsi="Times New Roman" w:cs="Times New Roman"/>
          <w:sz w:val="28"/>
          <w:szCs w:val="28"/>
        </w:rPr>
        <w:t xml:space="preserve"> pp. 581-582, 20 maggio 1923,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4E88D00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praefectura apostolica de adamaua territorio augetur novoque nomine « de fumban » donatur</w:t>
      </w:r>
      <w:r w:rsidRPr="0096104B">
        <w:rPr>
          <w:rFonts w:ascii="Times New Roman" w:hAnsi="Times New Roman" w:cs="Times New Roman"/>
          <w:sz w:val="28"/>
          <w:szCs w:val="28"/>
        </w:rPr>
        <w:t>, in AAS-15-1923, 11 giugno 1923, p. 368.</w:t>
      </w:r>
    </w:p>
    <w:p w14:paraId="71A1B8C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Indult</w:t>
      </w:r>
      <w:r w:rsidRPr="0096104B">
        <w:rPr>
          <w:rFonts w:ascii="Times New Roman" w:hAnsi="Times New Roman" w:cs="Times New Roman"/>
          <w:sz w:val="28"/>
          <w:szCs w:val="28"/>
        </w:rPr>
        <w:t xml:space="preserve">., p. 591, 12 giugno 1923,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643A2CB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Decretum</w:t>
      </w:r>
      <w:r w:rsidRPr="0096104B">
        <w:rPr>
          <w:rFonts w:ascii="Times New Roman" w:hAnsi="Times New Roman" w:cs="Times New Roman"/>
          <w:sz w:val="28"/>
          <w:szCs w:val="28"/>
        </w:rPr>
        <w:t xml:space="preserve">, p. 595, 10 luglio 1923,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26D154F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Sacra congregazione di propaganda fide comunicato</w:t>
      </w:r>
      <w:r w:rsidRPr="0096104B">
        <w:rPr>
          <w:rFonts w:ascii="Times New Roman" w:hAnsi="Times New Roman" w:cs="Times New Roman"/>
          <w:sz w:val="28"/>
          <w:szCs w:val="28"/>
        </w:rPr>
        <w:t>, in AAS-15-1923, p. 477.</w:t>
      </w:r>
    </w:p>
    <w:p w14:paraId="47B4AF2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Diarium romanae curiae</w:t>
      </w:r>
      <w:r w:rsidRPr="0096104B">
        <w:rPr>
          <w:rFonts w:ascii="Times New Roman" w:hAnsi="Times New Roman" w:cs="Times New Roman"/>
          <w:sz w:val="28"/>
          <w:szCs w:val="28"/>
        </w:rPr>
        <w:t>, in AAS-15-1923, 24 aprile 1924, p. 303.</w:t>
      </w:r>
    </w:p>
    <w:p w14:paraId="79B0C3A2"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1924</w:t>
      </w:r>
    </w:p>
    <w:p w14:paraId="0D4E14D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Revocatur privilegium praecedentiae titulo missionarii apostolici adnexus</w:t>
      </w:r>
      <w:r w:rsidRPr="0096104B">
        <w:rPr>
          <w:rFonts w:ascii="Times New Roman" w:hAnsi="Times New Roman" w:cs="Times New Roman"/>
          <w:sz w:val="28"/>
          <w:szCs w:val="28"/>
        </w:rPr>
        <w:t>, in AAS16-1924,16 gennaio 1924, p. 243.</w:t>
      </w:r>
    </w:p>
    <w:p w14:paraId="078240A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emus p. D. Ludovicus titulo sanctae mariae in a quiro, s. R. E. Presb. Card. Dubois, archiepiscopus parisiensis, renunciatur supremus moderator unionis cleri a missionibus, in Gallia</w:t>
      </w:r>
      <w:r w:rsidRPr="0096104B">
        <w:rPr>
          <w:rFonts w:ascii="Times New Roman" w:hAnsi="Times New Roman" w:cs="Times New Roman"/>
          <w:sz w:val="28"/>
          <w:szCs w:val="28"/>
        </w:rPr>
        <w:t>, in AAS16-1924, 20 febbraio 1924, p. 244.</w:t>
      </w:r>
    </w:p>
    <w:p w14:paraId="2AF79B51"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sedes dioecesis hakodatensis restituitur in urbe m. Hakodatè</w:t>
      </w:r>
      <w:r w:rsidRPr="0096104B">
        <w:rPr>
          <w:rFonts w:ascii="Times New Roman" w:hAnsi="Times New Roman" w:cs="Times New Roman"/>
          <w:sz w:val="28"/>
          <w:szCs w:val="28"/>
          <w:lang w:val="en-US"/>
        </w:rPr>
        <w:t>, in AAS 16-1924, 25 febbraio 1924, pp. 22-27.</w:t>
      </w:r>
    </w:p>
    <w:p w14:paraId="780E38E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Impeditimentum</w:t>
      </w:r>
      <w:r w:rsidRPr="0096104B">
        <w:rPr>
          <w:rFonts w:ascii="Times New Roman" w:hAnsi="Times New Roman" w:cs="Times New Roman"/>
          <w:sz w:val="28"/>
          <w:szCs w:val="28"/>
        </w:rPr>
        <w:t xml:space="preserve">, p. 654, 26 febbraio 1924,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4AAFFB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w:t>
      </w:r>
      <w:r w:rsidRPr="0096104B">
        <w:rPr>
          <w:rFonts w:ascii="Times New Roman" w:hAnsi="Times New Roman" w:cs="Times New Roman"/>
          <w:sz w:val="28"/>
          <w:szCs w:val="28"/>
        </w:rPr>
        <w:t xml:space="preserve">, pp. 689-690, 1 maggio 1924,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F21EA7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Dubia</w:t>
      </w:r>
      <w:r w:rsidRPr="0096104B">
        <w:rPr>
          <w:rFonts w:ascii="Times New Roman" w:hAnsi="Times New Roman" w:cs="Times New Roman"/>
          <w:sz w:val="28"/>
          <w:szCs w:val="28"/>
        </w:rPr>
        <w:t xml:space="preserve">, pp. 719-720, 23 ottobre 1924,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32D049E"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1925</w:t>
      </w:r>
    </w:p>
    <w:p w14:paraId="4116E10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mutatur denominatio vicariatuum apostolicorum sinensis regionis</w:t>
      </w:r>
      <w:r w:rsidRPr="0096104B">
        <w:rPr>
          <w:rFonts w:ascii="Times New Roman" w:hAnsi="Times New Roman" w:cs="Times New Roman"/>
          <w:sz w:val="28"/>
          <w:szCs w:val="28"/>
        </w:rPr>
        <w:t>, in AAS 17-1925.</w:t>
      </w:r>
    </w:p>
    <w:p w14:paraId="25C3121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mutatur denominatio vicariatuum apostolicorum indosinensis regionis</w:t>
      </w:r>
      <w:r w:rsidRPr="0096104B">
        <w:rPr>
          <w:rFonts w:ascii="Times New Roman" w:hAnsi="Times New Roman" w:cs="Times New Roman"/>
          <w:sz w:val="28"/>
          <w:szCs w:val="28"/>
        </w:rPr>
        <w:t>, in AAS 17-1925.</w:t>
      </w:r>
    </w:p>
    <w:p w14:paraId="479A1309"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1926</w:t>
      </w:r>
    </w:p>
    <w:p w14:paraId="7CD924D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promulgantur statuta generalia pia et unionis cleri pro missionibus atque summarium spiritualium favorum quibuseiusdem pia et unionis sodales fruuntur</w:t>
      </w:r>
      <w:r w:rsidRPr="0096104B">
        <w:rPr>
          <w:rFonts w:ascii="Times New Roman" w:hAnsi="Times New Roman" w:cs="Times New Roman"/>
          <w:sz w:val="28"/>
          <w:szCs w:val="28"/>
        </w:rPr>
        <w:t xml:space="preserve"> in AAS17-1926, 4 aprile 1926, pp. 230-236.</w:t>
      </w:r>
    </w:p>
    <w:p w14:paraId="3166835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lang w:val="en-US"/>
        </w:rPr>
        <w:t xml:space="preserve">Decretum: collegium pro missionibus exteris ord. </w:t>
      </w:r>
      <w:r w:rsidRPr="0096104B">
        <w:rPr>
          <w:rFonts w:ascii="Times New Roman" w:hAnsi="Times New Roman" w:cs="Times New Roman"/>
          <w:i/>
          <w:sz w:val="28"/>
          <w:szCs w:val="28"/>
        </w:rPr>
        <w:t xml:space="preserve">Ff. Mm. Capuccinorum, panormi exstans, sacrae congregationi de propaganda fide immediate </w:t>
      </w:r>
      <w:r w:rsidRPr="0096104B">
        <w:rPr>
          <w:rFonts w:ascii="Times New Roman" w:hAnsi="Times New Roman" w:cs="Times New Roman"/>
          <w:i/>
          <w:sz w:val="28"/>
          <w:szCs w:val="28"/>
        </w:rPr>
        <w:lastRenderedPageBreak/>
        <w:t>subiicitur, approbatis constitutionibus</w:t>
      </w:r>
      <w:r w:rsidRPr="0096104B">
        <w:rPr>
          <w:rFonts w:ascii="Times New Roman" w:hAnsi="Times New Roman" w:cs="Times New Roman"/>
          <w:sz w:val="28"/>
          <w:szCs w:val="28"/>
        </w:rPr>
        <w:t>, in AAS-17-1926, 29 maggio 1926, p. 491.</w:t>
      </w:r>
    </w:p>
    <w:p w14:paraId="44C9DF4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Circ</w:t>
      </w:r>
      <w:r w:rsidRPr="0096104B">
        <w:rPr>
          <w:rFonts w:ascii="Times New Roman" w:hAnsi="Times New Roman" w:cs="Times New Roman"/>
          <w:sz w:val="28"/>
          <w:szCs w:val="28"/>
        </w:rPr>
        <w:t>., pp. 837-838, 1 luglio 1926, in</w:t>
      </w:r>
      <w:r w:rsidRPr="0096104B">
        <w:rPr>
          <w:rFonts w:ascii="Times New Roman" w:hAnsi="Times New Roman" w:cs="Times New Roman"/>
          <w:i/>
          <w:sz w:val="28"/>
          <w:szCs w:val="28"/>
        </w:rPr>
        <w:t xml:space="preserve"> Leges ecclesiae</w:t>
      </w:r>
      <w:r w:rsidRPr="0096104B">
        <w:rPr>
          <w:rFonts w:ascii="Times New Roman" w:hAnsi="Times New Roman" w:cs="Times New Roman"/>
          <w:sz w:val="28"/>
          <w:szCs w:val="28"/>
        </w:rPr>
        <w:t xml:space="preserve"> Vol. I, 1918-1941.</w:t>
      </w:r>
    </w:p>
    <w:p w14:paraId="0F884B0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Interpretatio</w:t>
      </w:r>
      <w:r w:rsidRPr="0096104B">
        <w:rPr>
          <w:rFonts w:ascii="Times New Roman" w:hAnsi="Times New Roman" w:cs="Times New Roman"/>
          <w:sz w:val="28"/>
          <w:szCs w:val="28"/>
        </w:rPr>
        <w:t xml:space="preserve">, p. 838, 1 luglio 1926,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7AB29B36"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1927</w:t>
      </w:r>
    </w:p>
    <w:p w14:paraId="30F960C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Dubium,</w:t>
      </w:r>
      <w:r w:rsidRPr="0096104B">
        <w:rPr>
          <w:rFonts w:ascii="Times New Roman" w:hAnsi="Times New Roman" w:cs="Times New Roman"/>
          <w:sz w:val="28"/>
          <w:szCs w:val="28"/>
        </w:rPr>
        <w:t xml:space="preserve"> p. 870, 7 aprile 1927,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6A01829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Decl., pp. 870-871, 7 aprile 1927,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6FB905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Circ.</w:t>
      </w:r>
      <w:r w:rsidRPr="0096104B">
        <w:rPr>
          <w:rFonts w:ascii="Times New Roman" w:hAnsi="Times New Roman" w:cs="Times New Roman"/>
          <w:sz w:val="28"/>
          <w:szCs w:val="28"/>
        </w:rPr>
        <w:t xml:space="preserve">, pp. 884-885, 5 giugno 1927,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BDDC11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noProof/>
          <w:sz w:val="28"/>
          <w:szCs w:val="28"/>
          <w:lang w:eastAsia="it-IT"/>
        </w:rPr>
        <w:t>Decl</w:t>
      </w:r>
      <w:r w:rsidRPr="0096104B">
        <w:rPr>
          <w:rFonts w:ascii="Times New Roman" w:hAnsi="Times New Roman" w:cs="Times New Roman"/>
          <w:noProof/>
          <w:sz w:val="28"/>
          <w:szCs w:val="28"/>
          <w:lang w:eastAsia="it-IT"/>
        </w:rPr>
        <w:t xml:space="preserve">., pp. 921-922, 1927,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54439A9"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1928</w:t>
      </w:r>
    </w:p>
    <w:p w14:paraId="3564E0B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Declaratio</w:t>
      </w:r>
      <w:r w:rsidRPr="0096104B">
        <w:rPr>
          <w:rFonts w:ascii="Times New Roman" w:hAnsi="Times New Roman" w:cs="Times New Roman"/>
          <w:sz w:val="28"/>
          <w:szCs w:val="28"/>
        </w:rPr>
        <w:t xml:space="preserve">, p. 931, 1 febbraio 1928,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7A0E6C0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Vota et postulata</w:t>
      </w:r>
      <w:r w:rsidRPr="0096104B">
        <w:rPr>
          <w:rFonts w:ascii="Times New Roman" w:hAnsi="Times New Roman" w:cs="Times New Roman"/>
          <w:sz w:val="28"/>
          <w:szCs w:val="28"/>
        </w:rPr>
        <w:t xml:space="preserve">, pp. 948-952, 12 giugno 1928,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654342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Declaratio</w:t>
      </w:r>
      <w:r w:rsidRPr="0096104B">
        <w:rPr>
          <w:rFonts w:ascii="Times New Roman" w:hAnsi="Times New Roman" w:cs="Times New Roman"/>
          <w:sz w:val="28"/>
          <w:szCs w:val="28"/>
        </w:rPr>
        <w:t xml:space="preserve">, p. 955, 9 luglio 1928,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76242CB"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1929</w:t>
      </w:r>
    </w:p>
    <w:p w14:paraId="4FA9322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w:t>
      </w:r>
      <w:r w:rsidRPr="0096104B">
        <w:rPr>
          <w:rFonts w:ascii="Times New Roman" w:hAnsi="Times New Roman" w:cs="Times New Roman"/>
          <w:sz w:val="28"/>
          <w:szCs w:val="28"/>
        </w:rPr>
        <w:t xml:space="preserve">, pp. 1017-1028, 18 febbraio 1929,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28F6A651"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Sodales</w:t>
      </w:r>
      <w:r w:rsidRPr="0096104B">
        <w:rPr>
          <w:rFonts w:ascii="Times New Roman" w:hAnsi="Times New Roman" w:cs="Times New Roman"/>
          <w:sz w:val="28"/>
          <w:szCs w:val="28"/>
        </w:rPr>
        <w:t xml:space="preserve">, p. 1028, 26 febbraio 1929,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9572D3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Iura praefecti</w:t>
      </w:r>
      <w:r w:rsidRPr="0096104B">
        <w:rPr>
          <w:rFonts w:ascii="Times New Roman" w:hAnsi="Times New Roman" w:cs="Times New Roman"/>
          <w:sz w:val="28"/>
          <w:szCs w:val="28"/>
        </w:rPr>
        <w:t xml:space="preserve">, pp. 1112-1113, 7 novembre 1929,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406E953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w:t>
      </w:r>
      <w:r w:rsidRPr="0096104B">
        <w:rPr>
          <w:rFonts w:ascii="Times New Roman" w:hAnsi="Times New Roman" w:cs="Times New Roman"/>
          <w:sz w:val="28"/>
          <w:szCs w:val="28"/>
        </w:rPr>
        <w:t xml:space="preserve">, pp. 1114-1115, 1 dicembre 1929,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6D5FFB1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w:t>
      </w:r>
      <w:r w:rsidRPr="0096104B">
        <w:rPr>
          <w:rFonts w:ascii="Times New Roman" w:hAnsi="Times New Roman" w:cs="Times New Roman"/>
          <w:sz w:val="28"/>
          <w:szCs w:val="28"/>
        </w:rPr>
        <w:t xml:space="preserve">, pp. 1115-1118, 8 dicembre 1929,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631329F"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1930</w:t>
      </w:r>
    </w:p>
    <w:p w14:paraId="786FC251"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 ad vicarios praefectos que apostolicos et ad superiores institutorum, quibus a s. Sede missiones concreditae sunt</w:t>
      </w:r>
      <w:r w:rsidRPr="0096104B">
        <w:rPr>
          <w:rFonts w:ascii="Times New Roman" w:hAnsi="Times New Roman" w:cs="Times New Roman"/>
          <w:sz w:val="28"/>
          <w:szCs w:val="28"/>
        </w:rPr>
        <w:t>, in AAS-22-1930, pp. 111-116.</w:t>
      </w:r>
    </w:p>
    <w:p w14:paraId="727EA55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Ian</w:t>
      </w:r>
      <w:r w:rsidRPr="0096104B">
        <w:rPr>
          <w:rFonts w:ascii="Times New Roman" w:hAnsi="Times New Roman" w:cs="Times New Roman"/>
          <w:sz w:val="28"/>
          <w:szCs w:val="28"/>
        </w:rPr>
        <w:t xml:space="preserve">., p. 1153, 30 gennaio 1930,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7F9A0DF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lastRenderedPageBreak/>
        <w:t xml:space="preserve">Lit. Circ., p. 1170, 12 maggio 1930,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41787D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Indult</w:t>
      </w:r>
      <w:r w:rsidRPr="0096104B">
        <w:rPr>
          <w:rFonts w:ascii="Times New Roman" w:hAnsi="Times New Roman" w:cs="Times New Roman"/>
          <w:sz w:val="28"/>
          <w:szCs w:val="28"/>
        </w:rPr>
        <w:t xml:space="preserve">., p. 1181, 21 giugno 1930, in </w:t>
      </w:r>
      <w:r w:rsidRPr="0096104B">
        <w:rPr>
          <w:rFonts w:ascii="Times New Roman" w:hAnsi="Times New Roman" w:cs="Times New Roman"/>
          <w:i/>
          <w:sz w:val="28"/>
          <w:szCs w:val="28"/>
        </w:rPr>
        <w:t>Leges eclesiae</w:t>
      </w:r>
      <w:r w:rsidRPr="0096104B">
        <w:rPr>
          <w:rFonts w:ascii="Times New Roman" w:hAnsi="Times New Roman" w:cs="Times New Roman"/>
          <w:sz w:val="28"/>
          <w:szCs w:val="28"/>
        </w:rPr>
        <w:t xml:space="preserve"> Vol. I, 1918-1941.</w:t>
      </w:r>
    </w:p>
    <w:p w14:paraId="25C3105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Lit. Circ.</w:t>
      </w:r>
      <w:r w:rsidRPr="0096104B">
        <w:rPr>
          <w:rFonts w:ascii="Times New Roman" w:hAnsi="Times New Roman" w:cs="Times New Roman"/>
          <w:sz w:val="28"/>
          <w:szCs w:val="28"/>
        </w:rPr>
        <w:t xml:space="preserve">, pp. 1186-1887, 14 luglio 1930,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47575750"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1931</w:t>
      </w:r>
    </w:p>
    <w:p w14:paraId="7CBD733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Facultas</w:t>
      </w:r>
      <w:r w:rsidRPr="0096104B">
        <w:rPr>
          <w:rFonts w:ascii="Times New Roman" w:hAnsi="Times New Roman" w:cs="Times New Roman"/>
          <w:sz w:val="28"/>
          <w:szCs w:val="28"/>
        </w:rPr>
        <w:t xml:space="preserve">, pp. 1231-1235, 1 gennaio 1931,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AFB3A4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noProof/>
          <w:sz w:val="28"/>
          <w:szCs w:val="28"/>
          <w:lang w:eastAsia="it-IT"/>
        </w:rPr>
        <w:t>Resp.part.</w:t>
      </w:r>
      <w:r w:rsidRPr="0096104B">
        <w:rPr>
          <w:rFonts w:ascii="Times New Roman" w:hAnsi="Times New Roman" w:cs="Times New Roman"/>
          <w:noProof/>
          <w:sz w:val="28"/>
          <w:szCs w:val="28"/>
          <w:lang w:eastAsia="it-IT"/>
        </w:rPr>
        <w:t xml:space="preserve">, p. 1349, 4 settembre 1931,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62F6F846"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1932</w:t>
      </w:r>
    </w:p>
    <w:p w14:paraId="379F90C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Approbatio </w:t>
      </w:r>
      <w:r w:rsidRPr="0096104B">
        <w:rPr>
          <w:rFonts w:ascii="Times New Roman" w:hAnsi="Times New Roman" w:cs="Times New Roman"/>
          <w:sz w:val="28"/>
          <w:szCs w:val="28"/>
        </w:rPr>
        <w:t>in AAS-24-1932,14 marzo 1932, p. 380.</w:t>
      </w:r>
    </w:p>
    <w:p w14:paraId="7F8161E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 part</w:t>
      </w:r>
      <w:r w:rsidRPr="0096104B">
        <w:rPr>
          <w:rFonts w:ascii="Times New Roman" w:hAnsi="Times New Roman" w:cs="Times New Roman"/>
          <w:sz w:val="28"/>
          <w:szCs w:val="28"/>
        </w:rPr>
        <w:t xml:space="preserve">., p. 1389, 18 maggio 1932,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2196C02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 part</w:t>
      </w:r>
      <w:r w:rsidRPr="0096104B">
        <w:rPr>
          <w:rFonts w:ascii="Times New Roman" w:hAnsi="Times New Roman" w:cs="Times New Roman"/>
          <w:sz w:val="28"/>
          <w:szCs w:val="28"/>
        </w:rPr>
        <w:t xml:space="preserve">, pp. 1394-1395, 30 maggio 1932,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2F575A9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 1404, 15 luglio 1932,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453AF6F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 Part</w:t>
      </w:r>
      <w:r w:rsidRPr="0096104B">
        <w:rPr>
          <w:rFonts w:ascii="Times New Roman" w:hAnsi="Times New Roman" w:cs="Times New Roman"/>
          <w:sz w:val="28"/>
          <w:szCs w:val="28"/>
        </w:rPr>
        <w:t xml:space="preserve">., p. 1406, 18 luglio 1932,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2217711"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 1407, 28 luglio 1932,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8E17B0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Res.part., </w:t>
      </w:r>
      <w:r w:rsidRPr="0096104B">
        <w:rPr>
          <w:rFonts w:ascii="Times New Roman" w:hAnsi="Times New Roman" w:cs="Times New Roman"/>
          <w:sz w:val="28"/>
          <w:szCs w:val="28"/>
        </w:rPr>
        <w:t xml:space="preserve">pp. 1427-1429, 7 novembre 1932,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D3989B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 1432, 2 dicembre 1932,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3644D7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Resolutio</w:t>
      </w:r>
      <w:r w:rsidRPr="0096104B">
        <w:rPr>
          <w:rFonts w:ascii="Times New Roman" w:hAnsi="Times New Roman" w:cs="Times New Roman"/>
          <w:sz w:val="28"/>
          <w:szCs w:val="28"/>
        </w:rPr>
        <w:t xml:space="preserve">, p. 1432, 10 dicembre 1932,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9FC222C"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1933</w:t>
      </w:r>
    </w:p>
    <w:p w14:paraId="18B7D35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 1463, 3 aprile 1933,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F32A26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Facultas,</w:t>
      </w:r>
      <w:r w:rsidRPr="0096104B">
        <w:rPr>
          <w:rFonts w:ascii="Times New Roman" w:hAnsi="Times New Roman" w:cs="Times New Roman"/>
          <w:sz w:val="28"/>
          <w:szCs w:val="28"/>
        </w:rPr>
        <w:t xml:space="preserve"> p. 1464, 12 aprile 1933,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48CB99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 1466, 5 maggio 1933,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5B9630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 1492-1493, 22 giugno 1933,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417BBDD"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1934</w:t>
      </w:r>
    </w:p>
    <w:p w14:paraId="1D8EBDF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pp. 1533-1534, 27 aprile 1934,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81B6F4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 1544, 4 giugno 1934,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F898F0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pp. 1590-91, 31 agosto 1934,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7B40BFE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Res.part</w:t>
      </w:r>
      <w:r w:rsidRPr="0096104B">
        <w:rPr>
          <w:rFonts w:ascii="Times New Roman" w:hAnsi="Times New Roman" w:cs="Times New Roman"/>
          <w:sz w:val="28"/>
          <w:szCs w:val="28"/>
        </w:rPr>
        <w:t xml:space="preserve">, p. 1591, 9 novembre 1934,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7E0F023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immutatur nomen vicariatus apostolici de shenchow</w:t>
      </w:r>
      <w:r w:rsidRPr="0096104B">
        <w:rPr>
          <w:rFonts w:ascii="Times New Roman" w:hAnsi="Times New Roman" w:cs="Times New Roman"/>
          <w:sz w:val="28"/>
          <w:szCs w:val="28"/>
        </w:rPr>
        <w:t xml:space="preserve"> in AAS17-1935, 10 dicembre 1934, p. 22.</w:t>
      </w:r>
    </w:p>
    <w:p w14:paraId="20D5F225"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1935</w:t>
      </w:r>
    </w:p>
    <w:p w14:paraId="4AB7456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Declaratio privilegii pro sodalibus pia e unionis cleri a missionibus</w:t>
      </w:r>
      <w:r w:rsidRPr="0096104B">
        <w:rPr>
          <w:rFonts w:ascii="Times New Roman" w:hAnsi="Times New Roman" w:cs="Times New Roman"/>
          <w:sz w:val="28"/>
          <w:szCs w:val="28"/>
        </w:rPr>
        <w:t>, in AAS27-1935, 6 dicembre 1935, p. 489.</w:t>
      </w:r>
    </w:p>
    <w:p w14:paraId="73EDDFE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pp. 1664-1670, 8 dicembre 1935,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7B35AD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 1618, 28 maggio 1935,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6B0AD5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pp. 1621-22, 28 maggio 1935,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42F5D3A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pp. 1618-1619, 30 maggio 1935,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6BC524E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 1623, 1 giugno 1935,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525821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 1628, 3 luglio 1935, in </w:t>
      </w:r>
      <w:r w:rsidRPr="0096104B">
        <w:rPr>
          <w:rFonts w:ascii="Times New Roman" w:hAnsi="Times New Roman" w:cs="Times New Roman"/>
          <w:i/>
          <w:sz w:val="28"/>
          <w:szCs w:val="28"/>
        </w:rPr>
        <w:t>Leges eccclesiae</w:t>
      </w:r>
      <w:r w:rsidRPr="0096104B">
        <w:rPr>
          <w:rFonts w:ascii="Times New Roman" w:hAnsi="Times New Roman" w:cs="Times New Roman"/>
          <w:sz w:val="28"/>
          <w:szCs w:val="28"/>
        </w:rPr>
        <w:t xml:space="preserve"> Vol. I, 1918-1941.</w:t>
      </w:r>
    </w:p>
    <w:p w14:paraId="0AFC93F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Provisio ecclesiarum</w:t>
      </w:r>
      <w:r w:rsidRPr="0096104B">
        <w:rPr>
          <w:rFonts w:ascii="Times New Roman" w:hAnsi="Times New Roman" w:cs="Times New Roman"/>
          <w:sz w:val="28"/>
          <w:szCs w:val="28"/>
        </w:rPr>
        <w:t>, in AAS27-1935, 17 ottobre 1935, p. 488.</w:t>
      </w:r>
    </w:p>
    <w:p w14:paraId="16C5E60B"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lang w:val="en-US"/>
        </w:rPr>
      </w:pPr>
      <w:r w:rsidRPr="0096104B">
        <w:rPr>
          <w:rFonts w:ascii="Times New Roman" w:hAnsi="Times New Roman" w:cs="Times New Roman"/>
          <w:b/>
          <w:i/>
          <w:sz w:val="28"/>
          <w:szCs w:val="28"/>
          <w:u w:val="single"/>
          <w:lang w:val="en-US"/>
        </w:rPr>
        <w:t>1936</w:t>
      </w:r>
    </w:p>
    <w:p w14:paraId="4116F004"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dioecesis hacodaten sis in posterum sendaiensis nuncupabitur,</w:t>
      </w:r>
      <w:r w:rsidRPr="0096104B">
        <w:rPr>
          <w:rFonts w:ascii="Times New Roman" w:hAnsi="Times New Roman" w:cs="Times New Roman"/>
          <w:sz w:val="28"/>
          <w:szCs w:val="28"/>
          <w:lang w:val="en-US"/>
        </w:rPr>
        <w:t xml:space="preserve"> in ASS28-1936, 9 marzo 1936, p. 235.</w:t>
      </w:r>
    </w:p>
    <w:p w14:paraId="28028FE3"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territoria a vicariatu a post. Birmaniae septentrionalis dismembrantur atque praefecturae a post. De keng tung adnectuntur</w:t>
      </w:r>
      <w:r w:rsidRPr="0096104B">
        <w:rPr>
          <w:rFonts w:ascii="Times New Roman" w:hAnsi="Times New Roman" w:cs="Times New Roman"/>
          <w:sz w:val="28"/>
          <w:szCs w:val="28"/>
          <w:lang w:val="en-US"/>
        </w:rPr>
        <w:t>, in AAS28-1936, 9 marzo 1936, p. 297.</w:t>
      </w:r>
    </w:p>
    <w:p w14:paraId="0556C76B"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Instructio pro religiosis mulierum institutis, ad tuendam puerorum matrum - que vitam in locis missionum</w:t>
      </w:r>
      <w:r w:rsidRPr="0096104B">
        <w:rPr>
          <w:rFonts w:ascii="Times New Roman" w:hAnsi="Times New Roman" w:cs="Times New Roman"/>
          <w:sz w:val="28"/>
          <w:szCs w:val="28"/>
          <w:lang w:val="en-US"/>
        </w:rPr>
        <w:t xml:space="preserve"> ,in AAS28-1936, 11 febbraio 1936, pp. 208-210.</w:t>
      </w:r>
    </w:p>
    <w:p w14:paraId="6D2D001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lang w:val="en-US"/>
        </w:rPr>
        <w:t xml:space="preserve">Instructio ad excmum d. Paulum marella, archiepiscopum tit. </w:t>
      </w:r>
      <w:r w:rsidRPr="0096104B">
        <w:rPr>
          <w:rFonts w:ascii="Times New Roman" w:hAnsi="Times New Roman" w:cs="Times New Roman"/>
          <w:i/>
          <w:sz w:val="28"/>
          <w:szCs w:val="28"/>
        </w:rPr>
        <w:t>Docleensem, delegatum apostolicum in iaponia, circa catholicorum officia erga patriam</w:t>
      </w:r>
      <w:r w:rsidRPr="0096104B">
        <w:rPr>
          <w:rFonts w:ascii="Times New Roman" w:hAnsi="Times New Roman" w:cs="Times New Roman"/>
          <w:sz w:val="28"/>
          <w:szCs w:val="28"/>
        </w:rPr>
        <w:t>, in AAS28-1936, 26 marzo 1936, pp. 406-410.</w:t>
      </w:r>
    </w:p>
    <w:p w14:paraId="7268DF8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 1769, 21 ottobre 1936,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C54E76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w:t>
      </w:r>
      <w:r w:rsidRPr="0096104B">
        <w:rPr>
          <w:rFonts w:ascii="Times New Roman" w:hAnsi="Times New Roman" w:cs="Times New Roman"/>
          <w:sz w:val="28"/>
          <w:szCs w:val="28"/>
        </w:rPr>
        <w:t xml:space="preserve">, p. 1779, 12 dicembre 1936,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203F649E"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lastRenderedPageBreak/>
        <w:t>1937</w:t>
      </w:r>
    </w:p>
    <w:p w14:paraId="3B03CC5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pp. 1179-1780, 14 dicembre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BC27E9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 de coordinatione piae unionis cleri pro missionibus cum operibus missionalibus</w:t>
      </w:r>
      <w:r w:rsidRPr="0096104B">
        <w:rPr>
          <w:rFonts w:ascii="Times New Roman" w:hAnsi="Times New Roman" w:cs="Times New Roman"/>
          <w:sz w:val="28"/>
          <w:szCs w:val="28"/>
        </w:rPr>
        <w:t>, in AAS29-1937, 9 marzo 1937, pp. 475-476.</w:t>
      </w:r>
    </w:p>
    <w:p w14:paraId="0F7E688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Instructio, </w:t>
      </w:r>
      <w:r w:rsidRPr="0096104B">
        <w:rPr>
          <w:rFonts w:ascii="Times New Roman" w:hAnsi="Times New Roman" w:cs="Times New Roman"/>
          <w:sz w:val="28"/>
          <w:szCs w:val="28"/>
        </w:rPr>
        <w:t xml:space="preserve">pp. 1787-1789, 19 marzo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7F7CD37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w:t>
      </w:r>
      <w:r w:rsidRPr="0096104B">
        <w:rPr>
          <w:rFonts w:ascii="Times New Roman" w:hAnsi="Times New Roman" w:cs="Times New Roman"/>
          <w:sz w:val="28"/>
          <w:szCs w:val="28"/>
        </w:rPr>
        <w:t xml:space="preserve">, pp. 1807-1809, 19 marzo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72C86C11"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pp. 1809-1814, 19 marzo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DE6B61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Res.part </w:t>
      </w:r>
      <w:r w:rsidRPr="0096104B">
        <w:rPr>
          <w:rFonts w:ascii="Times New Roman" w:hAnsi="Times New Roman" w:cs="Times New Roman"/>
          <w:sz w:val="28"/>
          <w:szCs w:val="28"/>
        </w:rPr>
        <w:t xml:space="preserve">,p. 1722, 10 aprile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66E4A28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quo vicariatus apostolicus oceaniae centralis deinceps vicariatus apostolicus insularum tonga appellabitur</w:t>
      </w:r>
      <w:r w:rsidRPr="0096104B">
        <w:rPr>
          <w:rFonts w:ascii="Times New Roman" w:hAnsi="Times New Roman" w:cs="Times New Roman"/>
          <w:sz w:val="28"/>
          <w:szCs w:val="28"/>
        </w:rPr>
        <w:t>, in AAS29-1937, 13 aprile 1937, p. 308.</w:t>
      </w:r>
    </w:p>
    <w:p w14:paraId="6C3C709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quo missio sui iuris de ilan in manciuria in posterum missio sui iuris de kiamusze appellabitur</w:t>
      </w:r>
      <w:r w:rsidRPr="0096104B">
        <w:rPr>
          <w:rFonts w:ascii="Times New Roman" w:hAnsi="Times New Roman" w:cs="Times New Roman"/>
          <w:sz w:val="28"/>
          <w:szCs w:val="28"/>
        </w:rPr>
        <w:t>, in AAS29-1937, 13 aprile 1937, p. 309.</w:t>
      </w:r>
    </w:p>
    <w:p w14:paraId="65B7E5E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statuta generalia piae unionis cleri pro missionibus, revisa ac recognita, approbantur</w:t>
      </w:r>
      <w:r w:rsidRPr="0096104B">
        <w:rPr>
          <w:rFonts w:ascii="Times New Roman" w:hAnsi="Times New Roman" w:cs="Times New Roman"/>
          <w:sz w:val="28"/>
          <w:szCs w:val="28"/>
        </w:rPr>
        <w:t>, in AAS29-1937,14 aprile 1937, p. 435.</w:t>
      </w:r>
    </w:p>
    <w:p w14:paraId="5AFBF721"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lang w:val="en-US"/>
        </w:rPr>
        <w:t>Indult. Part</w:t>
      </w:r>
      <w:r w:rsidRPr="0096104B">
        <w:rPr>
          <w:rFonts w:ascii="Times New Roman" w:hAnsi="Times New Roman" w:cs="Times New Roman"/>
          <w:sz w:val="28"/>
          <w:szCs w:val="28"/>
          <w:lang w:val="en-US"/>
        </w:rPr>
        <w:t xml:space="preserve">., p. 1820, 14 aprile 1937, in </w:t>
      </w:r>
      <w:r w:rsidRPr="0096104B">
        <w:rPr>
          <w:rFonts w:ascii="Times New Roman" w:hAnsi="Times New Roman" w:cs="Times New Roman"/>
          <w:i/>
          <w:sz w:val="28"/>
          <w:szCs w:val="28"/>
          <w:lang w:val="en-US"/>
        </w:rPr>
        <w:t>Leges ecclesiae</w:t>
      </w:r>
      <w:r w:rsidRPr="0096104B">
        <w:rPr>
          <w:rFonts w:ascii="Times New Roman" w:hAnsi="Times New Roman" w:cs="Times New Roman"/>
          <w:sz w:val="28"/>
          <w:szCs w:val="28"/>
          <w:lang w:val="en-US"/>
        </w:rPr>
        <w:t xml:space="preserve"> Vol. </w:t>
      </w:r>
      <w:r w:rsidRPr="0096104B">
        <w:rPr>
          <w:rFonts w:ascii="Times New Roman" w:hAnsi="Times New Roman" w:cs="Times New Roman"/>
          <w:sz w:val="28"/>
          <w:szCs w:val="28"/>
        </w:rPr>
        <w:t>I, 1918-1941.</w:t>
      </w:r>
    </w:p>
    <w:p w14:paraId="0F44A4E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Lit. Circ</w:t>
      </w:r>
      <w:r w:rsidRPr="0096104B">
        <w:rPr>
          <w:rFonts w:ascii="Times New Roman" w:hAnsi="Times New Roman" w:cs="Times New Roman"/>
          <w:sz w:val="28"/>
          <w:szCs w:val="28"/>
        </w:rPr>
        <w:t xml:space="preserve">, p. 1821, 14 aprile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775F0D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Epistola, pp. 1821-1822, 3 maggio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62A4CB7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Const</w:t>
      </w:r>
      <w:r w:rsidRPr="0096104B">
        <w:rPr>
          <w:rFonts w:ascii="Times New Roman" w:hAnsi="Times New Roman" w:cs="Times New Roman"/>
          <w:sz w:val="28"/>
          <w:szCs w:val="28"/>
        </w:rPr>
        <w:t xml:space="preserve">., pp. 1823-1826, 6 maggio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671F1F0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Indult. Part</w:t>
      </w:r>
      <w:r w:rsidRPr="0096104B">
        <w:rPr>
          <w:rFonts w:ascii="Times New Roman" w:hAnsi="Times New Roman" w:cs="Times New Roman"/>
          <w:sz w:val="28"/>
          <w:szCs w:val="28"/>
        </w:rPr>
        <w:t xml:space="preserve">., p 1826, 25 maggio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2FF708B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w:t>
      </w:r>
      <w:r w:rsidRPr="0096104B">
        <w:rPr>
          <w:rFonts w:ascii="Times New Roman" w:hAnsi="Times New Roman" w:cs="Times New Roman"/>
          <w:sz w:val="28"/>
          <w:szCs w:val="28"/>
        </w:rPr>
        <w:t xml:space="preserve">, pp. 1725-1727, 26 maggio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31744C1"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Decretum: quo praefectura apostolica « de chuchow in posterum « de lishui » appellabitur, in AAS29-1937, 28 maggio 1937, p. 310.</w:t>
      </w:r>
    </w:p>
    <w:p w14:paraId="1EB570E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lang w:val="en-US"/>
        </w:rPr>
        <w:lastRenderedPageBreak/>
        <w:t>Res. Part</w:t>
      </w:r>
      <w:r w:rsidRPr="0096104B">
        <w:rPr>
          <w:rFonts w:ascii="Times New Roman" w:hAnsi="Times New Roman" w:cs="Times New Roman"/>
          <w:sz w:val="28"/>
          <w:szCs w:val="28"/>
          <w:lang w:val="en-US"/>
        </w:rPr>
        <w:t xml:space="preserve">., pp. 1829-1830, 7 luglio 1937, in </w:t>
      </w:r>
      <w:r w:rsidRPr="0096104B">
        <w:rPr>
          <w:rFonts w:ascii="Times New Roman" w:hAnsi="Times New Roman" w:cs="Times New Roman"/>
          <w:i/>
          <w:sz w:val="28"/>
          <w:szCs w:val="28"/>
          <w:lang w:val="en-US"/>
        </w:rPr>
        <w:t>Leges ecclesiae</w:t>
      </w:r>
      <w:r w:rsidRPr="0096104B">
        <w:rPr>
          <w:rFonts w:ascii="Times New Roman" w:hAnsi="Times New Roman" w:cs="Times New Roman"/>
          <w:sz w:val="28"/>
          <w:szCs w:val="28"/>
          <w:lang w:val="en-US"/>
        </w:rPr>
        <w:t xml:space="preserve"> Vol. </w:t>
      </w:r>
      <w:r w:rsidRPr="0096104B">
        <w:rPr>
          <w:rFonts w:ascii="Times New Roman" w:hAnsi="Times New Roman" w:cs="Times New Roman"/>
          <w:sz w:val="28"/>
          <w:szCs w:val="28"/>
        </w:rPr>
        <w:t>I, 1918-1941.</w:t>
      </w:r>
    </w:p>
    <w:p w14:paraId="31B886F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Indult.,</w:t>
      </w:r>
      <w:r w:rsidRPr="0096104B">
        <w:rPr>
          <w:rFonts w:ascii="Times New Roman" w:hAnsi="Times New Roman" w:cs="Times New Roman"/>
          <w:sz w:val="28"/>
          <w:szCs w:val="28"/>
        </w:rPr>
        <w:t xml:space="preserve"> p. 1832, 30 ottobre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F1E64A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Indult</w:t>
      </w:r>
      <w:r w:rsidRPr="0096104B">
        <w:rPr>
          <w:rFonts w:ascii="Times New Roman" w:hAnsi="Times New Roman" w:cs="Times New Roman"/>
          <w:sz w:val="28"/>
          <w:szCs w:val="28"/>
        </w:rPr>
        <w:t xml:space="preserve">., p. 1832, 30 ottobre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C0954D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Quaestiones, pp. 1849- 1952, 1937,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2D083F41"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1938</w:t>
      </w:r>
    </w:p>
    <w:p w14:paraId="306F6C3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Indult.part</w:t>
      </w:r>
      <w:r w:rsidRPr="0096104B">
        <w:rPr>
          <w:rFonts w:ascii="Times New Roman" w:hAnsi="Times New Roman" w:cs="Times New Roman"/>
          <w:sz w:val="28"/>
          <w:szCs w:val="28"/>
        </w:rPr>
        <w:t xml:space="preserve">., p. 1870, 7 febbraio 1938,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3D975E6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vicariatuum</w:t>
      </w:r>
      <w:r w:rsidRPr="0096104B">
        <w:rPr>
          <w:rFonts w:ascii="Times New Roman" w:hAnsi="Times New Roman" w:cs="Times New Roman"/>
          <w:sz w:val="28"/>
          <w:szCs w:val="28"/>
        </w:rPr>
        <w:t>, in AAS30-1938, 9 febbraio 1938, p. 162.</w:t>
      </w:r>
    </w:p>
    <w:p w14:paraId="730CBEB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mutatione</w:t>
      </w:r>
      <w:r w:rsidRPr="0096104B">
        <w:rPr>
          <w:rFonts w:ascii="Times New Roman" w:hAnsi="Times New Roman" w:cs="Times New Roman"/>
          <w:sz w:val="28"/>
          <w:szCs w:val="28"/>
        </w:rPr>
        <w:t>, in AAS30-1938, 30 marzo 1938, p. 268.</w:t>
      </w:r>
    </w:p>
    <w:p w14:paraId="4AFDB95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vicariatus togoñbn sis deinceps  lomen sis appellabitur</w:t>
      </w:r>
      <w:r w:rsidRPr="0096104B">
        <w:rPr>
          <w:rFonts w:ascii="Times New Roman" w:hAnsi="Times New Roman" w:cs="Times New Roman"/>
          <w:sz w:val="28"/>
          <w:szCs w:val="28"/>
        </w:rPr>
        <w:t>, in AAS30-1938, 14 giugno 1938, p. 346.</w:t>
      </w:r>
    </w:p>
    <w:p w14:paraId="02BC1B7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pp. 1895-1896, 14 luglio 1938,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057599E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inter vicariatus apostolicos de lisala et de oubangui belgico fines mutantur</w:t>
      </w:r>
      <w:r w:rsidRPr="0096104B">
        <w:rPr>
          <w:rFonts w:ascii="Times New Roman" w:hAnsi="Times New Roman" w:cs="Times New Roman"/>
          <w:sz w:val="28"/>
          <w:szCs w:val="28"/>
        </w:rPr>
        <w:t>, in AAS30-1938, 13 dicembre 1938, p. 170.</w:t>
      </w:r>
    </w:p>
    <w:p w14:paraId="0B9E7404"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1939</w:t>
      </w:r>
    </w:p>
    <w:p w14:paraId="58D564E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inter vicariatus apostolicos de léopoldville et de matadi fines immutantur</w:t>
      </w:r>
      <w:r w:rsidRPr="0096104B">
        <w:rPr>
          <w:rFonts w:ascii="Times New Roman" w:hAnsi="Times New Roman" w:cs="Times New Roman"/>
          <w:sz w:val="28"/>
          <w:szCs w:val="28"/>
        </w:rPr>
        <w:t>, in AAS30-1938, 5 gennaio 1939, p. 181.</w:t>
      </w:r>
    </w:p>
    <w:p w14:paraId="0D8DE4D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w:t>
      </w:r>
      <w:r w:rsidRPr="0096104B">
        <w:rPr>
          <w:rFonts w:ascii="Times New Roman" w:hAnsi="Times New Roman" w:cs="Times New Roman"/>
          <w:sz w:val="28"/>
          <w:szCs w:val="28"/>
        </w:rPr>
        <w:t xml:space="preserve">, pp. 1944-1945, 8 dicembre 1939,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790F20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 circa quasdam caeremonias et iuramentum super ritibus sinensibus</w:t>
      </w:r>
      <w:r w:rsidRPr="0096104B">
        <w:rPr>
          <w:rFonts w:ascii="Times New Roman" w:hAnsi="Times New Roman" w:cs="Times New Roman"/>
          <w:sz w:val="28"/>
          <w:szCs w:val="28"/>
        </w:rPr>
        <w:t>, in AAS32-1940, 8 dicembre 1939, pp. 24-26.</w:t>
      </w:r>
    </w:p>
    <w:p w14:paraId="2EA111C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e vicariatu apostolico de kirin pars septemtrionalis seiungitur atque praefecturae apostolicae de tsitsihar adnectitur</w:t>
      </w:r>
      <w:r w:rsidRPr="0096104B">
        <w:rPr>
          <w:rFonts w:ascii="Times New Roman" w:hAnsi="Times New Roman" w:cs="Times New Roman"/>
          <w:sz w:val="28"/>
          <w:szCs w:val="28"/>
        </w:rPr>
        <w:t>, in AAS30-1938,15 marzo 1939, p. 308.</w:t>
      </w:r>
    </w:p>
    <w:p w14:paraId="74335A4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inter vicariatum apostolicum de koango et praefecturam apostolicam de ipamu fines immutantur</w:t>
      </w:r>
      <w:r w:rsidRPr="0096104B">
        <w:rPr>
          <w:rFonts w:ascii="Times New Roman" w:hAnsi="Times New Roman" w:cs="Times New Roman"/>
          <w:sz w:val="28"/>
          <w:szCs w:val="28"/>
        </w:rPr>
        <w:t>, in AAS30-1938, 25 aprile 1939, p. 399.</w:t>
      </w:r>
    </w:p>
    <w:p w14:paraId="711B39F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Instructio circa prudentiorem de rebus missionalibus tractandi rationem</w:t>
      </w:r>
      <w:r w:rsidRPr="0096104B">
        <w:rPr>
          <w:rFonts w:ascii="Times New Roman" w:hAnsi="Times New Roman" w:cs="Times New Roman"/>
          <w:sz w:val="28"/>
          <w:szCs w:val="28"/>
        </w:rPr>
        <w:t>, in AAS30-1938, 9 giugno 1939, p. 269.</w:t>
      </w:r>
    </w:p>
    <w:p w14:paraId="3C8BD9C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db finium vicariatuum mutatione</w:t>
      </w:r>
      <w:r w:rsidRPr="0096104B">
        <w:rPr>
          <w:rFonts w:ascii="Times New Roman" w:hAnsi="Times New Roman" w:cs="Times New Roman"/>
          <w:sz w:val="28"/>
          <w:szCs w:val="28"/>
        </w:rPr>
        <w:t>, in AAS30-1938, 11 luglio 1939, p. 615.</w:t>
      </w:r>
    </w:p>
    <w:p w14:paraId="5C2D81E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w:t>
      </w:r>
      <w:r w:rsidRPr="0096104B">
        <w:rPr>
          <w:rFonts w:ascii="Times New Roman" w:hAnsi="Times New Roman" w:cs="Times New Roman"/>
          <w:sz w:val="28"/>
          <w:szCs w:val="28"/>
        </w:rPr>
        <w:t xml:space="preserve">, pp 1926-1927, 24 luglio 1939,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58DE3F82"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1940</w:t>
      </w:r>
    </w:p>
    <w:p w14:paraId="613732F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 1949, 12 gennaio 1940,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DAB3EA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iuramento super ritibus malabaricos a missionariis in indiis orientalibus praestando</w:t>
      </w:r>
      <w:r w:rsidRPr="0096104B">
        <w:rPr>
          <w:rFonts w:ascii="Times New Roman" w:hAnsi="Times New Roman" w:cs="Times New Roman"/>
          <w:sz w:val="28"/>
          <w:szCs w:val="28"/>
        </w:rPr>
        <w:t>, in AAS32-1940, 9 aprile 1940, p. 379.</w:t>
      </w:r>
    </w:p>
    <w:p w14:paraId="4D8EFEA8"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nominis mutationis</w:t>
      </w:r>
      <w:r w:rsidRPr="0096104B">
        <w:rPr>
          <w:rFonts w:ascii="Times New Roman" w:hAnsi="Times New Roman" w:cs="Times New Roman"/>
          <w:sz w:val="28"/>
          <w:szCs w:val="28"/>
          <w:lang w:val="en-US"/>
        </w:rPr>
        <w:t>, in AAS32-1940, 28 maggio 1940, p. 504.</w:t>
      </w:r>
    </w:p>
    <w:p w14:paraId="01CC4E2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pp. 1982-1983, 12 giugno 1940, in </w:t>
      </w:r>
      <w:r w:rsidRPr="0096104B">
        <w:rPr>
          <w:rFonts w:ascii="Times New Roman" w:hAnsi="Times New Roman" w:cs="Times New Roman"/>
          <w:i/>
          <w:sz w:val="28"/>
          <w:szCs w:val="28"/>
        </w:rPr>
        <w:t>Leges ecclesiae</w:t>
      </w:r>
      <w:r w:rsidRPr="0096104B">
        <w:rPr>
          <w:rFonts w:ascii="Times New Roman" w:hAnsi="Times New Roman" w:cs="Times New Roman"/>
          <w:sz w:val="28"/>
          <w:szCs w:val="28"/>
        </w:rPr>
        <w:t xml:space="preserve"> Vol. I, 1918-1941.</w:t>
      </w:r>
    </w:p>
    <w:p w14:paraId="15DEB67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nominis mutationis</w:t>
      </w:r>
      <w:r w:rsidRPr="0096104B">
        <w:rPr>
          <w:rFonts w:ascii="Times New Roman" w:hAnsi="Times New Roman" w:cs="Times New Roman"/>
          <w:sz w:val="28"/>
          <w:szCs w:val="28"/>
        </w:rPr>
        <w:t>, in AAS32-1940, 9 luglio 1940, p. 555.</w:t>
      </w:r>
    </w:p>
    <w:p w14:paraId="1C0B931C"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1941</w:t>
      </w:r>
    </w:p>
    <w:p w14:paraId="03175E6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Res.part, pp. 2031-2041, 1 gennaio 1941, in Leges ecclesiae Vol. I, 1918-1941.</w:t>
      </w:r>
    </w:p>
    <w:p w14:paraId="328D8F54"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rPr>
        <w:t>Res.part</w:t>
      </w:r>
      <w:r w:rsidRPr="0096104B">
        <w:rPr>
          <w:rFonts w:ascii="Times New Roman" w:hAnsi="Times New Roman" w:cs="Times New Roman"/>
          <w:sz w:val="28"/>
          <w:szCs w:val="28"/>
        </w:rPr>
        <w:t xml:space="preserve">, pp. 2042-2044, 13 gennaio 1941, in Leges ecclesiae Vol. </w:t>
      </w:r>
      <w:r w:rsidRPr="0096104B">
        <w:rPr>
          <w:rFonts w:ascii="Times New Roman" w:hAnsi="Times New Roman" w:cs="Times New Roman"/>
          <w:sz w:val="28"/>
          <w:szCs w:val="28"/>
          <w:lang w:val="en-US"/>
        </w:rPr>
        <w:t>I, 1918-1941.</w:t>
      </w:r>
    </w:p>
    <w:p w14:paraId="7BC0514C"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dismembrationis et unionis</w:t>
      </w:r>
      <w:r w:rsidRPr="0096104B">
        <w:rPr>
          <w:rFonts w:ascii="Times New Roman" w:hAnsi="Times New Roman" w:cs="Times New Roman"/>
          <w:sz w:val="28"/>
          <w:szCs w:val="28"/>
          <w:lang w:val="en-US"/>
        </w:rPr>
        <w:t>, in AAS33-1941, 20 febbraio 1941, p. 124.</w:t>
      </w:r>
    </w:p>
    <w:p w14:paraId="1BFBC1E7"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sz w:val="28"/>
          <w:szCs w:val="28"/>
          <w:lang w:val="en-US"/>
        </w:rPr>
        <w:t>Decretum: dismembrationis et unionis, in AAS33-1941, 3 aprile 1941, p. 165.</w:t>
      </w:r>
    </w:p>
    <w:p w14:paraId="244A86F9"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lang w:val="en-US"/>
        </w:rPr>
      </w:pPr>
      <w:r w:rsidRPr="0096104B">
        <w:rPr>
          <w:rFonts w:ascii="Times New Roman" w:hAnsi="Times New Roman" w:cs="Times New Roman"/>
          <w:b/>
          <w:i/>
          <w:sz w:val="28"/>
          <w:szCs w:val="28"/>
          <w:u w:val="single"/>
          <w:lang w:val="en-US"/>
        </w:rPr>
        <w:t>1942</w:t>
      </w:r>
    </w:p>
    <w:p w14:paraId="5A28BFF1"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Declaratio</w:t>
      </w:r>
      <w:r w:rsidRPr="0096104B">
        <w:rPr>
          <w:rFonts w:ascii="Times New Roman" w:hAnsi="Times New Roman" w:cs="Times New Roman"/>
          <w:sz w:val="28"/>
          <w:szCs w:val="28"/>
          <w:lang w:val="en-US"/>
        </w:rPr>
        <w:t xml:space="preserve">, p. 2151, 2 dicembre 1942,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Vol.2</w:t>
      </w:r>
      <w:r w:rsidRPr="0096104B">
        <w:rPr>
          <w:rFonts w:ascii="Times New Roman" w:hAnsi="Times New Roman" w:cs="Times New Roman"/>
          <w:i/>
          <w:sz w:val="28"/>
          <w:szCs w:val="28"/>
          <w:lang w:val="en-US"/>
        </w:rPr>
        <w:t xml:space="preserve">, </w:t>
      </w:r>
      <w:r w:rsidRPr="0096104B">
        <w:rPr>
          <w:rFonts w:ascii="Times New Roman" w:hAnsi="Times New Roman" w:cs="Times New Roman"/>
          <w:sz w:val="28"/>
          <w:szCs w:val="28"/>
          <w:lang w:val="en-US"/>
        </w:rPr>
        <w:t>1942-1958.</w:t>
      </w:r>
    </w:p>
    <w:p w14:paraId="6858774F"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dismembrationis et unionis</w:t>
      </w:r>
      <w:r w:rsidRPr="0096104B">
        <w:rPr>
          <w:rFonts w:ascii="Times New Roman" w:hAnsi="Times New Roman" w:cs="Times New Roman"/>
          <w:sz w:val="28"/>
          <w:szCs w:val="28"/>
          <w:lang w:val="en-US"/>
        </w:rPr>
        <w:t>, in AAS34-1942, 9 giugno 1942, p. 301.</w:t>
      </w:r>
    </w:p>
    <w:p w14:paraId="24E60E15"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Instructio de novis praefecturis aut vicariatibus apostolicis aut dioecesibus condendis</w:t>
      </w:r>
      <w:r w:rsidRPr="0096104B">
        <w:rPr>
          <w:rFonts w:ascii="Times New Roman" w:hAnsi="Times New Roman" w:cs="Times New Roman"/>
          <w:sz w:val="28"/>
          <w:szCs w:val="28"/>
          <w:lang w:val="en-US"/>
        </w:rPr>
        <w:t>, in AAS34-1942, 21 giugno 1942, pp. 347-349.</w:t>
      </w:r>
    </w:p>
    <w:p w14:paraId="28B70330"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lang w:val="en-US"/>
        </w:rPr>
      </w:pPr>
      <w:r w:rsidRPr="0096104B">
        <w:rPr>
          <w:rFonts w:ascii="Times New Roman" w:hAnsi="Times New Roman" w:cs="Times New Roman"/>
          <w:b/>
          <w:i/>
          <w:sz w:val="28"/>
          <w:szCs w:val="28"/>
          <w:u w:val="single"/>
          <w:lang w:val="en-US"/>
        </w:rPr>
        <w:t>1943</w:t>
      </w:r>
    </w:p>
    <w:p w14:paraId="10020DD3"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lastRenderedPageBreak/>
        <w:t xml:space="preserve">Decretum, </w:t>
      </w:r>
      <w:r w:rsidRPr="0096104B">
        <w:rPr>
          <w:rFonts w:ascii="Times New Roman" w:hAnsi="Times New Roman" w:cs="Times New Roman"/>
          <w:sz w:val="28"/>
          <w:szCs w:val="28"/>
          <w:lang w:val="en-US"/>
        </w:rPr>
        <w:t xml:space="preserve">pp. 2235-2236, 1943,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 2,</w:t>
      </w:r>
      <w:r w:rsidRPr="0096104B">
        <w:rPr>
          <w:rFonts w:ascii="Times New Roman" w:hAnsi="Times New Roman" w:cs="Times New Roman"/>
          <w:i/>
          <w:sz w:val="28"/>
          <w:szCs w:val="28"/>
          <w:lang w:val="en-US"/>
        </w:rPr>
        <w:t xml:space="preserve"> </w:t>
      </w:r>
      <w:r w:rsidRPr="0096104B">
        <w:rPr>
          <w:rFonts w:ascii="Times New Roman" w:hAnsi="Times New Roman" w:cs="Times New Roman"/>
          <w:sz w:val="28"/>
          <w:szCs w:val="28"/>
          <w:lang w:val="en-US"/>
        </w:rPr>
        <w:t>1942-1958</w:t>
      </w:r>
      <w:r w:rsidRPr="0096104B">
        <w:rPr>
          <w:rFonts w:ascii="Times New Roman" w:hAnsi="Times New Roman" w:cs="Times New Roman"/>
          <w:i/>
          <w:sz w:val="28"/>
          <w:szCs w:val="28"/>
          <w:lang w:val="en-US"/>
        </w:rPr>
        <w:t>.</w:t>
      </w:r>
    </w:p>
    <w:p w14:paraId="39D912C5"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nominis mutatione</w:t>
      </w:r>
      <w:r w:rsidRPr="0096104B">
        <w:rPr>
          <w:rFonts w:ascii="Times New Roman" w:hAnsi="Times New Roman" w:cs="Times New Roman"/>
          <w:sz w:val="28"/>
          <w:szCs w:val="28"/>
          <w:lang w:val="en-US"/>
        </w:rPr>
        <w:t>, in AAS35-1943, 12 gennaio 1943, p 81.</w:t>
      </w:r>
    </w:p>
    <w:p w14:paraId="57B1F578"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 xml:space="preserve">Decretum </w:t>
      </w:r>
      <w:r w:rsidRPr="0096104B">
        <w:rPr>
          <w:rFonts w:ascii="Times New Roman" w:hAnsi="Times New Roman" w:cs="Times New Roman"/>
          <w:sz w:val="28"/>
          <w:szCs w:val="28"/>
          <w:lang w:val="en-US"/>
        </w:rPr>
        <w:t>in AAS35-1943,13 aprile 1943, p. 265.</w:t>
      </w:r>
    </w:p>
    <w:p w14:paraId="6122D7A1"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lang w:val="en-US"/>
        </w:rPr>
      </w:pPr>
      <w:r w:rsidRPr="0096104B">
        <w:rPr>
          <w:rFonts w:ascii="Times New Roman" w:hAnsi="Times New Roman" w:cs="Times New Roman"/>
          <w:b/>
          <w:i/>
          <w:sz w:val="28"/>
          <w:szCs w:val="28"/>
          <w:u w:val="single"/>
          <w:lang w:val="en-US"/>
        </w:rPr>
        <w:t>1944</w:t>
      </w:r>
    </w:p>
    <w:p w14:paraId="10B72FEE"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finium mutatione</w:t>
      </w:r>
      <w:r w:rsidRPr="0096104B">
        <w:rPr>
          <w:rFonts w:ascii="Times New Roman" w:hAnsi="Times New Roman" w:cs="Times New Roman"/>
          <w:sz w:val="28"/>
          <w:szCs w:val="28"/>
          <w:lang w:val="en-US"/>
        </w:rPr>
        <w:t>, in AAS36-1944, 12 maggio 1944, p. 178.</w:t>
      </w:r>
    </w:p>
    <w:p w14:paraId="5EB67B46" w14:textId="77777777" w:rsidR="00B3403A" w:rsidRPr="0096104B" w:rsidRDefault="00B3403A" w:rsidP="00484F9B">
      <w:pPr>
        <w:pStyle w:val="Nessunaspaziatura"/>
        <w:spacing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Resp</w:t>
      </w:r>
      <w:r w:rsidRPr="0096104B">
        <w:rPr>
          <w:rFonts w:ascii="Times New Roman" w:hAnsi="Times New Roman" w:cs="Times New Roman"/>
          <w:sz w:val="28"/>
          <w:szCs w:val="28"/>
        </w:rPr>
        <w:t xml:space="preserve">., pp. 2245-2246, 15 giugno 1944,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 2, 1942-1958</w:t>
      </w:r>
      <w:r w:rsidRPr="0096104B">
        <w:rPr>
          <w:rFonts w:ascii="Times New Roman" w:hAnsi="Times New Roman" w:cs="Times New Roman"/>
          <w:i/>
          <w:sz w:val="28"/>
          <w:szCs w:val="28"/>
        </w:rPr>
        <w:t>.</w:t>
      </w:r>
    </w:p>
    <w:p w14:paraId="19A42704"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p>
    <w:p w14:paraId="49797E39"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1945</w:t>
      </w:r>
    </w:p>
    <w:p w14:paraId="54EC2C45"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Resp</w:t>
      </w:r>
      <w:r w:rsidRPr="0096104B">
        <w:rPr>
          <w:rFonts w:ascii="Times New Roman" w:hAnsi="Times New Roman" w:cs="Times New Roman"/>
          <w:sz w:val="28"/>
          <w:szCs w:val="28"/>
        </w:rPr>
        <w:t xml:space="preserve">., pp. 2317-2318, 15 dicembre 1945,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 1942-1958.</w:t>
      </w:r>
    </w:p>
    <w:p w14:paraId="036B2B90"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vicariatus apostolicus s. Leonis de amazones in posterum de iquitok appellabitur</w:t>
      </w:r>
      <w:r w:rsidRPr="0096104B">
        <w:rPr>
          <w:rFonts w:ascii="Times New Roman" w:hAnsi="Times New Roman" w:cs="Times New Roman"/>
          <w:sz w:val="28"/>
          <w:szCs w:val="28"/>
          <w:lang w:val="en-US"/>
        </w:rPr>
        <w:t>, in AAS38-1945, 1 agosto 1945, p. 269.</w:t>
      </w:r>
    </w:p>
    <w:p w14:paraId="4172D448"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lang w:val="en-US"/>
        </w:rPr>
      </w:pPr>
      <w:r w:rsidRPr="0096104B">
        <w:rPr>
          <w:rFonts w:ascii="Times New Roman" w:hAnsi="Times New Roman" w:cs="Times New Roman"/>
          <w:b/>
          <w:i/>
          <w:sz w:val="28"/>
          <w:szCs w:val="28"/>
          <w:u w:val="single"/>
          <w:lang w:val="en-US"/>
        </w:rPr>
        <w:t>1946</w:t>
      </w:r>
    </w:p>
    <w:p w14:paraId="6D46A4FF"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 xml:space="preserve">Instructio, </w:t>
      </w:r>
      <w:r w:rsidRPr="0096104B">
        <w:rPr>
          <w:rFonts w:ascii="Times New Roman" w:hAnsi="Times New Roman" w:cs="Times New Roman"/>
          <w:sz w:val="28"/>
          <w:szCs w:val="28"/>
          <w:lang w:val="en-US"/>
        </w:rPr>
        <w:t xml:space="preserve">pp. 2322-2328, 25 gennaio 1946,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 2, 1942-1958</w:t>
      </w:r>
      <w:r w:rsidRPr="0096104B">
        <w:rPr>
          <w:rFonts w:ascii="Times New Roman" w:hAnsi="Times New Roman" w:cs="Times New Roman"/>
          <w:i/>
          <w:sz w:val="28"/>
          <w:szCs w:val="28"/>
          <w:lang w:val="en-US"/>
        </w:rPr>
        <w:t>.</w:t>
      </w:r>
    </w:p>
    <w:p w14:paraId="4A34B87B"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db mutatione finium vicariatuum</w:t>
      </w:r>
      <w:r w:rsidRPr="0096104B">
        <w:rPr>
          <w:rFonts w:ascii="Times New Roman" w:hAnsi="Times New Roman" w:cs="Times New Roman"/>
          <w:sz w:val="28"/>
          <w:szCs w:val="28"/>
          <w:lang w:val="en-US"/>
        </w:rPr>
        <w:t>, in AAS38-1946, 11 aprile 1946, p. 359.</w:t>
      </w:r>
    </w:p>
    <w:p w14:paraId="63962B9C"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sedis et nominis mutatione</w:t>
      </w:r>
      <w:r w:rsidRPr="0096104B">
        <w:rPr>
          <w:rFonts w:ascii="Times New Roman" w:hAnsi="Times New Roman" w:cs="Times New Roman"/>
          <w:sz w:val="28"/>
          <w:szCs w:val="28"/>
          <w:lang w:val="en-US"/>
        </w:rPr>
        <w:t>, in AAS39-1947, 13 giugno 1946, p. 66.</w:t>
      </w:r>
    </w:p>
    <w:p w14:paraId="1313F337"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 xml:space="preserve">Decretum, </w:t>
      </w:r>
      <w:r w:rsidRPr="0096104B">
        <w:rPr>
          <w:rFonts w:ascii="Times New Roman" w:hAnsi="Times New Roman" w:cs="Times New Roman"/>
          <w:sz w:val="28"/>
          <w:szCs w:val="28"/>
        </w:rPr>
        <w:t xml:space="preserve">p 2350, 4 luglio1946,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 2, 1942-1958</w:t>
      </w:r>
      <w:r w:rsidRPr="0096104B">
        <w:rPr>
          <w:rFonts w:ascii="Times New Roman" w:hAnsi="Times New Roman" w:cs="Times New Roman"/>
          <w:i/>
          <w:sz w:val="28"/>
          <w:szCs w:val="28"/>
        </w:rPr>
        <w:t>.</w:t>
      </w:r>
    </w:p>
    <w:p w14:paraId="7F663BE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Statuta, </w:t>
      </w:r>
      <w:r w:rsidRPr="0096104B">
        <w:rPr>
          <w:rFonts w:ascii="Times New Roman" w:hAnsi="Times New Roman" w:cs="Times New Roman"/>
          <w:sz w:val="28"/>
          <w:szCs w:val="28"/>
        </w:rPr>
        <w:t xml:space="preserve">pp. 2392-2394, 1946,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 1942-1958.</w:t>
      </w:r>
    </w:p>
    <w:p w14:paraId="1014EC3B"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1947</w:t>
      </w:r>
    </w:p>
    <w:p w14:paraId="0DB748B6"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Decretum: de mutatione tituli delegationi apostolicae</w:t>
      </w:r>
      <w:r w:rsidRPr="0096104B">
        <w:rPr>
          <w:rFonts w:ascii="Times New Roman" w:hAnsi="Times New Roman" w:cs="Times New Roman"/>
          <w:sz w:val="28"/>
          <w:szCs w:val="28"/>
        </w:rPr>
        <w:t>, in AAS39-1947, 2 gennaio 1947, p. 96</w:t>
      </w:r>
      <w:r w:rsidRPr="0096104B">
        <w:rPr>
          <w:rFonts w:ascii="Times New Roman" w:hAnsi="Times New Roman" w:cs="Times New Roman"/>
          <w:i/>
          <w:sz w:val="28"/>
          <w:szCs w:val="28"/>
        </w:rPr>
        <w:t>.</w:t>
      </w:r>
    </w:p>
    <w:p w14:paraId="4B6D2736"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db mutatione finium vicariatuum</w:t>
      </w:r>
      <w:r w:rsidRPr="0096104B">
        <w:rPr>
          <w:rFonts w:ascii="Times New Roman" w:hAnsi="Times New Roman" w:cs="Times New Roman"/>
          <w:sz w:val="28"/>
          <w:szCs w:val="28"/>
          <w:lang w:val="en-US"/>
        </w:rPr>
        <w:t>, in AAS39-1947,9 gennaio 1947, p. 229.</w:t>
      </w:r>
    </w:p>
    <w:p w14:paraId="35862C31"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iurisdictionis ordinaria et translatione</w:t>
      </w:r>
      <w:r w:rsidRPr="0096104B">
        <w:rPr>
          <w:rFonts w:ascii="Times New Roman" w:hAnsi="Times New Roman" w:cs="Times New Roman"/>
          <w:sz w:val="28"/>
          <w:szCs w:val="28"/>
          <w:lang w:val="en-US"/>
        </w:rPr>
        <w:t>, in AAS39-1947,13 gennaio 1947, p. 273.</w:t>
      </w:r>
    </w:p>
    <w:p w14:paraId="775A2B04"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separationis et unionis</w:t>
      </w:r>
      <w:r w:rsidRPr="0096104B">
        <w:rPr>
          <w:rFonts w:ascii="Times New Roman" w:hAnsi="Times New Roman" w:cs="Times New Roman"/>
          <w:sz w:val="28"/>
          <w:szCs w:val="28"/>
          <w:lang w:val="en-US"/>
        </w:rPr>
        <w:t>, in AAS39-1947, 10 aprile 1947, p. 316.</w:t>
      </w:r>
    </w:p>
    <w:p w14:paraId="593122C6"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lastRenderedPageBreak/>
        <w:t xml:space="preserve">Indult., </w:t>
      </w:r>
      <w:r w:rsidRPr="0096104B">
        <w:rPr>
          <w:rFonts w:ascii="Times New Roman" w:hAnsi="Times New Roman" w:cs="Times New Roman"/>
          <w:sz w:val="28"/>
          <w:szCs w:val="28"/>
          <w:lang w:val="en-US"/>
        </w:rPr>
        <w:t xml:space="preserve">p. 2418, 10 aprile 1947,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Vol.2, 1942-1958.</w:t>
      </w:r>
    </w:p>
    <w:p w14:paraId="4D0FFC8A"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delegatio apostolica hucusque australasiae, deinceps « australiae, novae zealandiae et oceaniae »,</w:t>
      </w:r>
      <w:r w:rsidRPr="0096104B">
        <w:rPr>
          <w:rFonts w:ascii="Times New Roman" w:hAnsi="Times New Roman" w:cs="Times New Roman"/>
          <w:sz w:val="28"/>
          <w:szCs w:val="28"/>
          <w:lang w:val="en-US"/>
        </w:rPr>
        <w:t xml:space="preserve"> in AAS39-1947, 8 giugno 1947, p. 501.</w:t>
      </w:r>
    </w:p>
    <w:p w14:paraId="79582893"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Decretum</w:t>
      </w:r>
      <w:r w:rsidRPr="0096104B">
        <w:rPr>
          <w:rFonts w:ascii="Times New Roman" w:hAnsi="Times New Roman" w:cs="Times New Roman"/>
          <w:sz w:val="28"/>
          <w:szCs w:val="28"/>
          <w:lang w:val="en-US"/>
        </w:rPr>
        <w:t xml:space="preserve">, p. 2428, 17 luglio 1947,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 2, 1942-1958</w:t>
      </w:r>
      <w:r w:rsidRPr="0096104B">
        <w:rPr>
          <w:rFonts w:ascii="Times New Roman" w:hAnsi="Times New Roman" w:cs="Times New Roman"/>
          <w:i/>
          <w:sz w:val="28"/>
          <w:szCs w:val="28"/>
          <w:lang w:val="en-US"/>
        </w:rPr>
        <w:t>.</w:t>
      </w:r>
    </w:p>
    <w:p w14:paraId="46198590"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Indult</w:t>
      </w:r>
      <w:r w:rsidRPr="0096104B">
        <w:rPr>
          <w:rFonts w:ascii="Times New Roman" w:hAnsi="Times New Roman" w:cs="Times New Roman"/>
          <w:sz w:val="28"/>
          <w:szCs w:val="28"/>
          <w:lang w:val="en-US"/>
        </w:rPr>
        <w:t xml:space="preserve">., p. 2433, 27 agosto 1947,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 2,</w:t>
      </w:r>
      <w:r w:rsidRPr="0096104B">
        <w:rPr>
          <w:rFonts w:ascii="Times New Roman" w:hAnsi="Times New Roman" w:cs="Times New Roman"/>
          <w:i/>
          <w:sz w:val="28"/>
          <w:szCs w:val="28"/>
          <w:lang w:val="en-US"/>
        </w:rPr>
        <w:t xml:space="preserve"> 1942-1958.</w:t>
      </w:r>
    </w:p>
    <w:p w14:paraId="5C25D062"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Decretum</w:t>
      </w:r>
      <w:r w:rsidRPr="0096104B">
        <w:rPr>
          <w:rFonts w:ascii="Times New Roman" w:hAnsi="Times New Roman" w:cs="Times New Roman"/>
          <w:sz w:val="28"/>
          <w:szCs w:val="28"/>
          <w:lang w:val="en-US"/>
        </w:rPr>
        <w:t xml:space="preserve">, pp. 2241-42, 18 novembre 1947,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Vol.2, 1942-1958</w:t>
      </w:r>
      <w:r w:rsidRPr="0096104B">
        <w:rPr>
          <w:rFonts w:ascii="Times New Roman" w:hAnsi="Times New Roman" w:cs="Times New Roman"/>
          <w:i/>
          <w:sz w:val="28"/>
          <w:szCs w:val="28"/>
          <w:lang w:val="en-US"/>
        </w:rPr>
        <w:t>.</w:t>
      </w:r>
    </w:p>
    <w:p w14:paraId="31B82F19"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 xml:space="preserve">Indult, </w:t>
      </w:r>
      <w:r w:rsidRPr="0096104B">
        <w:rPr>
          <w:rFonts w:ascii="Times New Roman" w:hAnsi="Times New Roman" w:cs="Times New Roman"/>
          <w:sz w:val="28"/>
          <w:szCs w:val="28"/>
          <w:lang w:val="en-US"/>
        </w:rPr>
        <w:t xml:space="preserve">pp. 2442-43, 18 dicembre 1947,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Vol.2, 1942-1958.</w:t>
      </w:r>
    </w:p>
    <w:p w14:paraId="01F3905A"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lang w:val="en-US"/>
        </w:rPr>
      </w:pPr>
      <w:r w:rsidRPr="0096104B">
        <w:rPr>
          <w:rFonts w:ascii="Times New Roman" w:hAnsi="Times New Roman" w:cs="Times New Roman"/>
          <w:b/>
          <w:i/>
          <w:sz w:val="28"/>
          <w:szCs w:val="28"/>
          <w:u w:val="single"/>
          <w:lang w:val="en-US"/>
        </w:rPr>
        <w:t>1948</w:t>
      </w:r>
    </w:p>
    <w:p w14:paraId="77F57DFF"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Decretum,</w:t>
      </w:r>
      <w:r w:rsidRPr="0096104B">
        <w:rPr>
          <w:rFonts w:ascii="Times New Roman" w:hAnsi="Times New Roman" w:cs="Times New Roman"/>
          <w:sz w:val="28"/>
          <w:szCs w:val="28"/>
          <w:lang w:val="en-US"/>
        </w:rPr>
        <w:t xml:space="preserve"> p. 2521, 21 ottobre 1948,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Vol.2</w:t>
      </w:r>
      <w:r w:rsidRPr="0096104B">
        <w:rPr>
          <w:rFonts w:ascii="Times New Roman" w:hAnsi="Times New Roman" w:cs="Times New Roman"/>
          <w:i/>
          <w:sz w:val="28"/>
          <w:szCs w:val="28"/>
          <w:lang w:val="en-US"/>
        </w:rPr>
        <w:t xml:space="preserve">, </w:t>
      </w:r>
      <w:r w:rsidRPr="0096104B">
        <w:rPr>
          <w:rFonts w:ascii="Times New Roman" w:hAnsi="Times New Roman" w:cs="Times New Roman"/>
          <w:sz w:val="28"/>
          <w:szCs w:val="28"/>
          <w:lang w:val="en-US"/>
        </w:rPr>
        <w:t>1942-1958</w:t>
      </w:r>
      <w:r w:rsidRPr="0096104B">
        <w:rPr>
          <w:rFonts w:ascii="Times New Roman" w:hAnsi="Times New Roman" w:cs="Times New Roman"/>
          <w:i/>
          <w:sz w:val="28"/>
          <w:szCs w:val="28"/>
          <w:lang w:val="en-US"/>
        </w:rPr>
        <w:t>.</w:t>
      </w:r>
    </w:p>
    <w:p w14:paraId="1FEF8D69"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db mutatione finium dioecesium ac sedis episcopalis translatione</w:t>
      </w:r>
      <w:r w:rsidRPr="0096104B">
        <w:rPr>
          <w:rFonts w:ascii="Times New Roman" w:hAnsi="Times New Roman" w:cs="Times New Roman"/>
          <w:sz w:val="28"/>
          <w:szCs w:val="28"/>
          <w:lang w:val="en-US"/>
        </w:rPr>
        <w:t>, in AAS40-1948, 8 gennaio 1948, p. 121.</w:t>
      </w:r>
    </w:p>
    <w:p w14:paraId="4410C398"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sz w:val="28"/>
          <w:szCs w:val="28"/>
          <w:lang w:val="en-US"/>
        </w:rPr>
        <w:t>Decretum: vicariatus apostolicus trans wallen sis deinceps «joannesburgensis » appellabitur, in AAS40-1948, 9 aprile 1948, p. 183.</w:t>
      </w:r>
    </w:p>
    <w:p w14:paraId="522C7EE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vicariatuum finium immutatione</w:t>
      </w:r>
      <w:r w:rsidRPr="0096104B">
        <w:rPr>
          <w:rFonts w:ascii="Times New Roman" w:hAnsi="Times New Roman" w:cs="Times New Roman"/>
          <w:sz w:val="28"/>
          <w:szCs w:val="28"/>
        </w:rPr>
        <w:t>, in AAS40-1948, 13 maggio 1948, p. 297.</w:t>
      </w:r>
    </w:p>
    <w:p w14:paraId="100C3D5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consilio generali operis apostolici in hibernia constituendo</w:t>
      </w:r>
      <w:r w:rsidRPr="0096104B">
        <w:rPr>
          <w:rFonts w:ascii="Times New Roman" w:hAnsi="Times New Roman" w:cs="Times New Roman"/>
          <w:sz w:val="28"/>
          <w:szCs w:val="28"/>
        </w:rPr>
        <w:t>, in AAS40-1948, pp. 423-425.</w:t>
      </w:r>
    </w:p>
    <w:p w14:paraId="409A87B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lang w:val="en-US"/>
        </w:rPr>
        <w:t xml:space="preserve">Decretum: territorium insulae wakb vicariatui. </w:t>
      </w:r>
      <w:r w:rsidRPr="0096104B">
        <w:rPr>
          <w:rFonts w:ascii="Times New Roman" w:hAnsi="Times New Roman" w:cs="Times New Roman"/>
          <w:i/>
          <w:sz w:val="28"/>
          <w:szCs w:val="28"/>
        </w:rPr>
        <w:t>Apostolico guamensi adnectitur</w:t>
      </w:r>
      <w:r w:rsidRPr="0096104B">
        <w:rPr>
          <w:rFonts w:ascii="Times New Roman" w:hAnsi="Times New Roman" w:cs="Times New Roman"/>
          <w:sz w:val="28"/>
          <w:szCs w:val="28"/>
        </w:rPr>
        <w:t>, in AAS40-1948, 17 giugno 1948, p. 470.</w:t>
      </w:r>
    </w:p>
    <w:p w14:paraId="0354CE59"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1949</w:t>
      </w:r>
    </w:p>
    <w:p w14:paraId="677CEA85"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vicariatus apostolicus magni nam aqua land deinceps (de keetmanshoop ) appellabitur</w:t>
      </w:r>
      <w:r w:rsidRPr="0096104B">
        <w:rPr>
          <w:rFonts w:ascii="Times New Roman" w:hAnsi="Times New Roman" w:cs="Times New Roman"/>
          <w:sz w:val="28"/>
          <w:szCs w:val="28"/>
          <w:lang w:val="en-US"/>
        </w:rPr>
        <w:t>, in AAS41-1949, 13 gennaio 1949, p. 82.</w:t>
      </w:r>
    </w:p>
    <w:p w14:paraId="3E3DE761"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vicariatus apostolicus db loango deinceps (de pointe-noire ) appellabitur</w:t>
      </w:r>
      <w:r w:rsidRPr="0096104B">
        <w:rPr>
          <w:rFonts w:ascii="Times New Roman" w:hAnsi="Times New Roman" w:cs="Times New Roman"/>
          <w:sz w:val="28"/>
          <w:szCs w:val="28"/>
          <w:lang w:val="en-US"/>
        </w:rPr>
        <w:t>, in AAS41-1949,20 gennaio 1949, p. 148.</w:t>
      </w:r>
    </w:p>
    <w:p w14:paraId="67E256C4"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abstinentia et ieiunii lege observanda</w:t>
      </w:r>
      <w:r w:rsidRPr="0096104B">
        <w:rPr>
          <w:rFonts w:ascii="Times New Roman" w:hAnsi="Times New Roman" w:cs="Times New Roman"/>
          <w:sz w:val="28"/>
          <w:szCs w:val="28"/>
          <w:lang w:val="en-US"/>
        </w:rPr>
        <w:t>, in AAS41-1949, 28 gennaio 1949, p. 32.</w:t>
      </w:r>
    </w:p>
    <w:p w14:paraId="712797EF"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dioecesis de salem clero saeculari indi genae committitur</w:t>
      </w:r>
      <w:r w:rsidRPr="0096104B">
        <w:rPr>
          <w:rFonts w:ascii="Times New Roman" w:hAnsi="Times New Roman" w:cs="Times New Roman"/>
          <w:sz w:val="28"/>
          <w:szCs w:val="28"/>
          <w:lang w:val="en-US"/>
        </w:rPr>
        <w:t>, in AAS41-1949, 3 marzo 1949, p. 464.</w:t>
      </w:r>
    </w:p>
    <w:p w14:paraId="16FC99E6"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lastRenderedPageBreak/>
        <w:t>Decretum: vicariatus apostolicus de urubamba et matre dei deinceps ( portus maldon adi ) appellabitur</w:t>
      </w:r>
      <w:r w:rsidRPr="0096104B">
        <w:rPr>
          <w:rFonts w:ascii="Times New Roman" w:hAnsi="Times New Roman" w:cs="Times New Roman"/>
          <w:sz w:val="28"/>
          <w:szCs w:val="28"/>
          <w:lang w:val="en-US"/>
        </w:rPr>
        <w:t>, in AAS41-1949, 10 marzo 1949, p. 429.</w:t>
      </w:r>
    </w:p>
    <w:p w14:paraId="73A8B995"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dioecesis poonensis clero saeculari indigenae committitur</w:t>
      </w:r>
      <w:r w:rsidRPr="0096104B">
        <w:rPr>
          <w:rFonts w:ascii="Times New Roman" w:hAnsi="Times New Roman" w:cs="Times New Roman"/>
          <w:sz w:val="28"/>
          <w:szCs w:val="28"/>
          <w:lang w:val="en-US"/>
        </w:rPr>
        <w:t>, in AAS41-1949, maggio 1949, p. 512.</w:t>
      </w:r>
    </w:p>
    <w:p w14:paraId="2AE48FB4"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Normae</w:t>
      </w:r>
      <w:r w:rsidRPr="0096104B">
        <w:rPr>
          <w:rFonts w:ascii="Times New Roman" w:hAnsi="Times New Roman" w:cs="Times New Roman"/>
          <w:sz w:val="28"/>
          <w:szCs w:val="28"/>
        </w:rPr>
        <w:t xml:space="preserve">, pp. 2604-2605, 8 luglio 1949,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1942-1958</w:t>
      </w:r>
      <w:r w:rsidRPr="0096104B">
        <w:rPr>
          <w:rFonts w:ascii="Times New Roman" w:hAnsi="Times New Roman" w:cs="Times New Roman"/>
          <w:i/>
          <w:sz w:val="28"/>
          <w:szCs w:val="28"/>
        </w:rPr>
        <w:t>.</w:t>
      </w:r>
    </w:p>
    <w:p w14:paraId="1D69A88F"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 xml:space="preserve">Decretum, </w:t>
      </w:r>
      <w:r w:rsidRPr="0096104B">
        <w:rPr>
          <w:rFonts w:ascii="Times New Roman" w:hAnsi="Times New Roman" w:cs="Times New Roman"/>
          <w:sz w:val="28"/>
          <w:szCs w:val="28"/>
        </w:rPr>
        <w:t xml:space="preserve">pp. 2613-2615, 14 luglio 1949,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1942-1958</w:t>
      </w:r>
      <w:r w:rsidRPr="0096104B">
        <w:rPr>
          <w:rFonts w:ascii="Times New Roman" w:hAnsi="Times New Roman" w:cs="Times New Roman"/>
          <w:i/>
          <w:sz w:val="28"/>
          <w:szCs w:val="28"/>
        </w:rPr>
        <w:t>.</w:t>
      </w:r>
    </w:p>
    <w:p w14:paraId="79744A51"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1950</w:t>
      </w:r>
    </w:p>
    <w:p w14:paraId="7D53F37E"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 xml:space="preserve">Facultas, </w:t>
      </w:r>
      <w:r w:rsidRPr="0096104B">
        <w:rPr>
          <w:rFonts w:ascii="Times New Roman" w:hAnsi="Times New Roman" w:cs="Times New Roman"/>
          <w:sz w:val="28"/>
          <w:szCs w:val="28"/>
        </w:rPr>
        <w:t xml:space="preserve">p. 2779, 15 settembre 1950,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w:t>
      </w:r>
      <w:r w:rsidRPr="0096104B">
        <w:rPr>
          <w:rFonts w:ascii="Times New Roman" w:hAnsi="Times New Roman" w:cs="Times New Roman"/>
          <w:sz w:val="28"/>
          <w:szCs w:val="28"/>
        </w:rPr>
        <w:t>1942-1958</w:t>
      </w:r>
      <w:r w:rsidRPr="0096104B">
        <w:rPr>
          <w:rFonts w:ascii="Times New Roman" w:hAnsi="Times New Roman" w:cs="Times New Roman"/>
          <w:i/>
          <w:sz w:val="28"/>
          <w:szCs w:val="28"/>
        </w:rPr>
        <w:t>.</w:t>
      </w:r>
    </w:p>
    <w:p w14:paraId="18B1228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Lit.circ, </w:t>
      </w:r>
      <w:r w:rsidRPr="0096104B">
        <w:rPr>
          <w:rFonts w:ascii="Times New Roman" w:hAnsi="Times New Roman" w:cs="Times New Roman"/>
          <w:sz w:val="28"/>
          <w:szCs w:val="28"/>
        </w:rPr>
        <w:t xml:space="preserve">pp. 2841-2842, 14 dicembre 1950,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 1942-1958.</w:t>
      </w:r>
    </w:p>
    <w:p w14:paraId="5E869BB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db vicariatuum finium mutatione</w:t>
      </w:r>
      <w:r w:rsidRPr="0096104B">
        <w:rPr>
          <w:rFonts w:ascii="Times New Roman" w:hAnsi="Times New Roman" w:cs="Times New Roman"/>
          <w:sz w:val="28"/>
          <w:szCs w:val="28"/>
        </w:rPr>
        <w:t>, in AAS42-1950, 2 febbraio 1950, p. 445.</w:t>
      </w:r>
    </w:p>
    <w:p w14:paraId="6D0F986F"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vicariatus apostolicus liberiensis deinceps ( monroviensis ) appellabitur</w:t>
      </w:r>
      <w:r w:rsidRPr="0096104B">
        <w:rPr>
          <w:rFonts w:ascii="Times New Roman" w:hAnsi="Times New Roman" w:cs="Times New Roman"/>
          <w:sz w:val="28"/>
          <w:szCs w:val="28"/>
          <w:lang w:val="en-US"/>
        </w:rPr>
        <w:t>, in AAS42-1950, 2 febbraio 1950, p. 603.</w:t>
      </w:r>
    </w:p>
    <w:p w14:paraId="0A57D0F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vicariatuum finium immutatione</w:t>
      </w:r>
      <w:r w:rsidRPr="0096104B">
        <w:rPr>
          <w:rFonts w:ascii="Times New Roman" w:hAnsi="Times New Roman" w:cs="Times New Roman"/>
          <w:sz w:val="28"/>
          <w:szCs w:val="28"/>
        </w:rPr>
        <w:t>, in AAS42-1950, 10 marzo 1950, p. 646.</w:t>
      </w:r>
    </w:p>
    <w:p w14:paraId="65F74F5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dioecesium mutatione</w:t>
      </w:r>
      <w:r w:rsidRPr="0096104B">
        <w:rPr>
          <w:rFonts w:ascii="Times New Roman" w:hAnsi="Times New Roman" w:cs="Times New Roman"/>
          <w:sz w:val="28"/>
          <w:szCs w:val="28"/>
        </w:rPr>
        <w:t>, in AAS42-1950, 5 maggio 1950, p. 740.</w:t>
      </w:r>
    </w:p>
    <w:p w14:paraId="5BABB9B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dioecesium mutatione,</w:t>
      </w:r>
      <w:r w:rsidRPr="0096104B">
        <w:rPr>
          <w:rFonts w:ascii="Times New Roman" w:hAnsi="Times New Roman" w:cs="Times New Roman"/>
          <w:sz w:val="28"/>
          <w:szCs w:val="28"/>
        </w:rPr>
        <w:t xml:space="preserve"> in AAS42-1950, 5 maggio 1950, p. 831.</w:t>
      </w:r>
    </w:p>
    <w:p w14:paraId="6601482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dioecesium mutatione</w:t>
      </w:r>
      <w:r w:rsidRPr="0096104B">
        <w:rPr>
          <w:rFonts w:ascii="Times New Roman" w:hAnsi="Times New Roman" w:cs="Times New Roman"/>
          <w:sz w:val="28"/>
          <w:szCs w:val="28"/>
        </w:rPr>
        <w:t>, in AAS42-1950, 5 maggio 1950, p. 889.</w:t>
      </w:r>
    </w:p>
    <w:p w14:paraId="5A3AA8E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praefectura apostolica de kodok deinceps malakalensis  appellabitur</w:t>
      </w:r>
      <w:r w:rsidRPr="0096104B">
        <w:rPr>
          <w:rFonts w:ascii="Times New Roman" w:hAnsi="Times New Roman" w:cs="Times New Roman"/>
          <w:sz w:val="28"/>
          <w:szCs w:val="28"/>
        </w:rPr>
        <w:t>, in AAS42-1950, 14 luglio 1950, p. 310.</w:t>
      </w:r>
    </w:p>
    <w:p w14:paraId="176DCB5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nominis ordinariatuum in India</w:t>
      </w:r>
      <w:r w:rsidRPr="0096104B">
        <w:rPr>
          <w:rFonts w:ascii="Times New Roman" w:hAnsi="Times New Roman" w:cs="Times New Roman"/>
          <w:sz w:val="28"/>
          <w:szCs w:val="28"/>
        </w:rPr>
        <w:t>, in AAS43-1951, 1 ottobre 1950, p. 127.</w:t>
      </w:r>
    </w:p>
    <w:p w14:paraId="6A1E3E90"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1951</w:t>
      </w:r>
    </w:p>
    <w:p w14:paraId="25530D7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Decretum: de mutatione nominis ordinariatuum in India</w:t>
      </w:r>
      <w:r w:rsidRPr="0096104B">
        <w:rPr>
          <w:rFonts w:ascii="Times New Roman" w:hAnsi="Times New Roman" w:cs="Times New Roman"/>
          <w:sz w:val="28"/>
          <w:szCs w:val="28"/>
        </w:rPr>
        <w:t>, in AAS43-1951, 1 ottobre 1950, p. 127.</w:t>
      </w:r>
    </w:p>
    <w:p w14:paraId="7E38E22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vicariatus apostolicus nili aequatorialis, deinceps ( guluensis ) appellabitur</w:t>
      </w:r>
      <w:r w:rsidRPr="0096104B">
        <w:rPr>
          <w:rFonts w:ascii="Times New Roman" w:hAnsi="Times New Roman" w:cs="Times New Roman"/>
          <w:sz w:val="28"/>
          <w:szCs w:val="28"/>
        </w:rPr>
        <w:t>, in AAS43-1951, 1 dicembre 1950, p.  218.</w:t>
      </w:r>
    </w:p>
    <w:p w14:paraId="6747D98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vicariatuum apostolicorum</w:t>
      </w:r>
      <w:r w:rsidRPr="0096104B">
        <w:rPr>
          <w:rFonts w:ascii="Times New Roman" w:hAnsi="Times New Roman" w:cs="Times New Roman"/>
          <w:sz w:val="28"/>
          <w:szCs w:val="28"/>
        </w:rPr>
        <w:t>, in AAS43-1951,24 maggio 1950, p. 284.</w:t>
      </w:r>
    </w:p>
    <w:p w14:paraId="4A715CF9"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Facultas</w:t>
      </w:r>
      <w:r w:rsidRPr="0096104B">
        <w:rPr>
          <w:rFonts w:ascii="Times New Roman" w:hAnsi="Times New Roman" w:cs="Times New Roman"/>
          <w:sz w:val="28"/>
          <w:szCs w:val="28"/>
        </w:rPr>
        <w:t xml:space="preserve">, pp. 2851-2858, 1 gennaio 1951,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1942-1958.</w:t>
      </w:r>
    </w:p>
    <w:p w14:paraId="7A088E2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akchidioecesium</w:t>
      </w:r>
      <w:r w:rsidRPr="0096104B">
        <w:rPr>
          <w:rFonts w:ascii="Times New Roman" w:hAnsi="Times New Roman" w:cs="Times New Roman"/>
          <w:sz w:val="28"/>
          <w:szCs w:val="28"/>
        </w:rPr>
        <w:t>, in AAS43-1951, 8 febbraio 1951, p. 384.</w:t>
      </w:r>
    </w:p>
    <w:p w14:paraId="35416161"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vicariatus apostolicus de chaco deinceps cuevensis appellabitur</w:t>
      </w:r>
      <w:r w:rsidRPr="0096104B">
        <w:rPr>
          <w:rFonts w:ascii="Times New Roman" w:hAnsi="Times New Roman" w:cs="Times New Roman"/>
          <w:sz w:val="28"/>
          <w:szCs w:val="28"/>
        </w:rPr>
        <w:t>, in AAS43-1951, 8 febbraio 1951, p. 481.</w:t>
      </w:r>
    </w:p>
    <w:p w14:paraId="2841948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pp. 2867-2868, 21 febbraio 1951,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1942-1958.</w:t>
      </w:r>
    </w:p>
    <w:p w14:paraId="76EC44D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Indult</w:t>
      </w:r>
      <w:r w:rsidRPr="0096104B">
        <w:rPr>
          <w:rFonts w:ascii="Times New Roman" w:hAnsi="Times New Roman" w:cs="Times New Roman"/>
          <w:sz w:val="28"/>
          <w:szCs w:val="28"/>
        </w:rPr>
        <w:t xml:space="preserve">., pp. 2881-2882, 15 marzo 1951,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1942-1958.</w:t>
      </w:r>
    </w:p>
    <w:p w14:paraId="611A4D6A"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Indult</w:t>
      </w:r>
      <w:r w:rsidRPr="0096104B">
        <w:rPr>
          <w:rFonts w:ascii="Times New Roman" w:hAnsi="Times New Roman" w:cs="Times New Roman"/>
          <w:sz w:val="28"/>
          <w:szCs w:val="28"/>
        </w:rPr>
        <w:t xml:space="preserve">., p. 2882, 15 marzo,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1942-1958</w:t>
      </w:r>
      <w:r w:rsidRPr="0096104B">
        <w:rPr>
          <w:rFonts w:ascii="Times New Roman" w:hAnsi="Times New Roman" w:cs="Times New Roman"/>
          <w:i/>
          <w:sz w:val="28"/>
          <w:szCs w:val="28"/>
        </w:rPr>
        <w:t>.</w:t>
      </w:r>
    </w:p>
    <w:p w14:paraId="4918BCD7"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Lit. Circ</w:t>
      </w:r>
      <w:r w:rsidRPr="0096104B">
        <w:rPr>
          <w:rFonts w:ascii="Times New Roman" w:hAnsi="Times New Roman" w:cs="Times New Roman"/>
          <w:sz w:val="28"/>
          <w:szCs w:val="28"/>
        </w:rPr>
        <w:t xml:space="preserve">, pp. 2883-2884, 21 marzo 1951,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1942-1958</w:t>
      </w:r>
      <w:r w:rsidRPr="0096104B">
        <w:rPr>
          <w:rFonts w:ascii="Times New Roman" w:hAnsi="Times New Roman" w:cs="Times New Roman"/>
          <w:i/>
          <w:sz w:val="28"/>
          <w:szCs w:val="28"/>
        </w:rPr>
        <w:t>.</w:t>
      </w:r>
    </w:p>
    <w:p w14:paraId="55115C1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sedes cathedralis portaugu stana in urbem de port pirie transfertur ac deinceps portus piriensis appellabitur</w:t>
      </w:r>
      <w:r w:rsidRPr="0096104B">
        <w:rPr>
          <w:rFonts w:ascii="Times New Roman" w:hAnsi="Times New Roman" w:cs="Times New Roman"/>
          <w:sz w:val="28"/>
          <w:szCs w:val="28"/>
        </w:rPr>
        <w:t>, in AAS43-1951, 7 giugno 1951, p. 808.</w:t>
      </w:r>
    </w:p>
    <w:p w14:paraId="160601D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vicariatus apostolicus de vinhclero saeculari indosinensi concreditur</w:t>
      </w:r>
      <w:r w:rsidRPr="0096104B">
        <w:rPr>
          <w:rFonts w:ascii="Times New Roman" w:hAnsi="Times New Roman" w:cs="Times New Roman"/>
          <w:sz w:val="28"/>
          <w:szCs w:val="28"/>
        </w:rPr>
        <w:t>, 14 giugno 1951, in AAS43-1951, p. 865.</w:t>
      </w:r>
    </w:p>
    <w:p w14:paraId="7F80A29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db finium dioecesium mutatione</w:t>
      </w:r>
      <w:r w:rsidRPr="0096104B">
        <w:rPr>
          <w:rFonts w:ascii="Times New Roman" w:hAnsi="Times New Roman" w:cs="Times New Roman"/>
          <w:sz w:val="28"/>
          <w:szCs w:val="28"/>
        </w:rPr>
        <w:t>, in AAS45-1952, 21 giugno 1951, p. 45.</w:t>
      </w:r>
    </w:p>
    <w:p w14:paraId="04EB4C4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w:t>
      </w:r>
      <w:r w:rsidRPr="0096104B">
        <w:rPr>
          <w:rFonts w:ascii="Times New Roman" w:hAnsi="Times New Roman" w:cs="Times New Roman"/>
          <w:sz w:val="28"/>
          <w:szCs w:val="28"/>
        </w:rPr>
        <w:t xml:space="preserve">, p. 2945, 7 dicembre 1951,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1942-1958.</w:t>
      </w:r>
    </w:p>
    <w:p w14:paraId="51D9571E"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1952</w:t>
      </w:r>
    </w:p>
    <w:p w14:paraId="19EFFD4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vicariatuum apostolicorum finium mutatione</w:t>
      </w:r>
      <w:r w:rsidRPr="0096104B">
        <w:rPr>
          <w:rFonts w:ascii="Times New Roman" w:hAnsi="Times New Roman" w:cs="Times New Roman"/>
          <w:sz w:val="28"/>
          <w:szCs w:val="28"/>
        </w:rPr>
        <w:t>, in AAS45-1952,13 dicembre 1951, p. 234.</w:t>
      </w:r>
    </w:p>
    <w:p w14:paraId="26D37AE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Decretum: vicariatuum apostolicorum zamorensis, de méndez ac napensis et praefecturarum apostolicarum de canelos ac s. Michaelis de sucumbios fines statuuntur</w:t>
      </w:r>
      <w:r w:rsidRPr="0096104B">
        <w:rPr>
          <w:rFonts w:ascii="Times New Roman" w:hAnsi="Times New Roman" w:cs="Times New Roman"/>
          <w:sz w:val="28"/>
          <w:szCs w:val="28"/>
        </w:rPr>
        <w:t>, in AAS45-1952, aprile 1951, pp. 283-285.</w:t>
      </w:r>
    </w:p>
    <w:p w14:paraId="1A1EFD6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db finium dioecesium mutatione</w:t>
      </w:r>
      <w:r w:rsidRPr="0096104B">
        <w:rPr>
          <w:rFonts w:ascii="Times New Roman" w:hAnsi="Times New Roman" w:cs="Times New Roman"/>
          <w:sz w:val="28"/>
          <w:szCs w:val="28"/>
        </w:rPr>
        <w:t>, in AAS45-1952, 21 giugno 1951, p. 45.</w:t>
      </w:r>
    </w:p>
    <w:p w14:paraId="31EB700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vicariatuum apostolicorum definitione</w:t>
      </w:r>
      <w:r w:rsidRPr="0096104B">
        <w:rPr>
          <w:rFonts w:ascii="Times New Roman" w:hAnsi="Times New Roman" w:cs="Times New Roman"/>
          <w:sz w:val="28"/>
          <w:szCs w:val="28"/>
        </w:rPr>
        <w:t>, in AAS45-1952,10 gennaio 1952, p. 435.</w:t>
      </w:r>
    </w:p>
    <w:p w14:paraId="30362ED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db mutatione finium dioecesium</w:t>
      </w:r>
      <w:r w:rsidRPr="0096104B">
        <w:rPr>
          <w:rFonts w:ascii="Times New Roman" w:hAnsi="Times New Roman" w:cs="Times New Roman"/>
          <w:sz w:val="28"/>
          <w:szCs w:val="28"/>
        </w:rPr>
        <w:t>, in AAS45-1952, febbraio 1952, p. 595.</w:t>
      </w:r>
    </w:p>
    <w:p w14:paraId="29B0981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vicariatuum apostolicorum</w:t>
      </w:r>
      <w:r w:rsidRPr="0096104B">
        <w:rPr>
          <w:rFonts w:ascii="Times New Roman" w:hAnsi="Times New Roman" w:cs="Times New Roman"/>
          <w:sz w:val="28"/>
          <w:szCs w:val="28"/>
        </w:rPr>
        <w:t>, in AAS45-1952, 20 marzo 1952, p. 633.</w:t>
      </w:r>
    </w:p>
    <w:p w14:paraId="76C7B951"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sz w:val="28"/>
          <w:szCs w:val="28"/>
        </w:rPr>
        <w:t xml:space="preserve">Resp., p. 3030, 4 aprile 1952,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 1942-1958</w:t>
      </w:r>
      <w:r w:rsidRPr="0096104B">
        <w:rPr>
          <w:rFonts w:ascii="Times New Roman" w:hAnsi="Times New Roman" w:cs="Times New Roman"/>
          <w:i/>
          <w:sz w:val="28"/>
          <w:szCs w:val="28"/>
        </w:rPr>
        <w:t>.</w:t>
      </w:r>
    </w:p>
    <w:p w14:paraId="671D482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Notif., pp. 3031-3032, 19 aprile 1952,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 1942-1958.</w:t>
      </w:r>
    </w:p>
    <w:p w14:paraId="696586A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nominis mutatione</w:t>
      </w:r>
      <w:r w:rsidRPr="0096104B">
        <w:rPr>
          <w:rFonts w:ascii="Times New Roman" w:hAnsi="Times New Roman" w:cs="Times New Roman"/>
          <w:sz w:val="28"/>
          <w:szCs w:val="28"/>
        </w:rPr>
        <w:t>, in AAS45-1952,15 maggio 1952, p. 748.</w:t>
      </w:r>
    </w:p>
    <w:p w14:paraId="76ECE03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nominum vicariatuum apostolicorum</w:t>
      </w:r>
      <w:r w:rsidRPr="0096104B">
        <w:rPr>
          <w:rFonts w:ascii="Times New Roman" w:hAnsi="Times New Roman" w:cs="Times New Roman"/>
          <w:sz w:val="28"/>
          <w:szCs w:val="28"/>
        </w:rPr>
        <w:t>, in AAS45-1952, 15 maggio 1952, p. 882.</w:t>
      </w:r>
    </w:p>
    <w:p w14:paraId="78623C0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Instructio de apto modo pro missionibus stipem corrogandi</w:t>
      </w:r>
      <w:r w:rsidRPr="0096104B">
        <w:rPr>
          <w:rFonts w:ascii="Times New Roman" w:hAnsi="Times New Roman" w:cs="Times New Roman"/>
          <w:sz w:val="28"/>
          <w:szCs w:val="28"/>
        </w:rPr>
        <w:t>, in AAS45-1952, 29 giugno 1952, pp. 549-551.</w:t>
      </w:r>
    </w:p>
    <w:p w14:paraId="6BA5AC3C"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Notif</w:t>
      </w:r>
      <w:r w:rsidRPr="0096104B">
        <w:rPr>
          <w:rFonts w:ascii="Times New Roman" w:hAnsi="Times New Roman" w:cs="Times New Roman"/>
          <w:sz w:val="28"/>
          <w:szCs w:val="28"/>
        </w:rPr>
        <w:t xml:space="preserve">., p. 3096, 27 novembre 1952,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 1942-1958</w:t>
      </w:r>
      <w:r w:rsidRPr="0096104B">
        <w:rPr>
          <w:rFonts w:ascii="Times New Roman" w:hAnsi="Times New Roman" w:cs="Times New Roman"/>
          <w:i/>
          <w:sz w:val="28"/>
          <w:szCs w:val="28"/>
        </w:rPr>
        <w:t>.</w:t>
      </w:r>
    </w:p>
    <w:p w14:paraId="4DCD75F4"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1953</w:t>
      </w:r>
    </w:p>
    <w:p w14:paraId="5E32EAB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dismembrationis et unionis</w:t>
      </w:r>
      <w:r w:rsidRPr="0096104B">
        <w:rPr>
          <w:rFonts w:ascii="Times New Roman" w:hAnsi="Times New Roman" w:cs="Times New Roman"/>
          <w:sz w:val="28"/>
          <w:szCs w:val="28"/>
        </w:rPr>
        <w:t>, in AAS45-1953,2 febbario 1953, p. 187.</w:t>
      </w:r>
    </w:p>
    <w:p w14:paraId="6263E0A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designatio tribunalis pro appellatione</w:t>
      </w:r>
      <w:r w:rsidRPr="0096104B">
        <w:rPr>
          <w:rFonts w:ascii="Times New Roman" w:hAnsi="Times New Roman" w:cs="Times New Roman"/>
          <w:sz w:val="28"/>
          <w:szCs w:val="28"/>
        </w:rPr>
        <w:t>, in AAS45-1953,20 febbraio 1953, p. 562.</w:t>
      </w:r>
    </w:p>
    <w:p w14:paraId="2CAE1C8B"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vicariatus apostolicus birmaniae meridionalis deinceps (De rangoo )  nuncupabitur</w:t>
      </w:r>
      <w:r w:rsidRPr="0096104B">
        <w:rPr>
          <w:rFonts w:ascii="Times New Roman" w:hAnsi="Times New Roman" w:cs="Times New Roman"/>
          <w:sz w:val="28"/>
          <w:szCs w:val="28"/>
        </w:rPr>
        <w:t>, in AAS45-1953, 7 marzo 1953, p. 619.</w:t>
      </w:r>
    </w:p>
    <w:p w14:paraId="2E89CAFA"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praefectura apostolica insularum bermudarum delegationi apostolicae in britannia adsignatur</w:t>
      </w:r>
      <w:r w:rsidRPr="0096104B">
        <w:rPr>
          <w:rFonts w:ascii="Times New Roman" w:hAnsi="Times New Roman" w:cs="Times New Roman"/>
          <w:sz w:val="28"/>
          <w:szCs w:val="28"/>
        </w:rPr>
        <w:t>, in AAS45-1953, 24 marzo 1953, p. 810.</w:t>
      </w:r>
    </w:p>
    <w:p w14:paraId="773CA16C"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1954</w:t>
      </w:r>
    </w:p>
    <w:p w14:paraId="6C09ACCF"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lastRenderedPageBreak/>
        <w:t>Decretum: vicariatus apostolicus costermanspolitanus deinceps   bukavuensis  appellabitur</w:t>
      </w:r>
      <w:r w:rsidRPr="0096104B">
        <w:rPr>
          <w:rFonts w:ascii="Times New Roman" w:hAnsi="Times New Roman" w:cs="Times New Roman"/>
          <w:sz w:val="28"/>
          <w:szCs w:val="28"/>
          <w:lang w:val="en-US"/>
        </w:rPr>
        <w:t>, in AAS46-1954, 6 gennaio 1954, p. 148.</w:t>
      </w:r>
    </w:p>
    <w:p w14:paraId="4A3775B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w:t>
      </w:r>
      <w:r w:rsidRPr="0096104B">
        <w:rPr>
          <w:rFonts w:ascii="Times New Roman" w:hAnsi="Times New Roman" w:cs="Times New Roman"/>
          <w:sz w:val="28"/>
          <w:szCs w:val="28"/>
        </w:rPr>
        <w:t xml:space="preserve">., pp. 3246-3247, 26 gennaio 1954,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 1942-1958.</w:t>
      </w:r>
    </w:p>
    <w:p w14:paraId="4CABB257"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vicariatuum mutatione</w:t>
      </w:r>
      <w:r w:rsidRPr="0096104B">
        <w:rPr>
          <w:rFonts w:ascii="Times New Roman" w:hAnsi="Times New Roman" w:cs="Times New Roman"/>
          <w:sz w:val="28"/>
          <w:szCs w:val="28"/>
        </w:rPr>
        <w:t>, in AAS46-1954, 26 febbraio 1954, p. 421.</w:t>
      </w:r>
    </w:p>
    <w:p w14:paraId="71E58AAB"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dismembrationis et unionis</w:t>
      </w:r>
      <w:r w:rsidRPr="0096104B">
        <w:rPr>
          <w:rFonts w:ascii="Times New Roman" w:hAnsi="Times New Roman" w:cs="Times New Roman"/>
          <w:sz w:val="28"/>
          <w:szCs w:val="28"/>
        </w:rPr>
        <w:t>, in AAS46-1954, 4 giugno 1954, p. 461.</w:t>
      </w:r>
    </w:p>
    <w:p w14:paraId="0E05C4E0"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mutatione</w:t>
      </w:r>
      <w:r w:rsidRPr="0096104B">
        <w:rPr>
          <w:rFonts w:ascii="Times New Roman" w:hAnsi="Times New Roman" w:cs="Times New Roman"/>
          <w:sz w:val="28"/>
          <w:szCs w:val="28"/>
        </w:rPr>
        <w:t>, in AAS46-1954, 30 luglio 1954, p. 550.</w:t>
      </w:r>
    </w:p>
    <w:p w14:paraId="0E5E7781"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b/>
          <w:i/>
          <w:sz w:val="28"/>
          <w:szCs w:val="28"/>
          <w:u w:val="single"/>
          <w:lang w:val="en-US"/>
        </w:rPr>
      </w:pPr>
      <w:r w:rsidRPr="0096104B">
        <w:rPr>
          <w:rFonts w:ascii="Times New Roman" w:hAnsi="Times New Roman" w:cs="Times New Roman"/>
          <w:b/>
          <w:i/>
          <w:sz w:val="28"/>
          <w:szCs w:val="28"/>
          <w:u w:val="single"/>
          <w:lang w:val="en-US"/>
        </w:rPr>
        <w:t>1955</w:t>
      </w:r>
    </w:p>
    <w:p w14:paraId="591B5732"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w:t>
      </w:r>
      <w:r w:rsidRPr="0096104B">
        <w:rPr>
          <w:rFonts w:ascii="Times New Roman" w:hAnsi="Times New Roman" w:cs="Times New Roman"/>
          <w:sz w:val="28"/>
          <w:szCs w:val="28"/>
          <w:lang w:val="en-US"/>
        </w:rPr>
        <w:t xml:space="preserve"> in AAS47-1955, 1 febbraio 1952, p. 247.</w:t>
      </w:r>
    </w:p>
    <w:p w14:paraId="08ECF002"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finium mutatione</w:t>
      </w:r>
      <w:r w:rsidRPr="0096104B">
        <w:rPr>
          <w:rFonts w:ascii="Times New Roman" w:hAnsi="Times New Roman" w:cs="Times New Roman"/>
          <w:sz w:val="28"/>
          <w:szCs w:val="28"/>
          <w:lang w:val="en-US"/>
        </w:rPr>
        <w:t>, in AAS47-1955, 20 dicembre 1954, p. 301.</w:t>
      </w:r>
    </w:p>
    <w:p w14:paraId="04C04436"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vicariatus apostolicus de koango deinceps kikuitensis appellabitur</w:t>
      </w:r>
      <w:r w:rsidRPr="0096104B">
        <w:rPr>
          <w:rFonts w:ascii="Times New Roman" w:hAnsi="Times New Roman" w:cs="Times New Roman"/>
          <w:sz w:val="28"/>
          <w:szCs w:val="28"/>
          <w:lang w:val="en-US"/>
        </w:rPr>
        <w:t>, in AAS47-1955, 21 febbraio 1955, p. 560.</w:t>
      </w:r>
    </w:p>
    <w:p w14:paraId="5F058A08"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finium dioecesium mutatione</w:t>
      </w:r>
      <w:r w:rsidRPr="0096104B">
        <w:rPr>
          <w:rFonts w:ascii="Times New Roman" w:hAnsi="Times New Roman" w:cs="Times New Roman"/>
          <w:sz w:val="28"/>
          <w:szCs w:val="28"/>
          <w:lang w:val="en-US"/>
        </w:rPr>
        <w:t>, in AAS47-1955, 21 febbraio 1955, p. 617.</w:t>
      </w:r>
    </w:p>
    <w:p w14:paraId="728D3A82" w14:textId="77777777" w:rsidR="00B3403A" w:rsidRPr="0096104B" w:rsidRDefault="00B3403A" w:rsidP="00484F9B">
      <w:pPr>
        <w:tabs>
          <w:tab w:val="left" w:pos="8837"/>
        </w:tabs>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dioecesium limitibus</w:t>
      </w:r>
      <w:r w:rsidRPr="0096104B">
        <w:rPr>
          <w:rFonts w:ascii="Times New Roman" w:hAnsi="Times New Roman" w:cs="Times New Roman"/>
          <w:sz w:val="28"/>
          <w:szCs w:val="28"/>
          <w:lang w:val="en-US"/>
        </w:rPr>
        <w:t>, in AAS47-1955, 14 giugno 1955, p. 154.</w:t>
      </w:r>
    </w:p>
    <w:p w14:paraId="2F0A72C1"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mutatione finium dioecesium</w:t>
      </w:r>
      <w:r w:rsidRPr="0096104B">
        <w:rPr>
          <w:rFonts w:ascii="Times New Roman" w:hAnsi="Times New Roman" w:cs="Times New Roman"/>
          <w:sz w:val="28"/>
          <w:szCs w:val="28"/>
          <w:lang w:val="en-US"/>
        </w:rPr>
        <w:t>, in AAS47-1955, 8 marzo 1955, p. 696.</w:t>
      </w:r>
    </w:p>
    <w:p w14:paraId="3EE134C0"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sz w:val="28"/>
          <w:szCs w:val="28"/>
          <w:lang w:val="en-US"/>
        </w:rPr>
        <w:t>Decretum de mutatione finium dioecesium, in AAS47-1955, 8 maggio 1955, p. 858.</w:t>
      </w:r>
    </w:p>
    <w:p w14:paraId="60B16D09"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dismembrationis et unionis</w:t>
      </w:r>
      <w:r w:rsidRPr="0096104B">
        <w:rPr>
          <w:rFonts w:ascii="Times New Roman" w:hAnsi="Times New Roman" w:cs="Times New Roman"/>
          <w:sz w:val="28"/>
          <w:szCs w:val="28"/>
          <w:lang w:val="en-US"/>
        </w:rPr>
        <w:t>, in AAS47-1955, 20 maggio 1955, p. 789.</w:t>
      </w:r>
    </w:p>
    <w:p w14:paraId="11B0D075"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dh finium designatione praefecturae apostolicae</w:t>
      </w:r>
      <w:r w:rsidRPr="0096104B">
        <w:rPr>
          <w:rFonts w:ascii="Times New Roman" w:hAnsi="Times New Roman" w:cs="Times New Roman"/>
          <w:sz w:val="28"/>
          <w:szCs w:val="28"/>
          <w:lang w:val="en-US"/>
        </w:rPr>
        <w:t>, in AAS48-1956,18 novembre 1955, p. 527.</w:t>
      </w:r>
    </w:p>
    <w:p w14:paraId="4739D858"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1956</w:t>
      </w:r>
    </w:p>
    <w:p w14:paraId="112D788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dh finium designatione praefecturae apostolicae</w:t>
      </w:r>
      <w:r w:rsidRPr="0096104B">
        <w:rPr>
          <w:rFonts w:ascii="Times New Roman" w:hAnsi="Times New Roman" w:cs="Times New Roman"/>
          <w:sz w:val="28"/>
          <w:szCs w:val="28"/>
        </w:rPr>
        <w:t>, in AAS48-1956, 18 novembre 1955, p. 527.</w:t>
      </w:r>
    </w:p>
    <w:p w14:paraId="187543E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dioecesium</w:t>
      </w:r>
      <w:r w:rsidRPr="0096104B">
        <w:rPr>
          <w:rFonts w:ascii="Times New Roman" w:hAnsi="Times New Roman" w:cs="Times New Roman"/>
          <w:sz w:val="28"/>
          <w:szCs w:val="28"/>
        </w:rPr>
        <w:t>, in AAS48-1956, 11 febbraio 1956, p. 582.</w:t>
      </w:r>
    </w:p>
    <w:p w14:paraId="65BB00F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Decretum: dioecesis iessorensis deinceps (Khulnensis ) appellabitur</w:t>
      </w:r>
      <w:r w:rsidRPr="0096104B">
        <w:rPr>
          <w:rFonts w:ascii="Times New Roman" w:hAnsi="Times New Roman" w:cs="Times New Roman"/>
          <w:sz w:val="28"/>
          <w:szCs w:val="28"/>
        </w:rPr>
        <w:t>, in AAS48-1956, 14 giugno 1956, p. 730.</w:t>
      </w:r>
    </w:p>
    <w:p w14:paraId="5220A38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Resp.</w:t>
      </w:r>
      <w:r w:rsidRPr="0096104B">
        <w:rPr>
          <w:rFonts w:ascii="Times New Roman" w:hAnsi="Times New Roman" w:cs="Times New Roman"/>
          <w:sz w:val="28"/>
          <w:szCs w:val="28"/>
        </w:rPr>
        <w:t xml:space="preserve">, p. 3514, 2 luglio 1956,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 ,1942-1958.</w:t>
      </w:r>
    </w:p>
    <w:p w14:paraId="492D3FF0"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1957</w:t>
      </w:r>
    </w:p>
    <w:p w14:paraId="67FABD3E"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Decretum</w:t>
      </w:r>
      <w:r w:rsidRPr="0096104B">
        <w:rPr>
          <w:rFonts w:ascii="Times New Roman" w:hAnsi="Times New Roman" w:cs="Times New Roman"/>
          <w:sz w:val="28"/>
          <w:szCs w:val="28"/>
        </w:rPr>
        <w:t xml:space="preserve">, p. 3774, 28 ottobre 1957,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 ,1942-1958</w:t>
      </w:r>
      <w:r w:rsidRPr="0096104B">
        <w:rPr>
          <w:rFonts w:ascii="Times New Roman" w:hAnsi="Times New Roman" w:cs="Times New Roman"/>
          <w:i/>
          <w:sz w:val="28"/>
          <w:szCs w:val="28"/>
        </w:rPr>
        <w:t>.</w:t>
      </w:r>
    </w:p>
    <w:p w14:paraId="193AD24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Epistola</w:t>
      </w:r>
      <w:r w:rsidRPr="0096104B">
        <w:rPr>
          <w:rFonts w:ascii="Times New Roman" w:hAnsi="Times New Roman" w:cs="Times New Roman"/>
          <w:sz w:val="28"/>
          <w:szCs w:val="28"/>
        </w:rPr>
        <w:t xml:space="preserve">, p. 3790, 30 novembre 1957,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Vol.2, 1942-1958.</w:t>
      </w:r>
    </w:p>
    <w:p w14:paraId="00A2F1E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novo vicariatus apostolici titulo</w:t>
      </w:r>
      <w:r w:rsidRPr="0096104B">
        <w:rPr>
          <w:rFonts w:ascii="Times New Roman" w:hAnsi="Times New Roman" w:cs="Times New Roman"/>
          <w:sz w:val="28"/>
          <w:szCs w:val="28"/>
        </w:rPr>
        <w:t>, in AAS49-1957, 22 marzo 1957, p. 752.</w:t>
      </w:r>
    </w:p>
    <w:p w14:paraId="0627C0A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vicariatus apostolicus confinioris californias deinceps tigiuanaënsis appellabitur</w:t>
      </w:r>
      <w:r w:rsidRPr="0096104B">
        <w:rPr>
          <w:rFonts w:ascii="Times New Roman" w:hAnsi="Times New Roman" w:cs="Times New Roman"/>
          <w:sz w:val="28"/>
          <w:szCs w:val="28"/>
        </w:rPr>
        <w:t>, in AAS49-1957, 13 luglio 1957, p. 974.</w:t>
      </w:r>
    </w:p>
    <w:p w14:paraId="3E1793C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et nominis mutatione</w:t>
      </w:r>
      <w:r w:rsidRPr="0096104B">
        <w:rPr>
          <w:rFonts w:ascii="Times New Roman" w:hAnsi="Times New Roman" w:cs="Times New Roman"/>
          <w:sz w:val="28"/>
          <w:szCs w:val="28"/>
        </w:rPr>
        <w:t>, in AAS49-1957, 9 agosto 1957, p. 371.</w:t>
      </w:r>
    </w:p>
    <w:p w14:paraId="298DF47A"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1958</w:t>
      </w:r>
    </w:p>
    <w:p w14:paraId="45E8AE1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dioecesium mutatione</w:t>
      </w:r>
      <w:r w:rsidRPr="0096104B">
        <w:rPr>
          <w:rFonts w:ascii="Times New Roman" w:hAnsi="Times New Roman" w:cs="Times New Roman"/>
          <w:sz w:val="28"/>
          <w:szCs w:val="28"/>
        </w:rPr>
        <w:t>, in AAS50-1958, 20 giugno 1957, p. 117.</w:t>
      </w:r>
    </w:p>
    <w:p w14:paraId="0A6C2E1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praefectura apostolica de akyab, mutata sede, (promensis) appellabitur</w:t>
      </w:r>
      <w:r w:rsidRPr="0096104B">
        <w:rPr>
          <w:rFonts w:ascii="Times New Roman" w:hAnsi="Times New Roman" w:cs="Times New Roman"/>
          <w:sz w:val="28"/>
          <w:szCs w:val="28"/>
        </w:rPr>
        <w:t>, in AAS50-1958, 19 settembre 1957, p. 104.</w:t>
      </w:r>
    </w:p>
    <w:p w14:paraId="7330A129"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finium mutatione</w:t>
      </w:r>
      <w:r w:rsidRPr="0096104B">
        <w:rPr>
          <w:rFonts w:ascii="Times New Roman" w:hAnsi="Times New Roman" w:cs="Times New Roman"/>
          <w:sz w:val="28"/>
          <w:szCs w:val="28"/>
          <w:lang w:val="en-US"/>
        </w:rPr>
        <w:t>, in AAS50-1958, 8 novembre 1957, p. 178.</w:t>
      </w:r>
    </w:p>
    <w:p w14:paraId="2BA39151"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separationis et unionis</w:t>
      </w:r>
      <w:r w:rsidRPr="0096104B">
        <w:rPr>
          <w:rFonts w:ascii="Times New Roman" w:hAnsi="Times New Roman" w:cs="Times New Roman"/>
          <w:sz w:val="28"/>
          <w:szCs w:val="28"/>
          <w:lang w:val="en-US"/>
        </w:rPr>
        <w:t>, in AAS50-1958, 14 febbraio 1958, p. 229.</w:t>
      </w:r>
    </w:p>
    <w:p w14:paraId="3D0A87CC"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 xml:space="preserve">Indult., </w:t>
      </w:r>
      <w:r w:rsidRPr="0096104B">
        <w:rPr>
          <w:rFonts w:ascii="Times New Roman" w:hAnsi="Times New Roman" w:cs="Times New Roman"/>
          <w:sz w:val="28"/>
          <w:szCs w:val="28"/>
          <w:lang w:val="en-US"/>
        </w:rPr>
        <w:t xml:space="preserve">p. 3820, 24 febbraio 1958,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Vol.2, 1942-1958</w:t>
      </w:r>
      <w:r w:rsidRPr="0096104B">
        <w:rPr>
          <w:rFonts w:ascii="Times New Roman" w:hAnsi="Times New Roman" w:cs="Times New Roman"/>
          <w:i/>
          <w:sz w:val="28"/>
          <w:szCs w:val="28"/>
          <w:lang w:val="en-US"/>
        </w:rPr>
        <w:t>.</w:t>
      </w:r>
    </w:p>
    <w:p w14:paraId="58087FDD"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lang w:val="en-US"/>
        </w:rPr>
      </w:pPr>
      <w:r w:rsidRPr="0096104B">
        <w:rPr>
          <w:rFonts w:ascii="Times New Roman" w:hAnsi="Times New Roman" w:cs="Times New Roman"/>
          <w:b/>
          <w:i/>
          <w:sz w:val="28"/>
          <w:szCs w:val="28"/>
          <w:u w:val="single"/>
          <w:lang w:val="en-US"/>
        </w:rPr>
        <w:t>1959</w:t>
      </w:r>
    </w:p>
    <w:p w14:paraId="591E2A8F"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db mutatione finium dioecesium</w:t>
      </w:r>
      <w:r w:rsidRPr="0096104B">
        <w:rPr>
          <w:rFonts w:ascii="Times New Roman" w:hAnsi="Times New Roman" w:cs="Times New Roman"/>
          <w:sz w:val="28"/>
          <w:szCs w:val="28"/>
          <w:lang w:val="en-US"/>
        </w:rPr>
        <w:t>, in AAS51-1959, 28 novembre 1958, p. 41.</w:t>
      </w:r>
    </w:p>
    <w:p w14:paraId="755391A7"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finium vicariatuum mutatione</w:t>
      </w:r>
      <w:r w:rsidRPr="0096104B">
        <w:rPr>
          <w:rFonts w:ascii="Times New Roman" w:hAnsi="Times New Roman" w:cs="Times New Roman"/>
          <w:sz w:val="28"/>
          <w:szCs w:val="28"/>
          <w:lang w:val="en-US"/>
        </w:rPr>
        <w:t>, in AAS51-1959, 28 novembre 1958, p. 109.</w:t>
      </w:r>
    </w:p>
    <w:p w14:paraId="2207AE7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Decretum: de finium vicariatuum mutatione, in AAS51-1959, 5 dicembre 1958, p. 110.</w:t>
      </w:r>
    </w:p>
    <w:p w14:paraId="1BBD4D1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dioecesium mutatione</w:t>
      </w:r>
      <w:r w:rsidRPr="0096104B">
        <w:rPr>
          <w:rFonts w:ascii="Times New Roman" w:hAnsi="Times New Roman" w:cs="Times New Roman"/>
          <w:sz w:val="28"/>
          <w:szCs w:val="28"/>
        </w:rPr>
        <w:t>, in AAS51-1959, 19 dicembre 1959, p. 111.</w:t>
      </w:r>
    </w:p>
    <w:p w14:paraId="484281B5"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lastRenderedPageBreak/>
        <w:t>Normae,</w:t>
      </w:r>
      <w:r w:rsidRPr="0096104B">
        <w:rPr>
          <w:rFonts w:ascii="Times New Roman" w:hAnsi="Times New Roman" w:cs="Times New Roman"/>
          <w:sz w:val="28"/>
          <w:szCs w:val="28"/>
        </w:rPr>
        <w:t xml:space="preserve"> p. 3924, 18 febbraio 1959,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 3, 1959-1963.</w:t>
      </w:r>
    </w:p>
    <w:p w14:paraId="3A76D23F"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Rescr</w:t>
      </w:r>
      <w:r w:rsidRPr="0096104B">
        <w:rPr>
          <w:rFonts w:ascii="Times New Roman" w:hAnsi="Times New Roman" w:cs="Times New Roman"/>
          <w:sz w:val="28"/>
          <w:szCs w:val="28"/>
        </w:rPr>
        <w:t xml:space="preserve">., pp. 3929-3330, 5 marzo 1959,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Vol.3, 1959-1963</w:t>
      </w:r>
      <w:r w:rsidRPr="0096104B">
        <w:rPr>
          <w:rFonts w:ascii="Times New Roman" w:hAnsi="Times New Roman" w:cs="Times New Roman"/>
          <w:i/>
          <w:sz w:val="28"/>
          <w:szCs w:val="28"/>
        </w:rPr>
        <w:t>.</w:t>
      </w:r>
    </w:p>
    <w:p w14:paraId="7B6C9E6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vicariatuum apostolicorum,</w:t>
      </w:r>
      <w:r w:rsidRPr="0096104B">
        <w:rPr>
          <w:rFonts w:ascii="Times New Roman" w:hAnsi="Times New Roman" w:cs="Times New Roman"/>
          <w:sz w:val="28"/>
          <w:szCs w:val="28"/>
        </w:rPr>
        <w:t xml:space="preserve"> in AAS51-1959,15 maggio 1959, p. 435.</w:t>
      </w:r>
    </w:p>
    <w:p w14:paraId="11054490"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archidioecesis delhiensis et simlensis deinceps (Delhiensis) tantum appellabitur</w:t>
      </w:r>
      <w:r w:rsidRPr="0096104B">
        <w:rPr>
          <w:rFonts w:ascii="Times New Roman" w:hAnsi="Times New Roman" w:cs="Times New Roman"/>
          <w:sz w:val="28"/>
          <w:szCs w:val="28"/>
          <w:lang w:val="en-US"/>
        </w:rPr>
        <w:t>, in AAS51-1959, 4 giugno 1959, p. 653.</w:t>
      </w:r>
    </w:p>
    <w:p w14:paraId="122400E3"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 xml:space="preserve">Epistola, </w:t>
      </w:r>
      <w:r w:rsidRPr="0096104B">
        <w:rPr>
          <w:rFonts w:ascii="Times New Roman" w:hAnsi="Times New Roman" w:cs="Times New Roman"/>
          <w:sz w:val="28"/>
          <w:szCs w:val="28"/>
        </w:rPr>
        <w:t xml:space="preserve">p. 3958, 1 luglio 1959,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Vol.3, 1959-1963</w:t>
      </w:r>
      <w:r w:rsidRPr="0096104B">
        <w:rPr>
          <w:rFonts w:ascii="Times New Roman" w:hAnsi="Times New Roman" w:cs="Times New Roman"/>
          <w:i/>
          <w:sz w:val="28"/>
          <w:szCs w:val="28"/>
        </w:rPr>
        <w:t>.</w:t>
      </w:r>
    </w:p>
    <w:p w14:paraId="0A42BD4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dioecesium</w:t>
      </w:r>
      <w:r w:rsidRPr="0096104B">
        <w:rPr>
          <w:rFonts w:ascii="Times New Roman" w:hAnsi="Times New Roman" w:cs="Times New Roman"/>
          <w:sz w:val="28"/>
          <w:szCs w:val="28"/>
        </w:rPr>
        <w:t>, in AAS51-1959, 3 luglio 1959, p. 654.</w:t>
      </w:r>
    </w:p>
    <w:p w14:paraId="3D63810A"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1960</w:t>
      </w:r>
    </w:p>
    <w:p w14:paraId="2D5A445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vicariatuum mutatione</w:t>
      </w:r>
      <w:r w:rsidRPr="0096104B">
        <w:rPr>
          <w:rFonts w:ascii="Times New Roman" w:hAnsi="Times New Roman" w:cs="Times New Roman"/>
          <w:sz w:val="28"/>
          <w:szCs w:val="28"/>
        </w:rPr>
        <w:t>, in AAS52-1960, 13 ottobre1959, p. 111.</w:t>
      </w:r>
    </w:p>
    <w:p w14:paraId="7AFC59B3"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archidioecesis taipehensis clero saeculari sinensi concreditur</w:t>
      </w:r>
      <w:r w:rsidRPr="0096104B">
        <w:rPr>
          <w:rFonts w:ascii="Times New Roman" w:hAnsi="Times New Roman" w:cs="Times New Roman"/>
          <w:sz w:val="28"/>
          <w:szCs w:val="28"/>
          <w:lang w:val="en-US"/>
        </w:rPr>
        <w:t>, in AAS52-1960,4 dicembre 1959, p. 165.</w:t>
      </w:r>
    </w:p>
    <w:p w14:paraId="3E0A2CA7"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Facultates</w:t>
      </w:r>
      <w:r w:rsidRPr="0096104B">
        <w:rPr>
          <w:rFonts w:ascii="Times New Roman" w:hAnsi="Times New Roman" w:cs="Times New Roman"/>
          <w:sz w:val="28"/>
          <w:szCs w:val="28"/>
          <w:lang w:val="en-US"/>
        </w:rPr>
        <w:t xml:space="preserve">, pp. 4005-4011, 1 gennaio 1960,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Vol.3, 1959-1963.</w:t>
      </w:r>
    </w:p>
    <w:p w14:paraId="275FC9A0"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archidioecesis cotonuensis clero indigenae committitur</w:t>
      </w:r>
      <w:r w:rsidRPr="0096104B">
        <w:rPr>
          <w:rFonts w:ascii="Times New Roman" w:hAnsi="Times New Roman" w:cs="Times New Roman"/>
          <w:sz w:val="28"/>
          <w:szCs w:val="28"/>
          <w:lang w:val="en-US"/>
        </w:rPr>
        <w:t>, in AAS52-1960, 5 gennaio 1960, p. 356.</w:t>
      </w:r>
    </w:p>
    <w:p w14:paraId="20C6D97E"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Resp</w:t>
      </w:r>
      <w:r w:rsidRPr="0096104B">
        <w:rPr>
          <w:rFonts w:ascii="Times New Roman" w:hAnsi="Times New Roman" w:cs="Times New Roman"/>
          <w:sz w:val="28"/>
          <w:szCs w:val="28"/>
        </w:rPr>
        <w:t xml:space="preserve">., p. 4015, 13 gennaio 1960,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Vol.3, 1959-1963</w:t>
      </w:r>
      <w:r w:rsidRPr="0096104B">
        <w:rPr>
          <w:rFonts w:ascii="Times New Roman" w:hAnsi="Times New Roman" w:cs="Times New Roman"/>
          <w:i/>
          <w:sz w:val="28"/>
          <w:szCs w:val="28"/>
        </w:rPr>
        <w:t>.</w:t>
      </w:r>
    </w:p>
    <w:p w14:paraId="07926C80"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Rescr.</w:t>
      </w:r>
      <w:r w:rsidRPr="0096104B">
        <w:rPr>
          <w:rFonts w:ascii="Times New Roman" w:hAnsi="Times New Roman" w:cs="Times New Roman"/>
          <w:sz w:val="28"/>
          <w:szCs w:val="28"/>
        </w:rPr>
        <w:t xml:space="preserve">, pp. 4017-4018, 29 gennaio 1960,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Vol.3, 1959-1963</w:t>
      </w:r>
      <w:r w:rsidRPr="0096104B">
        <w:rPr>
          <w:rFonts w:ascii="Times New Roman" w:hAnsi="Times New Roman" w:cs="Times New Roman"/>
          <w:i/>
          <w:sz w:val="28"/>
          <w:szCs w:val="28"/>
        </w:rPr>
        <w:t>.</w:t>
      </w:r>
    </w:p>
    <w:p w14:paraId="1759270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fines vicariatuum apostolicorum commutantür,</w:t>
      </w:r>
      <w:r w:rsidRPr="0096104B">
        <w:rPr>
          <w:rFonts w:ascii="Times New Roman" w:hAnsi="Times New Roman" w:cs="Times New Roman"/>
          <w:sz w:val="28"/>
          <w:szCs w:val="28"/>
        </w:rPr>
        <w:t xml:space="preserve"> in AAS52-1960, 13 febbraio 1960, p. 357. </w:t>
      </w:r>
    </w:p>
    <w:p w14:paraId="523BA1D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Decretum: db finium mutatione, in AAS52-1960, 19 febbraio 1960, p. 487.</w:t>
      </w:r>
    </w:p>
    <w:p w14:paraId="54BCB4E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Decretum: de vicariatus apostolici nominis mutatione, in AAS52-1960,25 marzo 1960, p. 488.</w:t>
      </w:r>
    </w:p>
    <w:p w14:paraId="66760A04"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i/>
          <w:sz w:val="28"/>
          <w:szCs w:val="28"/>
        </w:rPr>
        <w:t>Declaratio</w:t>
      </w:r>
      <w:r w:rsidRPr="0096104B">
        <w:rPr>
          <w:rFonts w:ascii="Times New Roman" w:hAnsi="Times New Roman" w:cs="Times New Roman"/>
          <w:sz w:val="28"/>
          <w:szCs w:val="28"/>
        </w:rPr>
        <w:t xml:space="preserve">, pp. 4035-4036, 4 giugno 1960,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Vol.3, 1959-1963.</w:t>
      </w:r>
    </w:p>
    <w:p w14:paraId="596B297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nominis dioeceseos,</w:t>
      </w:r>
      <w:r w:rsidRPr="0096104B">
        <w:rPr>
          <w:rFonts w:ascii="Times New Roman" w:hAnsi="Times New Roman" w:cs="Times New Roman"/>
          <w:sz w:val="28"/>
          <w:szCs w:val="28"/>
        </w:rPr>
        <w:t xml:space="preserve"> in AAS52-1960,20 giugno 1960, p. 576.</w:t>
      </w:r>
    </w:p>
    <w:p w14:paraId="7F21ED2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Decretum: De Vicariatus Apostolici nominis mutatione</w:t>
      </w:r>
      <w:r w:rsidRPr="0096104B">
        <w:rPr>
          <w:rFonts w:ascii="Times New Roman" w:hAnsi="Times New Roman" w:cs="Times New Roman"/>
          <w:sz w:val="28"/>
          <w:szCs w:val="28"/>
        </w:rPr>
        <w:t>, in AAS53-1961, 10 novembre 1960, p. 51.</w:t>
      </w:r>
    </w:p>
    <w:p w14:paraId="5392E859"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1961</w:t>
      </w:r>
    </w:p>
    <w:p w14:paraId="45E884C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dioecesium</w:t>
      </w:r>
      <w:r w:rsidRPr="0096104B">
        <w:rPr>
          <w:rFonts w:ascii="Times New Roman" w:hAnsi="Times New Roman" w:cs="Times New Roman"/>
          <w:sz w:val="28"/>
          <w:szCs w:val="28"/>
        </w:rPr>
        <w:t>, in AAS53-1961, 24 novembre1960, p. 229.</w:t>
      </w:r>
    </w:p>
    <w:p w14:paraId="0439EBEF"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Facultas</w:t>
      </w:r>
      <w:r w:rsidRPr="0096104B">
        <w:rPr>
          <w:rFonts w:ascii="Times New Roman" w:hAnsi="Times New Roman" w:cs="Times New Roman"/>
          <w:sz w:val="28"/>
          <w:szCs w:val="28"/>
          <w:lang w:val="en-US"/>
        </w:rPr>
        <w:t xml:space="preserve">, p. 4248, 1961,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Vol.3, 1959-1963</w:t>
      </w:r>
      <w:r w:rsidRPr="0096104B">
        <w:rPr>
          <w:rFonts w:ascii="Times New Roman" w:hAnsi="Times New Roman" w:cs="Times New Roman"/>
          <w:i/>
          <w:sz w:val="28"/>
          <w:szCs w:val="28"/>
          <w:lang w:val="en-US"/>
        </w:rPr>
        <w:t>.</w:t>
      </w:r>
    </w:p>
    <w:p w14:paraId="3D1CE10D"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 xml:space="preserve">Facultas, </w:t>
      </w:r>
      <w:r w:rsidRPr="0096104B">
        <w:rPr>
          <w:rFonts w:ascii="Times New Roman" w:hAnsi="Times New Roman" w:cs="Times New Roman"/>
          <w:sz w:val="28"/>
          <w:szCs w:val="28"/>
          <w:lang w:val="en-US"/>
        </w:rPr>
        <w:t xml:space="preserve">pp. 4165-4166, 28 febbraio 1961,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Vol.3, 1959-1963</w:t>
      </w:r>
      <w:r w:rsidRPr="0096104B">
        <w:rPr>
          <w:rFonts w:ascii="Times New Roman" w:hAnsi="Times New Roman" w:cs="Times New Roman"/>
          <w:i/>
          <w:sz w:val="28"/>
          <w:szCs w:val="28"/>
          <w:lang w:val="en-US"/>
        </w:rPr>
        <w:t>.</w:t>
      </w:r>
    </w:p>
    <w:p w14:paraId="17F29687"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nominis mutatione</w:t>
      </w:r>
      <w:r w:rsidRPr="0096104B">
        <w:rPr>
          <w:rFonts w:ascii="Times New Roman" w:hAnsi="Times New Roman" w:cs="Times New Roman"/>
          <w:sz w:val="28"/>
          <w:szCs w:val="28"/>
          <w:lang w:val="en-US"/>
        </w:rPr>
        <w:t>, in AAS53-1961, 26 maggio 1961, p. 511.</w:t>
      </w:r>
    </w:p>
    <w:p w14:paraId="5085749C"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nominis mutatione</w:t>
      </w:r>
      <w:r w:rsidRPr="0096104B">
        <w:rPr>
          <w:rFonts w:ascii="Times New Roman" w:hAnsi="Times New Roman" w:cs="Times New Roman"/>
          <w:sz w:val="28"/>
          <w:szCs w:val="28"/>
          <w:lang w:val="en-US"/>
        </w:rPr>
        <w:t>, in AAS53-1961, 26 maggio 1961, p. 512.</w:t>
      </w:r>
    </w:p>
    <w:p w14:paraId="2AD76E06"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mutatione nominis dioecesis</w:t>
      </w:r>
      <w:r w:rsidRPr="0096104B">
        <w:rPr>
          <w:rFonts w:ascii="Times New Roman" w:hAnsi="Times New Roman" w:cs="Times New Roman"/>
          <w:sz w:val="28"/>
          <w:szCs w:val="28"/>
          <w:lang w:val="en-US"/>
        </w:rPr>
        <w:t>, in AAS53-1961, 7 novembre 1961, p. 739.</w:t>
      </w:r>
    </w:p>
    <w:p w14:paraId="25A49E7E"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i/>
          <w:sz w:val="28"/>
          <w:szCs w:val="28"/>
          <w:lang w:val="en-US"/>
        </w:rPr>
        <w:t>Decretum: De mutatione finium Vicariatuum</w:t>
      </w:r>
      <w:r w:rsidRPr="0096104B">
        <w:rPr>
          <w:rFonts w:ascii="Times New Roman" w:hAnsi="Times New Roman" w:cs="Times New Roman"/>
          <w:sz w:val="28"/>
          <w:szCs w:val="28"/>
          <w:lang w:val="en-US"/>
        </w:rPr>
        <w:t>, in AAS53-1961,12 agosto 1961, p. 825.</w:t>
      </w:r>
    </w:p>
    <w:p w14:paraId="37611819"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lang w:val="en-US"/>
        </w:rPr>
      </w:pPr>
      <w:r w:rsidRPr="0096104B">
        <w:rPr>
          <w:rFonts w:ascii="Times New Roman" w:hAnsi="Times New Roman" w:cs="Times New Roman"/>
          <w:b/>
          <w:i/>
          <w:sz w:val="28"/>
          <w:szCs w:val="28"/>
          <w:u w:val="single"/>
          <w:lang w:val="en-US"/>
        </w:rPr>
        <w:t>1962</w:t>
      </w:r>
    </w:p>
    <w:p w14:paraId="22E64622" w14:textId="77777777" w:rsidR="00B3403A" w:rsidRPr="0096104B" w:rsidRDefault="00B3403A" w:rsidP="00484F9B">
      <w:pPr>
        <w:spacing w:after="0" w:line="360" w:lineRule="auto"/>
        <w:ind w:left="680" w:right="340"/>
        <w:jc w:val="both"/>
        <w:rPr>
          <w:rFonts w:ascii="Times New Roman" w:hAnsi="Times New Roman" w:cs="Times New Roman"/>
          <w:i/>
          <w:sz w:val="28"/>
          <w:szCs w:val="28"/>
          <w:lang w:val="en-US"/>
        </w:rPr>
      </w:pPr>
      <w:r w:rsidRPr="0096104B">
        <w:rPr>
          <w:rFonts w:ascii="Times New Roman" w:hAnsi="Times New Roman" w:cs="Times New Roman"/>
          <w:i/>
          <w:sz w:val="28"/>
          <w:szCs w:val="28"/>
          <w:lang w:val="en-US"/>
        </w:rPr>
        <w:t>Normae</w:t>
      </w:r>
      <w:r w:rsidRPr="0096104B">
        <w:rPr>
          <w:rFonts w:ascii="Times New Roman" w:hAnsi="Times New Roman" w:cs="Times New Roman"/>
          <w:sz w:val="28"/>
          <w:szCs w:val="28"/>
          <w:lang w:val="en-US"/>
        </w:rPr>
        <w:t xml:space="preserve">, pp. 4250-4251, 12 gennaio 1962, in </w:t>
      </w:r>
      <w:r w:rsidRPr="0096104B">
        <w:rPr>
          <w:rFonts w:ascii="Times New Roman" w:hAnsi="Times New Roman" w:cs="Times New Roman"/>
          <w:i/>
          <w:sz w:val="28"/>
          <w:szCs w:val="28"/>
          <w:lang w:val="en-US"/>
        </w:rPr>
        <w:t xml:space="preserve">Leges ecclesiae </w:t>
      </w:r>
      <w:r w:rsidRPr="0096104B">
        <w:rPr>
          <w:rFonts w:ascii="Times New Roman" w:hAnsi="Times New Roman" w:cs="Times New Roman"/>
          <w:sz w:val="28"/>
          <w:szCs w:val="28"/>
          <w:lang w:val="en-US"/>
        </w:rPr>
        <w:t>Vol.3, 1959-1963</w:t>
      </w:r>
      <w:r w:rsidRPr="0096104B">
        <w:rPr>
          <w:rFonts w:ascii="Times New Roman" w:hAnsi="Times New Roman" w:cs="Times New Roman"/>
          <w:i/>
          <w:sz w:val="28"/>
          <w:szCs w:val="28"/>
          <w:lang w:val="en-US"/>
        </w:rPr>
        <w:t>.</w:t>
      </w:r>
    </w:p>
    <w:p w14:paraId="771D520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Normae</w:t>
      </w:r>
      <w:r w:rsidRPr="0096104B">
        <w:rPr>
          <w:rFonts w:ascii="Times New Roman" w:hAnsi="Times New Roman" w:cs="Times New Roman"/>
          <w:sz w:val="28"/>
          <w:szCs w:val="28"/>
        </w:rPr>
        <w:t xml:space="preserve">, p. 4332, 1962, in </w:t>
      </w:r>
      <w:r w:rsidRPr="0096104B">
        <w:rPr>
          <w:rFonts w:ascii="Times New Roman" w:hAnsi="Times New Roman" w:cs="Times New Roman"/>
          <w:i/>
          <w:sz w:val="28"/>
          <w:szCs w:val="28"/>
        </w:rPr>
        <w:t xml:space="preserve">Leges ecclesiae </w:t>
      </w:r>
      <w:r w:rsidRPr="0096104B">
        <w:rPr>
          <w:rFonts w:ascii="Times New Roman" w:hAnsi="Times New Roman" w:cs="Times New Roman"/>
          <w:sz w:val="28"/>
          <w:szCs w:val="28"/>
        </w:rPr>
        <w:t>Vol.3, 1959-1963.</w:t>
      </w:r>
    </w:p>
    <w:p w14:paraId="3AE0C1E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Provinciae Ecclesiasticae mutatione</w:t>
      </w:r>
      <w:r w:rsidRPr="0096104B">
        <w:rPr>
          <w:rFonts w:ascii="Times New Roman" w:hAnsi="Times New Roman" w:cs="Times New Roman"/>
          <w:sz w:val="28"/>
          <w:szCs w:val="28"/>
        </w:rPr>
        <w:t>, in AAS54-1962, 27 marzo 1962, p. 226.</w:t>
      </w:r>
    </w:p>
    <w:p w14:paraId="5B7C131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finium mutatione</w:t>
      </w:r>
      <w:r w:rsidRPr="0096104B">
        <w:rPr>
          <w:rFonts w:ascii="Times New Roman" w:hAnsi="Times New Roman" w:cs="Times New Roman"/>
          <w:sz w:val="28"/>
          <w:szCs w:val="28"/>
        </w:rPr>
        <w:t>, in AAS54-1962, 10 aprile 1962, p. 473.</w:t>
      </w:r>
    </w:p>
    <w:p w14:paraId="41F50E1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Provinciarum Ecclesiasticarum</w:t>
      </w:r>
      <w:r w:rsidRPr="0096104B">
        <w:rPr>
          <w:rFonts w:ascii="Times New Roman" w:hAnsi="Times New Roman" w:cs="Times New Roman"/>
          <w:sz w:val="28"/>
          <w:szCs w:val="28"/>
        </w:rPr>
        <w:t>, in AAS54-1962, 5 giugno 1962, p. 532.</w:t>
      </w:r>
    </w:p>
    <w:p w14:paraId="712AF6D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 dioecesium</w:t>
      </w:r>
      <w:r w:rsidRPr="0096104B">
        <w:rPr>
          <w:rFonts w:ascii="Times New Roman" w:hAnsi="Times New Roman" w:cs="Times New Roman"/>
          <w:sz w:val="28"/>
          <w:szCs w:val="28"/>
        </w:rPr>
        <w:t>, in AAS54-1962, 9 luglio 1962, p. 867.</w:t>
      </w:r>
    </w:p>
    <w:p w14:paraId="184CE942"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r w:rsidRPr="0096104B">
        <w:rPr>
          <w:rFonts w:ascii="Times New Roman" w:hAnsi="Times New Roman" w:cs="Times New Roman"/>
          <w:b/>
          <w:i/>
          <w:sz w:val="28"/>
          <w:szCs w:val="28"/>
          <w:u w:val="single"/>
        </w:rPr>
        <w:t>1963</w:t>
      </w:r>
    </w:p>
    <w:p w14:paraId="599D375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w:t>
      </w:r>
      <w:r w:rsidRPr="0096104B">
        <w:rPr>
          <w:rFonts w:ascii="Times New Roman" w:hAnsi="Times New Roman" w:cs="Times New Roman"/>
          <w:sz w:val="28"/>
          <w:szCs w:val="28"/>
        </w:rPr>
        <w:t>, in AAS55-1963, 28 dicembre 1962, p. 175.</w:t>
      </w:r>
    </w:p>
    <w:p w14:paraId="7F61889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w:t>
      </w:r>
      <w:r w:rsidRPr="0096104B">
        <w:rPr>
          <w:rFonts w:ascii="Times New Roman" w:hAnsi="Times New Roman" w:cs="Times New Roman"/>
          <w:sz w:val="28"/>
          <w:szCs w:val="28"/>
        </w:rPr>
        <w:t>, in AAS55-1963,25 gennaio 1963, p. 176.</w:t>
      </w:r>
    </w:p>
    <w:p w14:paraId="5BC2876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w:t>
      </w:r>
      <w:r w:rsidRPr="0096104B">
        <w:rPr>
          <w:rFonts w:ascii="Times New Roman" w:hAnsi="Times New Roman" w:cs="Times New Roman"/>
          <w:sz w:val="28"/>
          <w:szCs w:val="28"/>
        </w:rPr>
        <w:t>, in AAS55-1963,5 marzo 1963, p. 349.</w:t>
      </w:r>
    </w:p>
    <w:p w14:paraId="50D0BC27"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Decretum: De commutatione finium,</w:t>
      </w:r>
      <w:r w:rsidRPr="0096104B">
        <w:rPr>
          <w:rFonts w:ascii="Times New Roman" w:hAnsi="Times New Roman" w:cs="Times New Roman"/>
          <w:sz w:val="28"/>
          <w:szCs w:val="28"/>
        </w:rPr>
        <w:t xml:space="preserve"> in AAS55-1963, 19 aprile1963, p. 410.</w:t>
      </w:r>
    </w:p>
    <w:p w14:paraId="72CF002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nominis mutatione</w:t>
      </w:r>
      <w:r w:rsidRPr="0096104B">
        <w:rPr>
          <w:rFonts w:ascii="Times New Roman" w:hAnsi="Times New Roman" w:cs="Times New Roman"/>
          <w:sz w:val="28"/>
          <w:szCs w:val="28"/>
        </w:rPr>
        <w:t>, in AAS55-1963, 28 giugno 1963, p. 717.</w:t>
      </w:r>
    </w:p>
    <w:p w14:paraId="0A46C0A7" w14:textId="3328E3DF" w:rsidR="00B3403A"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Decretum: De mutatione finium</w:t>
      </w:r>
      <w:r w:rsidRPr="0096104B">
        <w:rPr>
          <w:rFonts w:ascii="Times New Roman" w:hAnsi="Times New Roman" w:cs="Times New Roman"/>
          <w:sz w:val="28"/>
          <w:szCs w:val="28"/>
        </w:rPr>
        <w:t>, in AAS55-1963, 2 agosto 1963, p. 776.</w:t>
      </w:r>
    </w:p>
    <w:p w14:paraId="42BAAD77" w14:textId="0E9D84B3" w:rsidR="00F646E3" w:rsidRDefault="00F646E3" w:rsidP="00484F9B">
      <w:pPr>
        <w:spacing w:after="0" w:line="360" w:lineRule="auto"/>
        <w:ind w:left="680" w:right="340"/>
        <w:jc w:val="both"/>
        <w:rPr>
          <w:rFonts w:ascii="Times New Roman" w:hAnsi="Times New Roman" w:cs="Times New Roman"/>
          <w:sz w:val="28"/>
          <w:szCs w:val="28"/>
        </w:rPr>
      </w:pPr>
      <w:r>
        <w:rPr>
          <w:rFonts w:ascii="Times New Roman" w:hAnsi="Times New Roman" w:cs="Times New Roman"/>
          <w:sz w:val="28"/>
          <w:szCs w:val="28"/>
        </w:rPr>
        <w:br w:type="page"/>
      </w:r>
    </w:p>
    <w:p w14:paraId="1DF7B764" w14:textId="77777777" w:rsidR="00B3403A" w:rsidRPr="0096104B" w:rsidRDefault="00B3403A" w:rsidP="004F05A9">
      <w:pPr>
        <w:spacing w:after="0" w:line="360" w:lineRule="auto"/>
        <w:ind w:left="680" w:right="340"/>
        <w:jc w:val="center"/>
        <w:rPr>
          <w:rFonts w:ascii="Times New Roman" w:hAnsi="Times New Roman" w:cs="Times New Roman"/>
          <w:color w:val="000000"/>
          <w:sz w:val="28"/>
          <w:szCs w:val="28"/>
          <w:shd w:val="clear" w:color="auto" w:fill="FFFFFF"/>
        </w:rPr>
      </w:pPr>
      <w:r w:rsidRPr="0096104B">
        <w:rPr>
          <w:rFonts w:ascii="Times New Roman" w:hAnsi="Times New Roman" w:cs="Times New Roman"/>
          <w:color w:val="000000"/>
          <w:sz w:val="28"/>
          <w:szCs w:val="28"/>
          <w:shd w:val="clear" w:color="auto" w:fill="FFFFFF"/>
        </w:rPr>
        <w:lastRenderedPageBreak/>
        <w:t>BIBLIOGRAFIA</w:t>
      </w:r>
    </w:p>
    <w:p w14:paraId="43434BEC" w14:textId="77777777" w:rsidR="00B3403A" w:rsidRPr="0096104B" w:rsidRDefault="00B3403A" w:rsidP="00484F9B">
      <w:pPr>
        <w:spacing w:after="0" w:line="360" w:lineRule="auto"/>
        <w:ind w:left="680" w:right="340"/>
        <w:jc w:val="both"/>
        <w:rPr>
          <w:rFonts w:ascii="Times New Roman" w:hAnsi="Times New Roman" w:cs="Times New Roman"/>
          <w:color w:val="000000"/>
          <w:sz w:val="28"/>
          <w:szCs w:val="28"/>
          <w:shd w:val="clear" w:color="auto" w:fill="FFFFFF"/>
        </w:rPr>
      </w:pPr>
    </w:p>
    <w:p w14:paraId="07C47959" w14:textId="77777777" w:rsidR="00B3403A" w:rsidRPr="0096104B" w:rsidRDefault="00B3403A" w:rsidP="00484F9B">
      <w:pPr>
        <w:spacing w:after="0" w:line="360" w:lineRule="auto"/>
        <w:ind w:left="680" w:right="340"/>
        <w:jc w:val="both"/>
        <w:rPr>
          <w:rFonts w:ascii="Times New Roman" w:hAnsi="Times New Roman" w:cs="Times New Roman"/>
          <w:color w:val="000000"/>
          <w:sz w:val="28"/>
          <w:szCs w:val="28"/>
          <w:shd w:val="clear" w:color="auto" w:fill="FFFFFF"/>
        </w:rPr>
      </w:pPr>
    </w:p>
    <w:p w14:paraId="1770124B" w14:textId="77777777" w:rsidR="00B3403A" w:rsidRPr="0096104B" w:rsidRDefault="00B3403A" w:rsidP="00484F9B">
      <w:pPr>
        <w:spacing w:after="0" w:line="360" w:lineRule="auto"/>
        <w:ind w:left="680" w:right="340"/>
        <w:jc w:val="both"/>
        <w:rPr>
          <w:rFonts w:ascii="Times New Roman" w:hAnsi="Times New Roman" w:cs="Times New Roman"/>
          <w:sz w:val="28"/>
          <w:szCs w:val="28"/>
          <w:lang w:val="en-US"/>
        </w:rPr>
      </w:pPr>
      <w:r w:rsidRPr="0096104B">
        <w:rPr>
          <w:rFonts w:ascii="Times New Roman" w:hAnsi="Times New Roman" w:cs="Times New Roman"/>
          <w:sz w:val="28"/>
          <w:szCs w:val="28"/>
          <w:lang w:val="en-US"/>
        </w:rPr>
        <w:t>B. Arens</w:t>
      </w:r>
      <w:r w:rsidRPr="0096104B">
        <w:rPr>
          <w:rFonts w:ascii="Times New Roman" w:hAnsi="Times New Roman" w:cs="Times New Roman"/>
          <w:i/>
          <w:sz w:val="28"/>
          <w:szCs w:val="28"/>
          <w:lang w:val="en-US"/>
        </w:rPr>
        <w:t>, Manuel des Missions Catholiques</w:t>
      </w:r>
      <w:r w:rsidRPr="0096104B">
        <w:rPr>
          <w:rFonts w:ascii="Times New Roman" w:hAnsi="Times New Roman" w:cs="Times New Roman"/>
          <w:sz w:val="28"/>
          <w:szCs w:val="28"/>
          <w:lang w:val="en-US"/>
        </w:rPr>
        <w:t>, Parigi, 1925.</w:t>
      </w:r>
    </w:p>
    <w:p w14:paraId="417A7B3F"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V. Belgeri, </w:t>
      </w:r>
      <w:r w:rsidRPr="0096104B">
        <w:rPr>
          <w:rFonts w:ascii="Times New Roman" w:hAnsi="Times New Roman" w:cs="Times New Roman"/>
          <w:i/>
          <w:sz w:val="28"/>
          <w:szCs w:val="28"/>
        </w:rPr>
        <w:t>Akyab</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Vol.1, Roma, 1948, p. 619.</w:t>
      </w:r>
    </w:p>
    <w:p w14:paraId="12D6FBF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J. E. Bifet, </w:t>
      </w:r>
      <w:r w:rsidRPr="0096104B">
        <w:rPr>
          <w:rFonts w:ascii="Times New Roman" w:hAnsi="Times New Roman" w:cs="Times New Roman"/>
          <w:i/>
          <w:sz w:val="28"/>
          <w:szCs w:val="28"/>
        </w:rPr>
        <w:t>Missione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Dizionario di evangelizzazione</w:t>
      </w:r>
      <w:r w:rsidRPr="0096104B">
        <w:rPr>
          <w:rFonts w:ascii="Times New Roman" w:hAnsi="Times New Roman" w:cs="Times New Roman"/>
          <w:sz w:val="28"/>
          <w:szCs w:val="28"/>
        </w:rPr>
        <w:t>, Napoli, 2005.</w:t>
      </w:r>
    </w:p>
    <w:p w14:paraId="5C8D625C"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i/>
          <w:sz w:val="28"/>
          <w:szCs w:val="28"/>
        </w:rPr>
        <w:t>Collegio Urbano di Propaganda fide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Vol.3, Roma,</w:t>
      </w:r>
      <w:r>
        <w:rPr>
          <w:rFonts w:ascii="Times New Roman" w:hAnsi="Times New Roman" w:cs="Times New Roman"/>
          <w:sz w:val="28"/>
          <w:szCs w:val="28"/>
        </w:rPr>
        <w:t xml:space="preserve"> 1948, p. 1962</w:t>
      </w:r>
    </w:p>
    <w:p w14:paraId="37035AA2"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i/>
          <w:sz w:val="28"/>
          <w:szCs w:val="28"/>
        </w:rPr>
        <w:t>Delhi e Simla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4, Roma, 1948, p. 1360.</w:t>
      </w:r>
    </w:p>
    <w:p w14:paraId="16B8D252"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i/>
          <w:color w:val="202122"/>
          <w:sz w:val="28"/>
          <w:szCs w:val="28"/>
          <w:shd w:val="clear" w:color="auto" w:fill="FFFFFF"/>
        </w:rPr>
        <w:t>Hyderabad</w:t>
      </w:r>
      <w:r w:rsidRPr="0096104B">
        <w:rPr>
          <w:rFonts w:ascii="Times New Roman" w:hAnsi="Times New Roman" w:cs="Times New Roman"/>
          <w:color w:val="202122"/>
          <w:sz w:val="28"/>
          <w:szCs w:val="28"/>
          <w:shd w:val="clear" w:color="auto" w:fill="FFFFFF"/>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Vol.6, Roma, 19</w:t>
      </w:r>
      <w:r>
        <w:rPr>
          <w:rFonts w:ascii="Times New Roman" w:hAnsi="Times New Roman" w:cs="Times New Roman"/>
          <w:sz w:val="28"/>
          <w:szCs w:val="28"/>
        </w:rPr>
        <w:t>48, p. 1520.</w:t>
      </w:r>
    </w:p>
    <w:p w14:paraId="4B69429E"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i/>
          <w:sz w:val="28"/>
          <w:szCs w:val="28"/>
        </w:rPr>
        <w:t>Jubbulpore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7, Roma,</w:t>
      </w:r>
      <w:r>
        <w:rPr>
          <w:rFonts w:ascii="Times New Roman" w:hAnsi="Times New Roman" w:cs="Times New Roman"/>
          <w:sz w:val="28"/>
          <w:szCs w:val="28"/>
        </w:rPr>
        <w:t>1948, p. 544.</w:t>
      </w:r>
    </w:p>
    <w:p w14:paraId="202D9565"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i/>
          <w:sz w:val="28"/>
          <w:szCs w:val="28"/>
        </w:rPr>
        <w:t>Mandalay</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7, Roma,1948, p.1944.</w:t>
      </w:r>
    </w:p>
    <w:p w14:paraId="0FC9100C"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bCs/>
          <w:i/>
          <w:color w:val="202122"/>
          <w:sz w:val="28"/>
          <w:szCs w:val="28"/>
          <w:shd w:val="clear" w:color="auto" w:fill="FFFFFF"/>
        </w:rPr>
        <w:t>Multan</w:t>
      </w:r>
      <w:r w:rsidRPr="0096104B">
        <w:rPr>
          <w:rFonts w:ascii="Times New Roman" w:hAnsi="Times New Roman" w:cs="Times New Roman"/>
          <w:bCs/>
          <w:color w:val="202122"/>
          <w:sz w:val="28"/>
          <w:szCs w:val="28"/>
          <w:shd w:val="clear" w:color="auto" w:fill="FFFFFF"/>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8, Roma,1948, p. 1511.</w:t>
      </w:r>
    </w:p>
    <w:p w14:paraId="2F79535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P. Borgna</w:t>
      </w:r>
      <w:r w:rsidRPr="0096104B">
        <w:rPr>
          <w:rFonts w:ascii="Times New Roman" w:hAnsi="Times New Roman" w:cs="Times New Roman"/>
          <w:i/>
          <w:sz w:val="28"/>
          <w:szCs w:val="28"/>
        </w:rPr>
        <w:t>, Nellore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Vol.8, Roma,</w:t>
      </w:r>
      <w:r>
        <w:rPr>
          <w:rFonts w:ascii="Times New Roman" w:hAnsi="Times New Roman" w:cs="Times New Roman"/>
          <w:sz w:val="28"/>
          <w:szCs w:val="28"/>
        </w:rPr>
        <w:t>1948, p.1736.</w:t>
      </w:r>
    </w:p>
    <w:p w14:paraId="5C7FB056"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P.Borgna, </w:t>
      </w:r>
      <w:r w:rsidRPr="0096104B">
        <w:rPr>
          <w:rFonts w:ascii="Times New Roman" w:hAnsi="Times New Roman" w:cs="Times New Roman"/>
          <w:bCs/>
          <w:i/>
          <w:color w:val="202122"/>
          <w:sz w:val="28"/>
          <w:szCs w:val="28"/>
          <w:shd w:val="clear" w:color="auto" w:fill="FFFFFF"/>
        </w:rPr>
        <w:t>Pondicherry,</w:t>
      </w:r>
      <w:r w:rsidRPr="0096104B">
        <w:rPr>
          <w:rFonts w:ascii="Times New Roman" w:hAnsi="Times New Roman" w:cs="Times New Roman"/>
          <w:bCs/>
          <w:color w:val="202122"/>
          <w:sz w:val="28"/>
          <w:szCs w:val="28"/>
          <w:shd w:val="clear" w:color="auto" w:fill="FFFFFF"/>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9, Roma,1948, p. 1738</w:t>
      </w:r>
    </w:p>
    <w:p w14:paraId="299CAAC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bCs/>
          <w:i/>
          <w:color w:val="202122"/>
          <w:sz w:val="28"/>
          <w:szCs w:val="28"/>
          <w:shd w:val="clear" w:color="auto" w:fill="FFFFFF"/>
        </w:rPr>
        <w:t>Rawalpindi</w:t>
      </w:r>
      <w:r w:rsidRPr="0096104B">
        <w:rPr>
          <w:rFonts w:ascii="Times New Roman" w:hAnsi="Times New Roman" w:cs="Times New Roman"/>
          <w:bCs/>
          <w:color w:val="202122"/>
          <w:sz w:val="28"/>
          <w:szCs w:val="28"/>
          <w:shd w:val="clear" w:color="auto" w:fill="FFFFFF"/>
        </w:rPr>
        <w:t>,</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10, Roma, 1948, p. 576.</w:t>
      </w:r>
    </w:p>
    <w:p w14:paraId="7A4FB44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i/>
          <w:sz w:val="28"/>
          <w:szCs w:val="28"/>
        </w:rPr>
        <w:t>Sambalpur</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10, Roma,</w:t>
      </w:r>
      <w:r>
        <w:rPr>
          <w:rFonts w:ascii="Times New Roman" w:hAnsi="Times New Roman" w:cs="Times New Roman"/>
          <w:sz w:val="28"/>
          <w:szCs w:val="28"/>
        </w:rPr>
        <w:t>1948, p. 1740.</w:t>
      </w:r>
    </w:p>
    <w:p w14:paraId="5EC520C0" w14:textId="77777777" w:rsidR="00B3403A" w:rsidRPr="0096104B" w:rsidRDefault="00B3403A" w:rsidP="00484F9B">
      <w:pPr>
        <w:pStyle w:val="Testonotaapidipagina"/>
        <w:spacing w:line="360" w:lineRule="auto"/>
        <w:ind w:left="680" w:right="340"/>
        <w:jc w:val="both"/>
        <w:rPr>
          <w:rFonts w:ascii="Times New Roman" w:hAnsi="Times New Roman" w:cs="Times New Roman"/>
          <w:color w:val="202122"/>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bCs/>
          <w:i/>
          <w:color w:val="202122"/>
          <w:sz w:val="28"/>
          <w:szCs w:val="28"/>
          <w:shd w:val="clear" w:color="auto" w:fill="FFFFFF"/>
        </w:rPr>
        <w:t>Tiruchirapalli</w:t>
      </w:r>
      <w:r w:rsidRPr="0096104B">
        <w:rPr>
          <w:rFonts w:ascii="Times New Roman" w:hAnsi="Times New Roman" w:cs="Times New Roman"/>
          <w:bCs/>
          <w:color w:val="202122"/>
          <w:sz w:val="28"/>
          <w:szCs w:val="28"/>
          <w:shd w:val="clear" w:color="auto" w:fill="FFFFFF"/>
        </w:rPr>
        <w:t xml:space="preserve">, </w:t>
      </w:r>
      <w:r w:rsidRPr="0096104B">
        <w:rPr>
          <w:rFonts w:ascii="Times New Roman" w:hAnsi="Times New Roman" w:cs="Times New Roman"/>
          <w:color w:val="202122"/>
          <w:sz w:val="28"/>
          <w:szCs w:val="28"/>
        </w:rPr>
        <w:t xml:space="preserve">in </w:t>
      </w:r>
      <w:r w:rsidRPr="0096104B">
        <w:rPr>
          <w:rFonts w:ascii="Times New Roman" w:hAnsi="Times New Roman" w:cs="Times New Roman"/>
          <w:i/>
          <w:color w:val="202122"/>
          <w:sz w:val="28"/>
          <w:szCs w:val="28"/>
        </w:rPr>
        <w:t>Enciclopedia cattolica</w:t>
      </w:r>
      <w:r w:rsidRPr="0096104B">
        <w:rPr>
          <w:rFonts w:ascii="Times New Roman" w:hAnsi="Times New Roman" w:cs="Times New Roman"/>
          <w:color w:val="202122"/>
          <w:sz w:val="28"/>
          <w:szCs w:val="28"/>
        </w:rPr>
        <w:t xml:space="preserve">, Vol. 12, </w:t>
      </w:r>
      <w:r w:rsidRPr="0096104B">
        <w:rPr>
          <w:rFonts w:ascii="Times New Roman" w:hAnsi="Times New Roman" w:cs="Times New Roman"/>
          <w:sz w:val="28"/>
          <w:szCs w:val="28"/>
        </w:rPr>
        <w:t>Roma,</w:t>
      </w:r>
      <w:r w:rsidRPr="0096104B">
        <w:rPr>
          <w:rFonts w:ascii="Times New Roman" w:hAnsi="Times New Roman" w:cs="Times New Roman"/>
          <w:color w:val="202122"/>
          <w:sz w:val="28"/>
          <w:szCs w:val="28"/>
        </w:rPr>
        <w:t>1948, p. 140.</w:t>
      </w:r>
    </w:p>
    <w:p w14:paraId="4B864EE0"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Borgna, </w:t>
      </w:r>
      <w:r w:rsidRPr="0096104B">
        <w:rPr>
          <w:rFonts w:ascii="Times New Roman" w:hAnsi="Times New Roman" w:cs="Times New Roman"/>
          <w:i/>
          <w:iCs/>
          <w:sz w:val="28"/>
          <w:szCs w:val="28"/>
        </w:rPr>
        <w:t>Trivandrum</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Vol.12, Roma, 1948, p. 558.</w:t>
      </w:r>
    </w:p>
    <w:p w14:paraId="7A8CBB24" w14:textId="77777777" w:rsidR="00B3403A" w:rsidRPr="0096104B" w:rsidRDefault="00B3403A" w:rsidP="00484F9B">
      <w:pPr>
        <w:pStyle w:val="Testonotaapidipagina"/>
        <w:spacing w:line="360" w:lineRule="auto"/>
        <w:ind w:left="680" w:right="340"/>
        <w:jc w:val="both"/>
        <w:rPr>
          <w:rFonts w:ascii="Times New Roman" w:hAnsi="Times New Roman" w:cs="Times New Roman"/>
          <w:color w:val="202122"/>
          <w:sz w:val="28"/>
          <w:szCs w:val="28"/>
        </w:rPr>
      </w:pPr>
      <w:r w:rsidRPr="0096104B">
        <w:rPr>
          <w:rFonts w:ascii="Times New Roman" w:hAnsi="Times New Roman" w:cs="Times New Roman"/>
          <w:sz w:val="28"/>
          <w:szCs w:val="28"/>
        </w:rPr>
        <w:t>P. Borgna,</w:t>
      </w:r>
      <w:r w:rsidRPr="0096104B">
        <w:rPr>
          <w:rFonts w:ascii="Times New Roman" w:hAnsi="Times New Roman" w:cs="Times New Roman"/>
          <w:bCs/>
          <w:color w:val="202122"/>
          <w:sz w:val="28"/>
          <w:szCs w:val="28"/>
          <w:shd w:val="clear" w:color="auto" w:fill="FFFFFF"/>
        </w:rPr>
        <w:t xml:space="preserve"> </w:t>
      </w:r>
      <w:r w:rsidRPr="0096104B">
        <w:rPr>
          <w:rFonts w:ascii="Times New Roman" w:hAnsi="Times New Roman" w:cs="Times New Roman"/>
          <w:bCs/>
          <w:i/>
          <w:color w:val="202122"/>
          <w:sz w:val="28"/>
          <w:szCs w:val="28"/>
          <w:shd w:val="clear" w:color="auto" w:fill="FFFFFF"/>
        </w:rPr>
        <w:t>Vijayawada</w:t>
      </w:r>
      <w:r w:rsidRPr="0096104B">
        <w:rPr>
          <w:rFonts w:ascii="Times New Roman" w:hAnsi="Times New Roman" w:cs="Times New Roman"/>
          <w:bCs/>
          <w:color w:val="202122"/>
          <w:sz w:val="28"/>
          <w:szCs w:val="28"/>
          <w:shd w:val="clear" w:color="auto" w:fill="FFFFFF"/>
        </w:rPr>
        <w:t xml:space="preserve">, </w:t>
      </w:r>
      <w:r w:rsidRPr="0096104B">
        <w:rPr>
          <w:rFonts w:ascii="Times New Roman" w:hAnsi="Times New Roman" w:cs="Times New Roman"/>
          <w:color w:val="202122"/>
          <w:sz w:val="28"/>
          <w:szCs w:val="28"/>
        </w:rPr>
        <w:t xml:space="preserve">in </w:t>
      </w:r>
      <w:r w:rsidRPr="0096104B">
        <w:rPr>
          <w:rFonts w:ascii="Times New Roman" w:hAnsi="Times New Roman" w:cs="Times New Roman"/>
          <w:i/>
          <w:color w:val="202122"/>
          <w:sz w:val="28"/>
          <w:szCs w:val="28"/>
        </w:rPr>
        <w:t>Enciclopedia cattolica</w:t>
      </w:r>
      <w:r w:rsidRPr="0096104B">
        <w:rPr>
          <w:rFonts w:ascii="Times New Roman" w:hAnsi="Times New Roman" w:cs="Times New Roman"/>
          <w:color w:val="202122"/>
          <w:sz w:val="28"/>
          <w:szCs w:val="28"/>
        </w:rPr>
        <w:t xml:space="preserve">, Vol. 12, </w:t>
      </w:r>
      <w:r w:rsidRPr="0096104B">
        <w:rPr>
          <w:rFonts w:ascii="Times New Roman" w:hAnsi="Times New Roman" w:cs="Times New Roman"/>
          <w:sz w:val="28"/>
          <w:szCs w:val="28"/>
        </w:rPr>
        <w:t xml:space="preserve">Roma, </w:t>
      </w:r>
      <w:r w:rsidRPr="0096104B">
        <w:rPr>
          <w:rFonts w:ascii="Times New Roman" w:hAnsi="Times New Roman" w:cs="Times New Roman"/>
          <w:color w:val="202122"/>
          <w:sz w:val="28"/>
          <w:szCs w:val="28"/>
        </w:rPr>
        <w:t>1948, p.1422.</w:t>
      </w:r>
    </w:p>
    <w:p w14:paraId="03F45722"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p>
    <w:p w14:paraId="4FBF5AFD" w14:textId="77777777" w:rsidR="00B3403A" w:rsidRPr="0096104B" w:rsidRDefault="00B3403A" w:rsidP="00484F9B">
      <w:pPr>
        <w:spacing w:after="0" w:line="360" w:lineRule="auto"/>
        <w:ind w:left="680" w:right="340"/>
        <w:jc w:val="both"/>
        <w:rPr>
          <w:rFonts w:ascii="Times New Roman" w:hAnsi="Times New Roman" w:cs="Times New Roman"/>
          <w:color w:val="202122"/>
          <w:sz w:val="28"/>
          <w:szCs w:val="28"/>
        </w:rPr>
      </w:pPr>
      <w:r w:rsidRPr="0096104B">
        <w:rPr>
          <w:rFonts w:ascii="Times New Roman" w:hAnsi="Times New Roman" w:cs="Times New Roman"/>
          <w:sz w:val="28"/>
          <w:szCs w:val="28"/>
        </w:rPr>
        <w:lastRenderedPageBreak/>
        <w:t xml:space="preserve">P. Borgna, </w:t>
      </w:r>
      <w:r w:rsidRPr="0096104B">
        <w:rPr>
          <w:rFonts w:ascii="Times New Roman" w:hAnsi="Times New Roman" w:cs="Times New Roman"/>
          <w:i/>
          <w:color w:val="202122"/>
          <w:sz w:val="28"/>
          <w:szCs w:val="28"/>
        </w:rPr>
        <w:t>Visakhapatnam</w:t>
      </w:r>
      <w:r w:rsidRPr="0096104B">
        <w:rPr>
          <w:rFonts w:ascii="Times New Roman" w:hAnsi="Times New Roman" w:cs="Times New Roman"/>
          <w:color w:val="202122"/>
          <w:sz w:val="28"/>
          <w:szCs w:val="28"/>
        </w:rPr>
        <w:t xml:space="preserve">, in </w:t>
      </w:r>
      <w:r w:rsidRPr="0096104B">
        <w:rPr>
          <w:rFonts w:ascii="Times New Roman" w:hAnsi="Times New Roman" w:cs="Times New Roman"/>
          <w:i/>
          <w:color w:val="202122"/>
          <w:sz w:val="28"/>
          <w:szCs w:val="28"/>
        </w:rPr>
        <w:t>Enciclopedia cattolica</w:t>
      </w:r>
      <w:r w:rsidRPr="0096104B">
        <w:rPr>
          <w:rFonts w:ascii="Times New Roman" w:hAnsi="Times New Roman" w:cs="Times New Roman"/>
          <w:color w:val="202122"/>
          <w:sz w:val="28"/>
          <w:szCs w:val="28"/>
        </w:rPr>
        <w:t xml:space="preserve">, Vol. 12, </w:t>
      </w:r>
      <w:r w:rsidRPr="0096104B">
        <w:rPr>
          <w:rFonts w:ascii="Times New Roman" w:hAnsi="Times New Roman" w:cs="Times New Roman"/>
          <w:sz w:val="28"/>
          <w:szCs w:val="28"/>
        </w:rPr>
        <w:t xml:space="preserve">Roma, </w:t>
      </w:r>
      <w:r w:rsidRPr="0096104B">
        <w:rPr>
          <w:rFonts w:ascii="Times New Roman" w:hAnsi="Times New Roman" w:cs="Times New Roman"/>
          <w:color w:val="202122"/>
          <w:sz w:val="28"/>
          <w:szCs w:val="28"/>
        </w:rPr>
        <w:t>1948, p. 1474.</w:t>
      </w:r>
    </w:p>
    <w:p w14:paraId="7B12791E"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Boscaro, </w:t>
      </w:r>
      <w:r w:rsidRPr="0096104B">
        <w:rPr>
          <w:rFonts w:ascii="Times New Roman" w:hAnsi="Times New Roman" w:cs="Times New Roman"/>
          <w:i/>
          <w:sz w:val="28"/>
          <w:szCs w:val="28"/>
        </w:rPr>
        <w:t>Ventura e sventura dei gesuiti in Giappone</w:t>
      </w:r>
      <w:r w:rsidRPr="0096104B">
        <w:rPr>
          <w:rFonts w:ascii="Times New Roman" w:hAnsi="Times New Roman" w:cs="Times New Roman"/>
          <w:sz w:val="28"/>
          <w:szCs w:val="28"/>
        </w:rPr>
        <w:t xml:space="preserve"> (1549-1639), Venezia, 2008.</w:t>
      </w:r>
    </w:p>
    <w:p w14:paraId="0EBD729B"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Capovilla, </w:t>
      </w:r>
      <w:r w:rsidRPr="0096104B">
        <w:rPr>
          <w:rFonts w:ascii="Times New Roman" w:hAnsi="Times New Roman" w:cs="Times New Roman"/>
          <w:i/>
          <w:sz w:val="28"/>
          <w:szCs w:val="28"/>
        </w:rPr>
        <w:t>Missionari Figli del Sacro Cuore di Gesù</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Vol.8, 1948, Roma, p. 1108.</w:t>
      </w:r>
    </w:p>
    <w:p w14:paraId="14E25DC8"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Carandente, </w:t>
      </w:r>
      <w:r w:rsidRPr="0096104B">
        <w:rPr>
          <w:rFonts w:ascii="Times New Roman" w:hAnsi="Times New Roman" w:cs="Times New Roman"/>
          <w:i/>
          <w:sz w:val="28"/>
          <w:szCs w:val="28"/>
        </w:rPr>
        <w:t>Cina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3, Roma, 1948, p. 1670.</w:t>
      </w:r>
    </w:p>
    <w:p w14:paraId="4B348158"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F. Cardini, </w:t>
      </w:r>
      <w:r w:rsidRPr="0096104B">
        <w:rPr>
          <w:rFonts w:ascii="Times New Roman" w:hAnsi="Times New Roman" w:cs="Times New Roman"/>
          <w:i/>
          <w:sz w:val="28"/>
          <w:szCs w:val="28"/>
        </w:rPr>
        <w:t>Giappone, la storia segreta dei martiri cristiani</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Vita e Pensiero</w:t>
      </w:r>
      <w:r>
        <w:rPr>
          <w:rFonts w:ascii="Times New Roman" w:hAnsi="Times New Roman" w:cs="Times New Roman"/>
          <w:sz w:val="28"/>
          <w:szCs w:val="28"/>
        </w:rPr>
        <w:t>, n.5, 2016.</w:t>
      </w:r>
    </w:p>
    <w:p w14:paraId="3852F5F2"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M. Castellano, </w:t>
      </w:r>
      <w:r w:rsidRPr="0096104B">
        <w:rPr>
          <w:rFonts w:ascii="Times New Roman" w:hAnsi="Times New Roman" w:cs="Times New Roman"/>
          <w:i/>
          <w:sz w:val="28"/>
          <w:szCs w:val="28"/>
        </w:rPr>
        <w:t>Metropolita,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 xml:space="preserve">Enciclopedia cattolica, </w:t>
      </w:r>
      <w:r w:rsidRPr="0096104B">
        <w:rPr>
          <w:rFonts w:ascii="Times New Roman" w:hAnsi="Times New Roman" w:cs="Times New Roman"/>
          <w:sz w:val="28"/>
          <w:szCs w:val="28"/>
        </w:rPr>
        <w:t>Vol.</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8, Roma, 1948, p. 915.</w:t>
      </w:r>
    </w:p>
    <w:p w14:paraId="61B20AB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Chiminelli, </w:t>
      </w:r>
      <w:r w:rsidRPr="0096104B">
        <w:rPr>
          <w:rFonts w:ascii="Times New Roman" w:hAnsi="Times New Roman" w:cs="Times New Roman"/>
          <w:i/>
          <w:sz w:val="28"/>
          <w:szCs w:val="28"/>
        </w:rPr>
        <w:t>Ordine del S.mo Salvatore e S. Brigida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9, 1948, Roma, p. 241.</w:t>
      </w:r>
    </w:p>
    <w:p w14:paraId="06532652"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C. Corvo, </w:t>
      </w:r>
      <w:r w:rsidRPr="0096104B">
        <w:rPr>
          <w:rFonts w:ascii="Times New Roman" w:hAnsi="Times New Roman" w:cs="Times New Roman"/>
          <w:i/>
          <w:sz w:val="28"/>
          <w:szCs w:val="28"/>
        </w:rPr>
        <w:t>Gulu</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6, Roma, 1948, p. 1306</w:t>
      </w:r>
      <w:r>
        <w:rPr>
          <w:rFonts w:ascii="Times New Roman" w:hAnsi="Times New Roman" w:cs="Times New Roman"/>
          <w:sz w:val="28"/>
          <w:szCs w:val="28"/>
        </w:rPr>
        <w:t>.</w:t>
      </w:r>
    </w:p>
    <w:p w14:paraId="3EF1BE9A"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C.</w:t>
      </w:r>
      <w:r>
        <w:rPr>
          <w:rFonts w:ascii="Times New Roman" w:hAnsi="Times New Roman" w:cs="Times New Roman"/>
          <w:sz w:val="28"/>
          <w:szCs w:val="28"/>
        </w:rPr>
        <w:t xml:space="preserve"> </w:t>
      </w:r>
      <w:r w:rsidRPr="0096104B">
        <w:rPr>
          <w:rFonts w:ascii="Times New Roman" w:hAnsi="Times New Roman" w:cs="Times New Roman"/>
          <w:sz w:val="28"/>
          <w:szCs w:val="28"/>
        </w:rPr>
        <w:t xml:space="preserve">Corvo, </w:t>
      </w:r>
      <w:r w:rsidRPr="0096104B">
        <w:rPr>
          <w:rFonts w:ascii="Times New Roman" w:hAnsi="Times New Roman" w:cs="Times New Roman"/>
          <w:i/>
          <w:sz w:val="28"/>
          <w:szCs w:val="28"/>
        </w:rPr>
        <w:t>Kivu</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7, Roma, 1948, p. 712.</w:t>
      </w:r>
    </w:p>
    <w:p w14:paraId="5B29F73B"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C. Corvo, </w:t>
      </w:r>
      <w:r w:rsidRPr="0096104B">
        <w:rPr>
          <w:rFonts w:ascii="Times New Roman" w:hAnsi="Times New Roman" w:cs="Times New Roman"/>
          <w:i/>
          <w:sz w:val="28"/>
          <w:szCs w:val="28"/>
        </w:rPr>
        <w:t>Lisala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Vol.7, Roma, 1948, p. 1410</w:t>
      </w:r>
      <w:r>
        <w:rPr>
          <w:rFonts w:ascii="Times New Roman" w:hAnsi="Times New Roman" w:cs="Times New Roman"/>
          <w:sz w:val="28"/>
          <w:szCs w:val="28"/>
        </w:rPr>
        <w:t>.</w:t>
      </w:r>
    </w:p>
    <w:p w14:paraId="73FE71BD"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M. Costalunga, </w:t>
      </w:r>
      <w:r w:rsidRPr="0096104B">
        <w:rPr>
          <w:rFonts w:ascii="Times New Roman" w:hAnsi="Times New Roman" w:cs="Times New Roman"/>
          <w:i/>
          <w:sz w:val="28"/>
          <w:szCs w:val="28"/>
        </w:rPr>
        <w:t>L’organizzazione in province e regioni ecclesiastiche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Conferenza per l’attualizzazione del diritto canonico</w:t>
      </w:r>
      <w:r w:rsidRPr="0096104B">
        <w:rPr>
          <w:rFonts w:ascii="Times New Roman" w:hAnsi="Times New Roman" w:cs="Times New Roman"/>
          <w:sz w:val="28"/>
          <w:szCs w:val="28"/>
        </w:rPr>
        <w:t>, Roma, 16 settembre 1982.</w:t>
      </w:r>
    </w:p>
    <w:p w14:paraId="035E61AA"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Cottimo, </w:t>
      </w:r>
      <w:r w:rsidRPr="0096104B">
        <w:rPr>
          <w:rFonts w:ascii="Times New Roman" w:hAnsi="Times New Roman" w:cs="Times New Roman"/>
          <w:i/>
          <w:sz w:val="28"/>
          <w:szCs w:val="28"/>
        </w:rPr>
        <w:t>Missionarie di Nostra Signora Africa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Vol.8, Roma, 1948, p. 1106.</w:t>
      </w:r>
    </w:p>
    <w:p w14:paraId="56D56FED"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C. Crivelli, </w:t>
      </w:r>
      <w:r w:rsidRPr="0096104B">
        <w:rPr>
          <w:rFonts w:ascii="Times New Roman" w:hAnsi="Times New Roman" w:cs="Times New Roman"/>
          <w:i/>
          <w:sz w:val="28"/>
          <w:szCs w:val="28"/>
        </w:rPr>
        <w:t>America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Vol.1, Roma, 1948, pp. 1051-1052.</w:t>
      </w:r>
    </w:p>
    <w:p w14:paraId="5533C7A4"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D’Auria, </w:t>
      </w:r>
      <w:r w:rsidRPr="0096104B">
        <w:rPr>
          <w:rFonts w:ascii="Times New Roman" w:hAnsi="Times New Roman" w:cs="Times New Roman"/>
          <w:i/>
          <w:sz w:val="28"/>
          <w:szCs w:val="28"/>
        </w:rPr>
        <w:t>La specificità del diritto missionario e la sfida dell’evangelizzazione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XVII Convegno di studi</w:t>
      </w:r>
      <w:r w:rsidRPr="0096104B">
        <w:rPr>
          <w:rFonts w:ascii="Times New Roman" w:hAnsi="Times New Roman" w:cs="Times New Roman"/>
          <w:sz w:val="28"/>
          <w:szCs w:val="28"/>
        </w:rPr>
        <w:t>, Roma, 11-12 aprile 2013.</w:t>
      </w:r>
    </w:p>
    <w:p w14:paraId="3E7EB1AD"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Damizia, </w:t>
      </w:r>
      <w:r w:rsidRPr="0096104B">
        <w:rPr>
          <w:rFonts w:ascii="Times New Roman" w:hAnsi="Times New Roman" w:cs="Times New Roman"/>
          <w:i/>
          <w:sz w:val="28"/>
          <w:szCs w:val="28"/>
        </w:rPr>
        <w:t>Quasi-parroci</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Vol.10, Roma, 1948, p. 383.</w:t>
      </w:r>
    </w:p>
    <w:p w14:paraId="1D72FE2F"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p>
    <w:p w14:paraId="5F8E1DB9"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lastRenderedPageBreak/>
        <w:t xml:space="preserve">M. Da Pobladura, </w:t>
      </w:r>
      <w:r w:rsidRPr="0096104B">
        <w:rPr>
          <w:rFonts w:ascii="Times New Roman" w:hAnsi="Times New Roman" w:cs="Times New Roman"/>
          <w:i/>
          <w:sz w:val="28"/>
          <w:szCs w:val="28"/>
        </w:rPr>
        <w:t>Zamora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12, Roma, 1948, p. 1773.</w:t>
      </w:r>
    </w:p>
    <w:p w14:paraId="6A173B7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M. T. Dolso, </w:t>
      </w:r>
      <w:r w:rsidRPr="0096104B">
        <w:rPr>
          <w:rFonts w:ascii="Times New Roman" w:hAnsi="Times New Roman" w:cs="Times New Roman"/>
          <w:i/>
          <w:sz w:val="28"/>
          <w:szCs w:val="28"/>
        </w:rPr>
        <w:t>L’impatto degli ordini mendicanti nella storia del basso medioevo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Quaderni di storia religiosa medievale,</w:t>
      </w:r>
      <w:r w:rsidRPr="0096104B">
        <w:rPr>
          <w:rFonts w:ascii="Times New Roman" w:hAnsi="Times New Roman" w:cs="Times New Roman"/>
          <w:sz w:val="28"/>
          <w:szCs w:val="28"/>
        </w:rPr>
        <w:t xml:space="preserve"> Fascicolo 2, luglio-dicembre 2019.</w:t>
      </w:r>
    </w:p>
    <w:p w14:paraId="185033D9"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V. Fagiolo, </w:t>
      </w:r>
      <w:r w:rsidRPr="0096104B">
        <w:rPr>
          <w:rFonts w:ascii="Times New Roman" w:hAnsi="Times New Roman" w:cs="Times New Roman"/>
          <w:i/>
          <w:sz w:val="28"/>
          <w:szCs w:val="28"/>
        </w:rPr>
        <w:t>Privilegio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10, Roma, 1948, p. 49. </w:t>
      </w:r>
    </w:p>
    <w:p w14:paraId="57E1BE7C"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color w:val="000000"/>
          <w:sz w:val="28"/>
          <w:szCs w:val="28"/>
          <w:shd w:val="clear" w:color="auto" w:fill="FFFFFF"/>
        </w:rPr>
        <w:t>C. Fantappiè,</w:t>
      </w:r>
      <w:r w:rsidRPr="0096104B">
        <w:rPr>
          <w:rFonts w:ascii="Times New Roman" w:hAnsi="Times New Roman" w:cs="Times New Roman"/>
          <w:sz w:val="28"/>
          <w:szCs w:val="28"/>
        </w:rPr>
        <w:t xml:space="preserve"> </w:t>
      </w:r>
      <w:r w:rsidRPr="0096104B">
        <w:rPr>
          <w:rFonts w:ascii="Times New Roman" w:hAnsi="Times New Roman" w:cs="Times New Roman"/>
          <w:i/>
          <w:sz w:val="28"/>
          <w:szCs w:val="28"/>
        </w:rPr>
        <w:t xml:space="preserve">Vantaggi e limiti della codificazione del 1917, </w:t>
      </w:r>
      <w:r w:rsidRPr="0096104B">
        <w:rPr>
          <w:rFonts w:ascii="Times New Roman" w:hAnsi="Times New Roman" w:cs="Times New Roman"/>
          <w:sz w:val="28"/>
          <w:szCs w:val="28"/>
        </w:rPr>
        <w:t xml:space="preserve">in </w:t>
      </w:r>
      <w:r w:rsidRPr="0096104B">
        <w:rPr>
          <w:rFonts w:ascii="Times New Roman" w:hAnsi="Times New Roman" w:cs="Times New Roman"/>
          <w:i/>
          <w:sz w:val="28"/>
          <w:szCs w:val="28"/>
        </w:rPr>
        <w:t>diritto canonico e culture giuridiche nel centenario del Codex iuris canonici</w:t>
      </w:r>
      <w:r w:rsidRPr="0096104B">
        <w:rPr>
          <w:rFonts w:ascii="Times New Roman" w:hAnsi="Times New Roman" w:cs="Times New Roman"/>
          <w:sz w:val="28"/>
          <w:szCs w:val="28"/>
        </w:rPr>
        <w:t xml:space="preserve"> del 1917 Atti del XVI Congresso Internazionale della Consociatio Internationalis Studio Iuris Canonici Promovendo, Roma 4-7 ottobre 2017.</w:t>
      </w:r>
    </w:p>
    <w:p w14:paraId="0A556CCC"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C. Fantappiè, </w:t>
      </w:r>
      <w:r w:rsidRPr="0096104B">
        <w:rPr>
          <w:rFonts w:ascii="Times New Roman" w:hAnsi="Times New Roman" w:cs="Times New Roman"/>
          <w:i/>
          <w:sz w:val="28"/>
          <w:szCs w:val="28"/>
        </w:rPr>
        <w:t>Per un cambio di paradigma: Diritto canonico, teologia e riforme nella Chiesa</w:t>
      </w:r>
      <w:r w:rsidRPr="0096104B">
        <w:rPr>
          <w:rFonts w:ascii="Times New Roman" w:hAnsi="Times New Roman" w:cs="Times New Roman"/>
          <w:sz w:val="28"/>
          <w:szCs w:val="28"/>
        </w:rPr>
        <w:t>, Bologna, 2019.</w:t>
      </w:r>
    </w:p>
    <w:p w14:paraId="0A3B881C"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Ferrari, </w:t>
      </w:r>
      <w:r w:rsidRPr="0096104B">
        <w:rPr>
          <w:rFonts w:ascii="Times New Roman" w:hAnsi="Times New Roman" w:cs="Times New Roman"/>
          <w:i/>
          <w:sz w:val="28"/>
          <w:szCs w:val="28"/>
        </w:rPr>
        <w:t>A cent’anni dalla “Maximum illud” di Benedetto XV</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Settimananews</w:t>
      </w:r>
      <w:r w:rsidRPr="0096104B">
        <w:rPr>
          <w:rFonts w:ascii="Times New Roman" w:hAnsi="Times New Roman" w:cs="Times New Roman"/>
          <w:sz w:val="28"/>
          <w:szCs w:val="28"/>
        </w:rPr>
        <w:t>, 3 dicembre 2019.</w:t>
      </w:r>
    </w:p>
    <w:p w14:paraId="28E13DEA"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Style w:val="fontstyle01"/>
          <w:rFonts w:ascii="Times New Roman" w:hAnsi="Times New Roman" w:cs="Times New Roman"/>
          <w:sz w:val="28"/>
          <w:szCs w:val="28"/>
        </w:rPr>
        <w:t xml:space="preserve">J. G. Martin, </w:t>
      </w:r>
      <w:r w:rsidRPr="0096104B">
        <w:rPr>
          <w:rStyle w:val="fontstyle21"/>
          <w:rFonts w:ascii="Times New Roman" w:hAnsi="Times New Roman" w:cs="Times New Roman"/>
          <w:sz w:val="28"/>
          <w:szCs w:val="28"/>
        </w:rPr>
        <w:t>L’azione missionaria nel Codex Iuris Canonici</w:t>
      </w:r>
      <w:r w:rsidRPr="0096104B">
        <w:rPr>
          <w:rStyle w:val="fontstyle01"/>
          <w:rFonts w:ascii="Times New Roman" w:hAnsi="Times New Roman" w:cs="Times New Roman"/>
          <w:sz w:val="28"/>
          <w:szCs w:val="28"/>
        </w:rPr>
        <w:t>, Roma 2005.</w:t>
      </w:r>
    </w:p>
    <w:p w14:paraId="64110622"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L. Giambene, </w:t>
      </w:r>
      <w:r w:rsidRPr="0096104B">
        <w:rPr>
          <w:rFonts w:ascii="Times New Roman" w:hAnsi="Times New Roman" w:cs="Times New Roman"/>
          <w:i/>
          <w:sz w:val="28"/>
          <w:szCs w:val="28"/>
        </w:rPr>
        <w:t>Missione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italiana</w:t>
      </w:r>
      <w:r w:rsidRPr="0096104B">
        <w:rPr>
          <w:rFonts w:ascii="Times New Roman" w:hAnsi="Times New Roman" w:cs="Times New Roman"/>
          <w:sz w:val="28"/>
          <w:szCs w:val="28"/>
        </w:rPr>
        <w:t>, Roma, 1934.</w:t>
      </w:r>
    </w:p>
    <w:p w14:paraId="7C25352B"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V. Gillard, </w:t>
      </w:r>
      <w:r w:rsidRPr="0096104B">
        <w:rPr>
          <w:rFonts w:ascii="Times New Roman" w:hAnsi="Times New Roman" w:cs="Times New Roman"/>
          <w:i/>
          <w:sz w:val="28"/>
          <w:szCs w:val="28"/>
        </w:rPr>
        <w:t>Missionari d’Africa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Vol.8, Roma, 1948, p. 1091.</w:t>
      </w:r>
    </w:p>
    <w:p w14:paraId="3A75A543"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E. Goulet, </w:t>
      </w:r>
      <w:r w:rsidRPr="0096104B">
        <w:rPr>
          <w:rFonts w:ascii="Times New Roman" w:hAnsi="Times New Roman" w:cs="Times New Roman"/>
          <w:i/>
          <w:sz w:val="28"/>
          <w:szCs w:val="28"/>
        </w:rPr>
        <w:t>Missioni</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italiana</w:t>
      </w:r>
      <w:r w:rsidRPr="0096104B">
        <w:rPr>
          <w:rFonts w:ascii="Times New Roman" w:hAnsi="Times New Roman" w:cs="Times New Roman"/>
          <w:sz w:val="28"/>
          <w:szCs w:val="28"/>
        </w:rPr>
        <w:t>, Roma, 1934.</w:t>
      </w:r>
    </w:p>
    <w:p w14:paraId="4E51D1E2" w14:textId="77777777" w:rsidR="00B3403A" w:rsidRPr="0096104B" w:rsidRDefault="00B3403A" w:rsidP="00484F9B">
      <w:pPr>
        <w:spacing w:after="0" w:line="360" w:lineRule="auto"/>
        <w:ind w:left="680" w:right="340"/>
        <w:jc w:val="both"/>
        <w:rPr>
          <w:rFonts w:ascii="Times New Roman" w:hAnsi="Times New Roman" w:cs="Times New Roman"/>
          <w:color w:val="201F1E"/>
          <w:sz w:val="28"/>
          <w:szCs w:val="28"/>
          <w:shd w:val="clear" w:color="auto" w:fill="FFFFFF"/>
        </w:rPr>
      </w:pPr>
      <w:r w:rsidRPr="0096104B">
        <w:rPr>
          <w:rFonts w:ascii="Times New Roman" w:hAnsi="Times New Roman" w:cs="Times New Roman"/>
          <w:color w:val="201F1E"/>
          <w:sz w:val="28"/>
          <w:szCs w:val="28"/>
          <w:shd w:val="clear" w:color="auto" w:fill="FFFFFF"/>
        </w:rPr>
        <w:t xml:space="preserve">Th. Grentrup, </w:t>
      </w:r>
      <w:r w:rsidRPr="0096104B">
        <w:rPr>
          <w:rFonts w:ascii="Times New Roman" w:hAnsi="Times New Roman" w:cs="Times New Roman"/>
          <w:i/>
          <w:color w:val="201F1E"/>
          <w:sz w:val="28"/>
          <w:szCs w:val="28"/>
          <w:shd w:val="clear" w:color="auto" w:fill="FFFFFF"/>
        </w:rPr>
        <w:t>Jus missionarium  quod in formam compendii redactum scripsit</w:t>
      </w:r>
      <w:r w:rsidRPr="0096104B">
        <w:rPr>
          <w:rFonts w:ascii="Times New Roman" w:hAnsi="Times New Roman" w:cs="Times New Roman"/>
          <w:color w:val="201F1E"/>
          <w:sz w:val="28"/>
          <w:szCs w:val="28"/>
          <w:shd w:val="clear" w:color="auto" w:fill="FFFFFF"/>
        </w:rPr>
        <w:t>, 1925, Roma.</w:t>
      </w:r>
    </w:p>
    <w:p w14:paraId="33ED9D13"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Grossi, </w:t>
      </w:r>
      <w:r w:rsidRPr="0096104B">
        <w:rPr>
          <w:rFonts w:ascii="Times New Roman" w:hAnsi="Times New Roman" w:cs="Times New Roman"/>
          <w:i/>
          <w:sz w:val="28"/>
          <w:szCs w:val="28"/>
        </w:rPr>
        <w:t>Diritto canonico e cultura giuridica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Quaderni fiorentini</w:t>
      </w:r>
      <w:r w:rsidRPr="0096104B">
        <w:rPr>
          <w:rFonts w:ascii="Times New Roman" w:hAnsi="Times New Roman" w:cs="Times New Roman"/>
          <w:sz w:val="28"/>
          <w:szCs w:val="28"/>
        </w:rPr>
        <w:t>, 32, 2003</w:t>
      </w:r>
      <w:r>
        <w:rPr>
          <w:rFonts w:ascii="Times New Roman" w:hAnsi="Times New Roman" w:cs="Times New Roman"/>
          <w:sz w:val="28"/>
          <w:szCs w:val="28"/>
        </w:rPr>
        <w:t>.</w:t>
      </w:r>
    </w:p>
    <w:p w14:paraId="3DAFB0CD"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M. Ippolito, </w:t>
      </w:r>
      <w:r w:rsidRPr="0096104B">
        <w:rPr>
          <w:rFonts w:ascii="Times New Roman" w:hAnsi="Times New Roman" w:cs="Times New Roman"/>
          <w:i/>
          <w:sz w:val="28"/>
          <w:szCs w:val="28"/>
        </w:rPr>
        <w:t>Missioni cristiane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italiana</w:t>
      </w:r>
      <w:r w:rsidRPr="0096104B">
        <w:rPr>
          <w:rFonts w:ascii="Times New Roman" w:hAnsi="Times New Roman" w:cs="Times New Roman"/>
          <w:sz w:val="28"/>
          <w:szCs w:val="28"/>
        </w:rPr>
        <w:t>, Roma 2006.</w:t>
      </w:r>
    </w:p>
    <w:p w14:paraId="181E8C94"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Lexicon totius latinatis</w:t>
      </w:r>
      <w:r w:rsidRPr="0096104B">
        <w:rPr>
          <w:rFonts w:ascii="Times New Roman" w:hAnsi="Times New Roman" w:cs="Times New Roman"/>
          <w:sz w:val="28"/>
          <w:szCs w:val="28"/>
        </w:rPr>
        <w:t>, Tom III, v. Missio, Patavii 1871, rist 1940.</w:t>
      </w:r>
    </w:p>
    <w:p w14:paraId="6703D70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Löw, </w:t>
      </w:r>
      <w:r w:rsidRPr="0096104B">
        <w:rPr>
          <w:rFonts w:ascii="Times New Roman" w:hAnsi="Times New Roman" w:cs="Times New Roman"/>
          <w:i/>
          <w:sz w:val="28"/>
          <w:szCs w:val="28"/>
        </w:rPr>
        <w:t>Calendario della Chiesa universale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3, Roma,</w:t>
      </w:r>
      <w:r>
        <w:rPr>
          <w:rFonts w:ascii="Times New Roman" w:hAnsi="Times New Roman" w:cs="Times New Roman"/>
          <w:sz w:val="28"/>
          <w:szCs w:val="28"/>
        </w:rPr>
        <w:t>1948, p.364.</w:t>
      </w:r>
    </w:p>
    <w:p w14:paraId="195C98B6"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D. MacDaid, </w:t>
      </w:r>
      <w:r w:rsidRPr="0096104B">
        <w:rPr>
          <w:rFonts w:ascii="Times New Roman" w:hAnsi="Times New Roman" w:cs="Times New Roman"/>
          <w:i/>
          <w:sz w:val="28"/>
          <w:szCs w:val="28"/>
        </w:rPr>
        <w:t>Clonfert</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Vol.3, Roma, 1948, p.1878.</w:t>
      </w:r>
    </w:p>
    <w:p w14:paraId="105B32F2"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p>
    <w:p w14:paraId="15BE2391"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lastRenderedPageBreak/>
        <w:t xml:space="preserve">A. Mazza, </w:t>
      </w:r>
      <w:r w:rsidRPr="0096104B">
        <w:rPr>
          <w:rFonts w:ascii="Times New Roman" w:hAnsi="Times New Roman" w:cs="Times New Roman"/>
          <w:i/>
          <w:sz w:val="28"/>
          <w:szCs w:val="28"/>
        </w:rPr>
        <w:t>Canelos</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3, Roma,1948, p. 526.</w:t>
      </w:r>
    </w:p>
    <w:p w14:paraId="3A672740"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Mazza, </w:t>
      </w:r>
      <w:r w:rsidRPr="0096104B">
        <w:rPr>
          <w:rFonts w:ascii="Times New Roman" w:hAnsi="Times New Roman" w:cs="Times New Roman"/>
          <w:i/>
          <w:sz w:val="28"/>
          <w:szCs w:val="28"/>
        </w:rPr>
        <w:t>Chaco Parguayano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3, Roma, </w:t>
      </w:r>
      <w:r>
        <w:rPr>
          <w:rFonts w:ascii="Times New Roman" w:hAnsi="Times New Roman" w:cs="Times New Roman"/>
          <w:sz w:val="28"/>
          <w:szCs w:val="28"/>
        </w:rPr>
        <w:t>1948, p. 1368.</w:t>
      </w:r>
    </w:p>
    <w:p w14:paraId="22599739"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Mazza, </w:t>
      </w:r>
      <w:r w:rsidRPr="0096104B">
        <w:rPr>
          <w:rFonts w:ascii="Times New Roman" w:hAnsi="Times New Roman" w:cs="Times New Roman"/>
          <w:i/>
          <w:sz w:val="28"/>
          <w:szCs w:val="28"/>
        </w:rPr>
        <w:t>Iquitos</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7, Roma, 1948, p. 184.</w:t>
      </w:r>
    </w:p>
    <w:p w14:paraId="620B186F"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Mazza, </w:t>
      </w:r>
      <w:r w:rsidRPr="0096104B">
        <w:rPr>
          <w:rFonts w:ascii="Times New Roman" w:hAnsi="Times New Roman" w:cs="Times New Roman"/>
          <w:i/>
          <w:color w:val="0D0D0D" w:themeColor="text1" w:themeTint="F2"/>
          <w:sz w:val="28"/>
          <w:szCs w:val="28"/>
        </w:rPr>
        <w:t>Mendez</w:t>
      </w:r>
      <w:r w:rsidRPr="0096104B">
        <w:rPr>
          <w:rFonts w:ascii="Times New Roman" w:hAnsi="Times New Roman" w:cs="Times New Roman"/>
          <w:color w:val="0D0D0D" w:themeColor="text1" w:themeTint="F2"/>
          <w:sz w:val="28"/>
          <w:szCs w:val="28"/>
        </w:rPr>
        <w:t xml:space="preserve">, </w:t>
      </w:r>
      <w:r w:rsidRPr="0096104B">
        <w:rPr>
          <w:rFonts w:ascii="Times New Roman" w:hAnsi="Times New Roman" w:cs="Times New Roman"/>
          <w:sz w:val="28"/>
          <w:szCs w:val="28"/>
        </w:rPr>
        <w:t xml:space="preserve">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8, Roma, 1948, p. 676.</w:t>
      </w:r>
    </w:p>
    <w:p w14:paraId="5EB5330A"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Mazza, </w:t>
      </w:r>
      <w:r w:rsidRPr="0096104B">
        <w:rPr>
          <w:rFonts w:ascii="Times New Roman" w:hAnsi="Times New Roman" w:cs="Times New Roman"/>
          <w:i/>
          <w:color w:val="0D0D0D" w:themeColor="text1" w:themeTint="F2"/>
          <w:sz w:val="28"/>
          <w:szCs w:val="28"/>
        </w:rPr>
        <w:t>Pilcomayo</w:t>
      </w:r>
      <w:r w:rsidRPr="0096104B">
        <w:rPr>
          <w:rFonts w:ascii="Times New Roman" w:hAnsi="Times New Roman" w:cs="Times New Roman"/>
          <w:color w:val="0D0D0D" w:themeColor="text1" w:themeTint="F2"/>
          <w:sz w:val="28"/>
          <w:szCs w:val="28"/>
        </w:rPr>
        <w:t xml:space="preserve">, in </w:t>
      </w:r>
      <w:r w:rsidRPr="0096104B">
        <w:rPr>
          <w:rFonts w:ascii="Times New Roman" w:hAnsi="Times New Roman" w:cs="Times New Roman"/>
          <w:i/>
          <w:color w:val="0D0D0D" w:themeColor="text1" w:themeTint="F2"/>
          <w:sz w:val="28"/>
          <w:szCs w:val="28"/>
        </w:rPr>
        <w:t>Enciclopedia cattolica</w:t>
      </w:r>
      <w:r w:rsidRPr="0096104B">
        <w:rPr>
          <w:rFonts w:ascii="Times New Roman" w:hAnsi="Times New Roman" w:cs="Times New Roman"/>
          <w:color w:val="0D0D0D" w:themeColor="text1" w:themeTint="F2"/>
          <w:sz w:val="28"/>
          <w:szCs w:val="28"/>
        </w:rPr>
        <w:t>, Vol.9,</w:t>
      </w:r>
      <w:r w:rsidRPr="0096104B">
        <w:rPr>
          <w:rFonts w:ascii="Times New Roman" w:hAnsi="Times New Roman" w:cs="Times New Roman"/>
          <w:sz w:val="28"/>
          <w:szCs w:val="28"/>
        </w:rPr>
        <w:t xml:space="preserve"> Roma,</w:t>
      </w:r>
      <w:r w:rsidRPr="0096104B">
        <w:rPr>
          <w:rFonts w:ascii="Times New Roman" w:hAnsi="Times New Roman" w:cs="Times New Roman"/>
          <w:color w:val="0D0D0D" w:themeColor="text1" w:themeTint="F2"/>
          <w:sz w:val="28"/>
          <w:szCs w:val="28"/>
        </w:rPr>
        <w:t xml:space="preserve"> 1948, p. 1478.</w:t>
      </w:r>
    </w:p>
    <w:p w14:paraId="6873E2DE"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D. Menozzi, </w:t>
      </w:r>
      <w:r w:rsidRPr="0096104B">
        <w:rPr>
          <w:rFonts w:ascii="Times New Roman" w:hAnsi="Times New Roman" w:cs="Times New Roman"/>
          <w:i/>
          <w:sz w:val="28"/>
          <w:szCs w:val="28"/>
        </w:rPr>
        <w:t>La Chiesa cattolica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Storia del cristianesimo (l’età contemporanea)</w:t>
      </w:r>
      <w:r w:rsidRPr="0096104B">
        <w:rPr>
          <w:rFonts w:ascii="Times New Roman" w:hAnsi="Times New Roman" w:cs="Times New Roman"/>
          <w:sz w:val="28"/>
          <w:szCs w:val="28"/>
        </w:rPr>
        <w:t>, a cura di G. Filoramo e D. Menozzi, Bari, 1997.</w:t>
      </w:r>
    </w:p>
    <w:p w14:paraId="40D34F7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J. Metzler, </w:t>
      </w:r>
      <w:r w:rsidRPr="0096104B">
        <w:rPr>
          <w:rFonts w:ascii="Times New Roman" w:hAnsi="Times New Roman" w:cs="Times New Roman"/>
          <w:i/>
          <w:sz w:val="28"/>
          <w:szCs w:val="28"/>
        </w:rPr>
        <w:t>La Santa sede e le missioni. La politica missionaria della Chiesa nei secoli XIX e XX</w:t>
      </w:r>
      <w:r w:rsidRPr="0096104B">
        <w:rPr>
          <w:rFonts w:ascii="Times New Roman" w:hAnsi="Times New Roman" w:cs="Times New Roman"/>
          <w:sz w:val="28"/>
          <w:szCs w:val="28"/>
        </w:rPr>
        <w:t>, Milano, 2002.</w:t>
      </w:r>
    </w:p>
    <w:p w14:paraId="059D5D6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J. Metzler, </w:t>
      </w:r>
      <w:r w:rsidRPr="0096104B">
        <w:rPr>
          <w:rFonts w:ascii="Times New Roman" w:hAnsi="Times New Roman" w:cs="Times New Roman"/>
          <w:i/>
          <w:sz w:val="28"/>
          <w:szCs w:val="28"/>
        </w:rPr>
        <w:t xml:space="preserve">La Congregazione «de Propaganda Fide» e lo sviluppo delle missioni cattoliche (ss. XVIII al XX), </w:t>
      </w:r>
      <w:r w:rsidRPr="0096104B">
        <w:rPr>
          <w:rFonts w:ascii="Times New Roman" w:hAnsi="Times New Roman" w:cs="Times New Roman"/>
          <w:sz w:val="28"/>
          <w:szCs w:val="28"/>
        </w:rPr>
        <w:t xml:space="preserve">in </w:t>
      </w:r>
      <w:r w:rsidRPr="0096104B">
        <w:rPr>
          <w:rFonts w:ascii="Times New Roman" w:hAnsi="Times New Roman" w:cs="Times New Roman"/>
          <w:i/>
          <w:sz w:val="28"/>
          <w:szCs w:val="28"/>
        </w:rPr>
        <w:t>Anuario de historia de la Iglesia</w:t>
      </w:r>
      <w:r w:rsidRPr="0096104B">
        <w:rPr>
          <w:rFonts w:ascii="Times New Roman" w:hAnsi="Times New Roman" w:cs="Times New Roman"/>
          <w:sz w:val="28"/>
          <w:szCs w:val="28"/>
        </w:rPr>
        <w:t>, 2009.</w:t>
      </w:r>
    </w:p>
    <w:p w14:paraId="01142C75"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J. Metzler, </w:t>
      </w:r>
      <w:r w:rsidRPr="0096104B">
        <w:rPr>
          <w:rFonts w:ascii="Times New Roman" w:hAnsi="Times New Roman" w:cs="Times New Roman"/>
          <w:i/>
          <w:sz w:val="28"/>
          <w:szCs w:val="28"/>
        </w:rPr>
        <w:t>Storia della chiesa. Dalle missioni alle Chiese locali (1864-1965)</w:t>
      </w:r>
      <w:r w:rsidRPr="0096104B">
        <w:rPr>
          <w:rFonts w:ascii="Times New Roman" w:hAnsi="Times New Roman" w:cs="Times New Roman"/>
          <w:sz w:val="28"/>
          <w:szCs w:val="28"/>
        </w:rPr>
        <w:t>, Frascati, 1988.</w:t>
      </w:r>
    </w:p>
    <w:p w14:paraId="7DFA2C4A"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B. Mondin</w:t>
      </w:r>
      <w:r w:rsidRPr="0096104B">
        <w:rPr>
          <w:rFonts w:ascii="Times New Roman" w:hAnsi="Times New Roman" w:cs="Times New Roman"/>
          <w:i/>
          <w:sz w:val="28"/>
          <w:szCs w:val="28"/>
        </w:rPr>
        <w:t>, Formazione missionaria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Dizionario di missionologia</w:t>
      </w:r>
      <w:r w:rsidRPr="0096104B">
        <w:rPr>
          <w:rFonts w:ascii="Times New Roman" w:hAnsi="Times New Roman" w:cs="Times New Roman"/>
          <w:sz w:val="28"/>
          <w:szCs w:val="28"/>
        </w:rPr>
        <w:t>, 1933.</w:t>
      </w:r>
    </w:p>
    <w:p w14:paraId="0181FE09" w14:textId="77777777" w:rsidR="00B3403A" w:rsidRPr="0096104B" w:rsidRDefault="00B3403A" w:rsidP="00484F9B">
      <w:pPr>
        <w:pStyle w:val="Testofumetto"/>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B. Mondin, </w:t>
      </w:r>
      <w:r w:rsidRPr="0096104B">
        <w:rPr>
          <w:rFonts w:ascii="Times New Roman" w:hAnsi="Times New Roman" w:cs="Times New Roman"/>
          <w:i/>
          <w:sz w:val="28"/>
          <w:szCs w:val="28"/>
        </w:rPr>
        <w:t>Ad gentes</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Dizionario storico e teologico delle missioni</w:t>
      </w:r>
      <w:r w:rsidRPr="0096104B">
        <w:rPr>
          <w:rFonts w:ascii="Times New Roman" w:hAnsi="Times New Roman" w:cs="Times New Roman"/>
          <w:sz w:val="28"/>
          <w:szCs w:val="28"/>
        </w:rPr>
        <w:t>, Città Vaticano, 2001.</w:t>
      </w:r>
    </w:p>
    <w:p w14:paraId="72FB548A"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B. Mondin, </w:t>
      </w:r>
      <w:r w:rsidRPr="0096104B">
        <w:rPr>
          <w:rFonts w:ascii="Times New Roman" w:hAnsi="Times New Roman" w:cs="Times New Roman"/>
          <w:i/>
          <w:sz w:val="28"/>
          <w:szCs w:val="28"/>
        </w:rPr>
        <w:t xml:space="preserve">Congregazione per l’Evangelizzazione dei popoli (Propaganda fide), </w:t>
      </w:r>
      <w:r w:rsidRPr="0096104B">
        <w:rPr>
          <w:rFonts w:ascii="Times New Roman" w:hAnsi="Times New Roman" w:cs="Times New Roman"/>
          <w:sz w:val="28"/>
          <w:szCs w:val="28"/>
        </w:rPr>
        <w:t xml:space="preserve">in </w:t>
      </w:r>
      <w:r w:rsidRPr="0096104B">
        <w:rPr>
          <w:rFonts w:ascii="Times New Roman" w:hAnsi="Times New Roman" w:cs="Times New Roman"/>
          <w:i/>
          <w:sz w:val="28"/>
          <w:szCs w:val="28"/>
        </w:rPr>
        <w:t>Dizionario storico e teologico delle missioni</w:t>
      </w:r>
      <w:r w:rsidRPr="0096104B">
        <w:rPr>
          <w:rFonts w:ascii="Times New Roman" w:hAnsi="Times New Roman" w:cs="Times New Roman"/>
          <w:sz w:val="28"/>
          <w:szCs w:val="28"/>
        </w:rPr>
        <w:t>, Città Vaticano, 2001.</w:t>
      </w:r>
    </w:p>
    <w:p w14:paraId="2EE737F5"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Monticone, </w:t>
      </w:r>
      <w:r w:rsidRPr="0096104B">
        <w:rPr>
          <w:rFonts w:ascii="Times New Roman" w:hAnsi="Times New Roman" w:cs="Times New Roman"/>
          <w:i/>
          <w:sz w:val="28"/>
          <w:szCs w:val="28"/>
        </w:rPr>
        <w:t>Arauca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Vol.1, Roma, 1948, p. 1770.</w:t>
      </w:r>
    </w:p>
    <w:p w14:paraId="775A80C0" w14:textId="77777777" w:rsidR="00B3403A" w:rsidRPr="00AB0513"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Mori- G. Negri- G. Colosi- L. Grama- G. Colosi – L. Gramatica - F. L. Ganshof, </w:t>
      </w:r>
      <w:r w:rsidRPr="0096104B">
        <w:rPr>
          <w:rFonts w:ascii="Times New Roman" w:hAnsi="Times New Roman" w:cs="Times New Roman"/>
          <w:i/>
          <w:sz w:val="28"/>
          <w:szCs w:val="28"/>
        </w:rPr>
        <w:t>Congo Belga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Italiana</w:t>
      </w:r>
      <w:r>
        <w:rPr>
          <w:rFonts w:ascii="Times New Roman" w:hAnsi="Times New Roman" w:cs="Times New Roman"/>
          <w:sz w:val="28"/>
          <w:szCs w:val="28"/>
        </w:rPr>
        <w:t>, Roma, 1931.</w:t>
      </w:r>
    </w:p>
    <w:p w14:paraId="660A4247" w14:textId="77777777" w:rsidR="00B3403A" w:rsidRPr="00AB0513"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C. Morin, </w:t>
      </w:r>
      <w:r w:rsidRPr="0096104B">
        <w:rPr>
          <w:rFonts w:ascii="Times New Roman" w:hAnsi="Times New Roman" w:cs="Times New Roman"/>
          <w:i/>
          <w:sz w:val="28"/>
          <w:szCs w:val="28"/>
        </w:rPr>
        <w:t>Birmania meridionale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2, Roma,</w:t>
      </w:r>
      <w:r>
        <w:rPr>
          <w:rFonts w:ascii="Times New Roman" w:hAnsi="Times New Roman" w:cs="Times New Roman"/>
          <w:sz w:val="28"/>
          <w:szCs w:val="28"/>
        </w:rPr>
        <w:t>1948, p. 1672.</w:t>
      </w:r>
    </w:p>
    <w:p w14:paraId="329D99CD" w14:textId="77777777" w:rsidR="00B3403A" w:rsidRPr="00AB0513" w:rsidRDefault="00B3403A" w:rsidP="00484F9B">
      <w:pPr>
        <w:pStyle w:val="Testofumetto"/>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C. Morin, </w:t>
      </w:r>
      <w:r w:rsidRPr="0096104B">
        <w:rPr>
          <w:rFonts w:ascii="Times New Roman" w:hAnsi="Times New Roman" w:cs="Times New Roman"/>
          <w:i/>
          <w:sz w:val="28"/>
          <w:szCs w:val="28"/>
        </w:rPr>
        <w:t>Coccino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3, Roma, 1948, p. 1904.</w:t>
      </w:r>
    </w:p>
    <w:p w14:paraId="6322188D" w14:textId="77777777" w:rsidR="00B3403A" w:rsidRPr="0096104B" w:rsidRDefault="00B3403A" w:rsidP="00484F9B">
      <w:pPr>
        <w:spacing w:after="0" w:line="360" w:lineRule="auto"/>
        <w:ind w:left="680" w:right="340"/>
        <w:jc w:val="both"/>
        <w:rPr>
          <w:rFonts w:ascii="Times New Roman" w:hAnsi="Times New Roman" w:cs="Times New Roman"/>
          <w:color w:val="201F1E"/>
          <w:sz w:val="28"/>
          <w:szCs w:val="28"/>
          <w:shd w:val="clear" w:color="auto" w:fill="FFFFFF"/>
        </w:rPr>
      </w:pPr>
      <w:r w:rsidRPr="0096104B">
        <w:rPr>
          <w:rFonts w:ascii="Times New Roman" w:hAnsi="Times New Roman" w:cs="Times New Roman"/>
          <w:color w:val="201F1E"/>
          <w:sz w:val="28"/>
          <w:szCs w:val="28"/>
          <w:shd w:val="clear" w:color="auto" w:fill="FFFFFF"/>
        </w:rPr>
        <w:t xml:space="preserve">D. Numerati, </w:t>
      </w:r>
      <w:r w:rsidRPr="0096104B">
        <w:rPr>
          <w:rFonts w:ascii="Times New Roman" w:hAnsi="Times New Roman" w:cs="Times New Roman"/>
          <w:i/>
          <w:color w:val="201F1E"/>
          <w:sz w:val="28"/>
          <w:szCs w:val="28"/>
          <w:shd w:val="clear" w:color="auto" w:fill="FFFFFF"/>
        </w:rPr>
        <w:t>Iuris Ecclestiatici,</w:t>
      </w:r>
      <w:r w:rsidRPr="0096104B">
        <w:rPr>
          <w:rFonts w:ascii="Times New Roman" w:hAnsi="Times New Roman" w:cs="Times New Roman"/>
          <w:color w:val="201F1E"/>
          <w:sz w:val="28"/>
          <w:szCs w:val="28"/>
          <w:shd w:val="clear" w:color="auto" w:fill="FFFFFF"/>
        </w:rPr>
        <w:t xml:space="preserve"> Parma 1903.</w:t>
      </w:r>
    </w:p>
    <w:p w14:paraId="2E14B337" w14:textId="77777777" w:rsidR="00B3403A" w:rsidRPr="0096104B" w:rsidRDefault="00B3403A" w:rsidP="00484F9B">
      <w:pPr>
        <w:spacing w:after="0" w:line="360" w:lineRule="auto"/>
        <w:ind w:left="680" w:right="340"/>
        <w:jc w:val="both"/>
        <w:rPr>
          <w:rFonts w:ascii="Times New Roman" w:hAnsi="Times New Roman" w:cs="Times New Roman"/>
          <w:color w:val="201F1E"/>
          <w:sz w:val="28"/>
          <w:szCs w:val="28"/>
          <w:shd w:val="clear" w:color="auto" w:fill="FFFFFF"/>
        </w:rPr>
      </w:pPr>
    </w:p>
    <w:p w14:paraId="6B2BFE39"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lastRenderedPageBreak/>
        <w:t xml:space="preserve">C.  Pacelli, </w:t>
      </w:r>
      <w:r w:rsidRPr="0096104B">
        <w:rPr>
          <w:rFonts w:ascii="Times New Roman" w:hAnsi="Times New Roman" w:cs="Times New Roman"/>
          <w:i/>
          <w:sz w:val="28"/>
          <w:szCs w:val="28"/>
        </w:rPr>
        <w:t>Beni ecclesiastici</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2, Roma,1948, p. 1342.</w:t>
      </w:r>
    </w:p>
    <w:p w14:paraId="11C4C839"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Palazzini, </w:t>
      </w:r>
      <w:r w:rsidRPr="0096104B">
        <w:rPr>
          <w:rFonts w:ascii="Times New Roman" w:hAnsi="Times New Roman" w:cs="Times New Roman"/>
          <w:i/>
          <w:sz w:val="28"/>
          <w:szCs w:val="28"/>
        </w:rPr>
        <w:t>Matrimonio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Vol.8, Roma,1948, p. 479.</w:t>
      </w:r>
    </w:p>
    <w:p w14:paraId="4541DB65"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Palazzini, </w:t>
      </w:r>
      <w:r w:rsidRPr="0096104B">
        <w:rPr>
          <w:rFonts w:ascii="Times New Roman" w:hAnsi="Times New Roman" w:cs="Times New Roman"/>
          <w:i/>
          <w:sz w:val="28"/>
          <w:szCs w:val="28"/>
        </w:rPr>
        <w:t>Privilegio paolino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10, Roma, </w:t>
      </w:r>
      <w:r>
        <w:rPr>
          <w:rFonts w:ascii="Times New Roman" w:hAnsi="Times New Roman" w:cs="Times New Roman"/>
          <w:sz w:val="28"/>
          <w:szCs w:val="28"/>
        </w:rPr>
        <w:t>1948, pp. 49-55.</w:t>
      </w:r>
    </w:p>
    <w:p w14:paraId="0A8A7D5F" w14:textId="77777777" w:rsidR="00B3403A" w:rsidRPr="0096104B" w:rsidRDefault="00B3403A" w:rsidP="00484F9B">
      <w:pPr>
        <w:spacing w:after="0" w:line="360" w:lineRule="auto"/>
        <w:ind w:left="680" w:right="340"/>
        <w:jc w:val="both"/>
        <w:rPr>
          <w:rFonts w:ascii="Times New Roman" w:hAnsi="Times New Roman" w:cs="Times New Roman"/>
          <w:color w:val="201F1E"/>
          <w:sz w:val="28"/>
          <w:szCs w:val="28"/>
          <w:shd w:val="clear" w:color="auto" w:fill="FFFFFF"/>
        </w:rPr>
      </w:pPr>
      <w:r w:rsidRPr="0096104B">
        <w:rPr>
          <w:rFonts w:ascii="Times New Roman" w:hAnsi="Times New Roman" w:cs="Times New Roman"/>
          <w:sz w:val="28"/>
          <w:szCs w:val="28"/>
        </w:rPr>
        <w:t xml:space="preserve">C. Pastena, </w:t>
      </w:r>
      <w:r w:rsidRPr="0096104B">
        <w:rPr>
          <w:rFonts w:ascii="Times New Roman" w:hAnsi="Times New Roman" w:cs="Times New Roman"/>
          <w:i/>
          <w:sz w:val="28"/>
          <w:szCs w:val="28"/>
        </w:rPr>
        <w:t>I missionari gesuiti in Cina nel XVII-XVIII secolo e il confucianesimo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L’identità di Clio</w:t>
      </w:r>
      <w:r w:rsidRPr="0096104B">
        <w:rPr>
          <w:rFonts w:ascii="Times New Roman" w:hAnsi="Times New Roman" w:cs="Times New Roman"/>
          <w:sz w:val="28"/>
          <w:szCs w:val="28"/>
        </w:rPr>
        <w:t>, 22 marzo 2019.</w:t>
      </w:r>
    </w:p>
    <w:p w14:paraId="7DF86A84" w14:textId="77777777" w:rsidR="00B3403A" w:rsidRPr="0096104B" w:rsidRDefault="00B3403A" w:rsidP="00484F9B">
      <w:pPr>
        <w:spacing w:after="0" w:line="360" w:lineRule="auto"/>
        <w:ind w:left="680" w:right="340"/>
        <w:jc w:val="both"/>
        <w:rPr>
          <w:rFonts w:ascii="Times New Roman" w:hAnsi="Times New Roman" w:cs="Times New Roman"/>
          <w:color w:val="201F1E"/>
          <w:sz w:val="28"/>
          <w:szCs w:val="28"/>
          <w:shd w:val="clear" w:color="auto" w:fill="FFFFFF"/>
        </w:rPr>
      </w:pPr>
      <w:r w:rsidRPr="0096104B">
        <w:rPr>
          <w:rFonts w:ascii="Times New Roman" w:hAnsi="Times New Roman" w:cs="Times New Roman"/>
          <w:color w:val="201F1E"/>
          <w:sz w:val="28"/>
          <w:szCs w:val="28"/>
          <w:shd w:val="clear" w:color="auto" w:fill="FFFFFF"/>
        </w:rPr>
        <w:t xml:space="preserve">G. Payen, </w:t>
      </w:r>
      <w:r w:rsidRPr="0096104B">
        <w:rPr>
          <w:rFonts w:ascii="Times New Roman" w:hAnsi="Times New Roman" w:cs="Times New Roman"/>
          <w:i/>
          <w:color w:val="201F1E"/>
          <w:sz w:val="28"/>
          <w:szCs w:val="28"/>
          <w:shd w:val="clear" w:color="auto" w:fill="FFFFFF"/>
        </w:rPr>
        <w:t>De matrimonio in missionibus ac potissimum</w:t>
      </w:r>
      <w:r w:rsidRPr="0096104B">
        <w:rPr>
          <w:rFonts w:ascii="Times New Roman" w:hAnsi="Times New Roman" w:cs="Times New Roman"/>
          <w:color w:val="201F1E"/>
          <w:sz w:val="28"/>
          <w:szCs w:val="28"/>
          <w:shd w:val="clear" w:color="auto" w:fill="FFFFFF"/>
        </w:rPr>
        <w:t xml:space="preserve"> in </w:t>
      </w:r>
      <w:r w:rsidRPr="0096104B">
        <w:rPr>
          <w:rFonts w:ascii="Times New Roman" w:hAnsi="Times New Roman" w:cs="Times New Roman"/>
          <w:i/>
          <w:color w:val="201F1E"/>
          <w:sz w:val="28"/>
          <w:szCs w:val="28"/>
          <w:shd w:val="clear" w:color="auto" w:fill="FFFFFF"/>
        </w:rPr>
        <w:t>Sinis</w:t>
      </w:r>
      <w:r w:rsidRPr="0096104B">
        <w:rPr>
          <w:rFonts w:ascii="Times New Roman" w:hAnsi="Times New Roman" w:cs="Times New Roman"/>
          <w:color w:val="201F1E"/>
          <w:sz w:val="28"/>
          <w:szCs w:val="28"/>
          <w:shd w:val="clear" w:color="auto" w:fill="FFFFFF"/>
        </w:rPr>
        <w:t>, Zi-Ka-Wei, 1929.</w:t>
      </w:r>
    </w:p>
    <w:p w14:paraId="3E1B5552"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Pavone, </w:t>
      </w:r>
      <w:r w:rsidRPr="0096104B">
        <w:rPr>
          <w:rFonts w:ascii="Times New Roman" w:hAnsi="Times New Roman" w:cs="Times New Roman"/>
          <w:i/>
          <w:sz w:val="28"/>
          <w:szCs w:val="28"/>
        </w:rPr>
        <w:t>I gesuiti dalle origini alla soppressione</w:t>
      </w:r>
      <w:r w:rsidRPr="0096104B">
        <w:rPr>
          <w:rFonts w:ascii="Times New Roman" w:hAnsi="Times New Roman" w:cs="Times New Roman"/>
          <w:sz w:val="28"/>
          <w:szCs w:val="28"/>
        </w:rPr>
        <w:t>, Bari, 2004.</w:t>
      </w:r>
    </w:p>
    <w:p w14:paraId="39A4FEEF"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Collegio di S.</w:t>
      </w:r>
      <w:r w:rsidR="00455823">
        <w:rPr>
          <w:rFonts w:ascii="Times New Roman" w:hAnsi="Times New Roman" w:cs="Times New Roman"/>
          <w:i/>
          <w:sz w:val="28"/>
          <w:szCs w:val="28"/>
        </w:rPr>
        <w:t xml:space="preserve"> </w:t>
      </w:r>
      <w:r w:rsidRPr="0096104B">
        <w:rPr>
          <w:rFonts w:ascii="Times New Roman" w:hAnsi="Times New Roman" w:cs="Times New Roman"/>
          <w:i/>
          <w:sz w:val="28"/>
          <w:szCs w:val="28"/>
        </w:rPr>
        <w:t>Pietro Apostolo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Vol.3, Roma, 1948, p. 1960.</w:t>
      </w:r>
    </w:p>
    <w:p w14:paraId="09D4EFFE"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Ghardaia nel Sahara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6, Roma, 1948, p. 2115</w:t>
      </w:r>
      <w:r>
        <w:rPr>
          <w:rFonts w:ascii="Times New Roman" w:hAnsi="Times New Roman" w:cs="Times New Roman"/>
          <w:sz w:val="28"/>
          <w:szCs w:val="28"/>
        </w:rPr>
        <w:t>.</w:t>
      </w:r>
    </w:p>
    <w:p w14:paraId="49079C98"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Keetmanshoop</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Vol.7, Roma, 1948, p. 667.</w:t>
      </w:r>
    </w:p>
    <w:p w14:paraId="440F4B56"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Keimoes</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7, Roma, 1948, p. </w:t>
      </w:r>
      <w:r>
        <w:rPr>
          <w:rFonts w:ascii="Times New Roman" w:hAnsi="Times New Roman" w:cs="Times New Roman"/>
          <w:sz w:val="28"/>
          <w:szCs w:val="28"/>
        </w:rPr>
        <w:t>670.</w:t>
      </w:r>
    </w:p>
    <w:p w14:paraId="19C9ED19"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Lomé</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Vol.7, Roma, 1948, p. 871</w:t>
      </w:r>
      <w:r>
        <w:rPr>
          <w:rFonts w:ascii="Times New Roman" w:hAnsi="Times New Roman" w:cs="Times New Roman"/>
          <w:sz w:val="28"/>
          <w:szCs w:val="28"/>
        </w:rPr>
        <w:t>.</w:t>
      </w:r>
    </w:p>
    <w:p w14:paraId="72999D2A" w14:textId="77777777" w:rsidR="00B3403A" w:rsidRPr="0096104B" w:rsidRDefault="00B3403A" w:rsidP="00484F9B">
      <w:pPr>
        <w:pStyle w:val="Testofumetto"/>
        <w:spacing w:line="360" w:lineRule="auto"/>
        <w:ind w:left="680" w:right="340"/>
        <w:jc w:val="both"/>
        <w:rPr>
          <w:rFonts w:ascii="Times New Roman" w:hAnsi="Times New Roman" w:cs="Times New Roman"/>
          <w:color w:val="000000"/>
          <w:sz w:val="28"/>
          <w:szCs w:val="28"/>
          <w:shd w:val="clear" w:color="auto" w:fill="FFFFFF"/>
        </w:rPr>
      </w:pPr>
      <w:r w:rsidRPr="0096104B">
        <w:rPr>
          <w:rFonts w:ascii="Times New Roman" w:hAnsi="Times New Roman" w:cs="Times New Roman"/>
          <w:sz w:val="28"/>
          <w:szCs w:val="28"/>
        </w:rPr>
        <w:t>S. Paventi</w:t>
      </w:r>
      <w:r w:rsidRPr="0096104B">
        <w:rPr>
          <w:rFonts w:ascii="Times New Roman" w:hAnsi="Times New Roman" w:cs="Times New Roman"/>
          <w:i/>
          <w:sz w:val="28"/>
          <w:szCs w:val="28"/>
        </w:rPr>
        <w:t>, Missioni divine</w:t>
      </w:r>
      <w:r w:rsidRPr="0096104B">
        <w:rPr>
          <w:rFonts w:ascii="Times New Roman" w:hAnsi="Times New Roman" w:cs="Times New Roman"/>
          <w:sz w:val="28"/>
          <w:szCs w:val="28"/>
        </w:rPr>
        <w:t xml:space="preserve"> in </w:t>
      </w:r>
      <w:r w:rsidRPr="0096104B">
        <w:rPr>
          <w:rFonts w:ascii="Times New Roman" w:hAnsi="Times New Roman" w:cs="Times New Roman"/>
          <w:i/>
          <w:color w:val="000000"/>
          <w:sz w:val="28"/>
          <w:szCs w:val="28"/>
          <w:shd w:val="clear" w:color="auto" w:fill="FFFFFF"/>
        </w:rPr>
        <w:t>Enciclopedia cattolica</w:t>
      </w:r>
      <w:r w:rsidRPr="0096104B">
        <w:rPr>
          <w:rFonts w:ascii="Times New Roman" w:hAnsi="Times New Roman" w:cs="Times New Roman"/>
          <w:color w:val="000000"/>
          <w:sz w:val="28"/>
          <w:szCs w:val="28"/>
          <w:shd w:val="clear" w:color="auto" w:fill="FFFFFF"/>
        </w:rPr>
        <w:t>, Vol. 13, Roma, 1948, p</w:t>
      </w:r>
      <w:r>
        <w:rPr>
          <w:rFonts w:ascii="Times New Roman" w:hAnsi="Times New Roman" w:cs="Times New Roman"/>
          <w:color w:val="000000"/>
          <w:sz w:val="28"/>
          <w:szCs w:val="28"/>
          <w:shd w:val="clear" w:color="auto" w:fill="FFFFFF"/>
        </w:rPr>
        <w:t>. 1124.</w:t>
      </w:r>
    </w:p>
    <w:p w14:paraId="0A2F403C" w14:textId="77777777" w:rsidR="00B3403A" w:rsidRPr="00AB0513"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Missionari</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Vol.8, Roma, 1948, p. 1108.</w:t>
      </w:r>
    </w:p>
    <w:p w14:paraId="51BFE788" w14:textId="77777777" w:rsidR="00B3403A" w:rsidRPr="00AB0513"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Opere Pontificie missionarie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Vol.8, Roma, 1948, pp.162-166.</w:t>
      </w:r>
    </w:p>
    <w:p w14:paraId="4A222CEA"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S. Paventi</w:t>
      </w:r>
      <w:r w:rsidRPr="0096104B">
        <w:rPr>
          <w:rFonts w:ascii="Times New Roman" w:hAnsi="Times New Roman" w:cs="Times New Roman"/>
          <w:i/>
          <w:sz w:val="28"/>
          <w:szCs w:val="28"/>
        </w:rPr>
        <w:t>, Pointe-Noire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9, Roma, 1948, p. 1656.</w:t>
      </w:r>
    </w:p>
    <w:p w14:paraId="1C21E50D" w14:textId="77777777" w:rsidR="00B3403A" w:rsidRPr="0096104B" w:rsidRDefault="00B3403A" w:rsidP="00484F9B">
      <w:pPr>
        <w:pStyle w:val="Intestazione"/>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Pretoria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9, Roma, 1948, p. 1750.</w:t>
      </w:r>
    </w:p>
    <w:p w14:paraId="5B5CE79B" w14:textId="77777777" w:rsidR="00B3403A" w:rsidRPr="0096104B" w:rsidRDefault="00B3403A" w:rsidP="00484F9B">
      <w:pPr>
        <w:pStyle w:val="Intestazione"/>
        <w:spacing w:line="360" w:lineRule="auto"/>
        <w:ind w:left="680" w:right="340"/>
        <w:jc w:val="both"/>
        <w:rPr>
          <w:rFonts w:ascii="Times New Roman" w:hAnsi="Times New Roman" w:cs="Times New Roman"/>
          <w:sz w:val="28"/>
          <w:szCs w:val="28"/>
        </w:rPr>
      </w:pPr>
    </w:p>
    <w:p w14:paraId="162E14E1"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lastRenderedPageBreak/>
        <w:t xml:space="preserve">S. Paventi, </w:t>
      </w:r>
      <w:r w:rsidRPr="0096104B">
        <w:rPr>
          <w:rFonts w:ascii="Times New Roman" w:hAnsi="Times New Roman" w:cs="Times New Roman"/>
          <w:i/>
          <w:sz w:val="28"/>
          <w:szCs w:val="28"/>
        </w:rPr>
        <w:t>Superiore ecclesiastico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Vol.11, Roma, 1948, p. 1572.</w:t>
      </w:r>
    </w:p>
    <w:p w14:paraId="00E3C0FA"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Tonga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12, Roma, 1948, p. 304.</w:t>
      </w:r>
    </w:p>
    <w:p w14:paraId="3C6EE401"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Unione missionaria del clero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12, Roma, 1948, p. 823.</w:t>
      </w:r>
    </w:p>
    <w:p w14:paraId="052DC22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S. Paventi, </w:t>
      </w:r>
      <w:r w:rsidRPr="0096104B">
        <w:rPr>
          <w:rFonts w:ascii="Times New Roman" w:hAnsi="Times New Roman" w:cs="Times New Roman"/>
          <w:i/>
          <w:sz w:val="28"/>
          <w:szCs w:val="28"/>
        </w:rPr>
        <w:t>La Chiesa missionaria dottrinale. Manuale di missionologia</w:t>
      </w:r>
      <w:r w:rsidRPr="0096104B">
        <w:rPr>
          <w:rFonts w:ascii="Times New Roman" w:hAnsi="Times New Roman" w:cs="Times New Roman"/>
          <w:sz w:val="28"/>
          <w:szCs w:val="28"/>
        </w:rPr>
        <w:t>, Roma, 1949.</w:t>
      </w:r>
    </w:p>
    <w:p w14:paraId="477DEB32" w14:textId="77777777" w:rsidR="00B3403A" w:rsidRPr="0096104B" w:rsidRDefault="00B3403A" w:rsidP="00484F9B">
      <w:pPr>
        <w:spacing w:after="0" w:line="360" w:lineRule="auto"/>
        <w:ind w:left="680" w:right="340"/>
        <w:jc w:val="both"/>
        <w:rPr>
          <w:rFonts w:ascii="Times New Roman" w:hAnsi="Times New Roman" w:cs="Times New Roman"/>
          <w:color w:val="201F1E"/>
          <w:sz w:val="28"/>
          <w:szCs w:val="28"/>
          <w:shd w:val="clear" w:color="auto" w:fill="FFFFFF"/>
        </w:rPr>
      </w:pPr>
      <w:r w:rsidRPr="0096104B">
        <w:rPr>
          <w:rFonts w:ascii="Times New Roman" w:hAnsi="Times New Roman" w:cs="Times New Roman"/>
          <w:sz w:val="28"/>
          <w:szCs w:val="28"/>
        </w:rPr>
        <w:t xml:space="preserve">S. Paventi, </w:t>
      </w:r>
      <w:r w:rsidRPr="0096104B">
        <w:rPr>
          <w:rFonts w:ascii="Times New Roman" w:hAnsi="Times New Roman" w:cs="Times New Roman"/>
          <w:i/>
          <w:color w:val="201F1E"/>
          <w:sz w:val="28"/>
          <w:szCs w:val="28"/>
          <w:shd w:val="clear" w:color="auto" w:fill="FFFFFF"/>
        </w:rPr>
        <w:t>Breviarium iuris missionalis</w:t>
      </w:r>
      <w:r w:rsidRPr="0096104B">
        <w:rPr>
          <w:rFonts w:ascii="Times New Roman" w:hAnsi="Times New Roman" w:cs="Times New Roman"/>
          <w:color w:val="201F1E"/>
          <w:sz w:val="28"/>
          <w:szCs w:val="28"/>
          <w:shd w:val="clear" w:color="auto" w:fill="FFFFFF"/>
        </w:rPr>
        <w:t>, Roma, 1960.</w:t>
      </w:r>
    </w:p>
    <w:p w14:paraId="44B4AA4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E. Pecoraio, </w:t>
      </w:r>
      <w:r w:rsidRPr="0096104B">
        <w:rPr>
          <w:rFonts w:ascii="Times New Roman" w:hAnsi="Times New Roman" w:cs="Times New Roman"/>
          <w:i/>
          <w:sz w:val="28"/>
          <w:szCs w:val="28"/>
        </w:rPr>
        <w:t>Guam</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6, </w:t>
      </w:r>
      <w:r w:rsidRPr="0096104B">
        <w:rPr>
          <w:rFonts w:ascii="Times New Roman" w:hAnsi="Times New Roman" w:cs="Times New Roman"/>
          <w:color w:val="201F1E"/>
          <w:sz w:val="28"/>
          <w:szCs w:val="28"/>
          <w:shd w:val="clear" w:color="auto" w:fill="FFFFFF"/>
        </w:rPr>
        <w:t xml:space="preserve">Roma, </w:t>
      </w:r>
      <w:r>
        <w:rPr>
          <w:rFonts w:ascii="Times New Roman" w:hAnsi="Times New Roman" w:cs="Times New Roman"/>
          <w:sz w:val="28"/>
          <w:szCs w:val="28"/>
        </w:rPr>
        <w:t>1948, p. 1198.</w:t>
      </w:r>
    </w:p>
    <w:p w14:paraId="61F4C905"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E. Pecoraio, </w:t>
      </w:r>
      <w:r w:rsidRPr="0096104B">
        <w:rPr>
          <w:rFonts w:ascii="Times New Roman" w:hAnsi="Times New Roman" w:cs="Times New Roman"/>
          <w:i/>
          <w:sz w:val="28"/>
          <w:szCs w:val="28"/>
        </w:rPr>
        <w:t>Nuova Guinea olandese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8, </w:t>
      </w:r>
      <w:r w:rsidRPr="0096104B">
        <w:rPr>
          <w:rFonts w:ascii="Times New Roman" w:hAnsi="Times New Roman" w:cs="Times New Roman"/>
          <w:color w:val="201F1E"/>
          <w:sz w:val="28"/>
          <w:szCs w:val="28"/>
          <w:shd w:val="clear" w:color="auto" w:fill="FFFFFF"/>
        </w:rPr>
        <w:t xml:space="preserve">Roma, </w:t>
      </w:r>
      <w:r w:rsidRPr="0096104B">
        <w:rPr>
          <w:rFonts w:ascii="Times New Roman" w:hAnsi="Times New Roman" w:cs="Times New Roman"/>
          <w:sz w:val="28"/>
          <w:szCs w:val="28"/>
        </w:rPr>
        <w:t>1948, p. 2030.</w:t>
      </w:r>
    </w:p>
    <w:p w14:paraId="06D0A840" w14:textId="77777777" w:rsidR="00B3403A" w:rsidRPr="00AB0513" w:rsidRDefault="00B3403A" w:rsidP="00484F9B">
      <w:pPr>
        <w:pStyle w:val="Testonotaapidipagina"/>
        <w:spacing w:line="360" w:lineRule="auto"/>
        <w:ind w:left="680" w:right="340"/>
        <w:jc w:val="both"/>
        <w:rPr>
          <w:rFonts w:ascii="Times New Roman" w:hAnsi="Times New Roman" w:cs="Times New Roman"/>
          <w:color w:val="0D0D0D" w:themeColor="text1" w:themeTint="F2"/>
          <w:sz w:val="28"/>
          <w:szCs w:val="28"/>
        </w:rPr>
      </w:pPr>
      <w:r w:rsidRPr="0096104B">
        <w:rPr>
          <w:rFonts w:ascii="Times New Roman" w:hAnsi="Times New Roman" w:cs="Times New Roman"/>
          <w:sz w:val="28"/>
          <w:szCs w:val="28"/>
        </w:rPr>
        <w:t xml:space="preserve">E. Pecoraio, </w:t>
      </w:r>
      <w:r w:rsidRPr="0096104B">
        <w:rPr>
          <w:rFonts w:ascii="Times New Roman" w:hAnsi="Times New Roman" w:cs="Times New Roman"/>
          <w:i/>
          <w:color w:val="0D0D0D" w:themeColor="text1" w:themeTint="F2"/>
          <w:sz w:val="28"/>
          <w:szCs w:val="28"/>
        </w:rPr>
        <w:t>Tsitsikar</w:t>
      </w:r>
      <w:r w:rsidRPr="0096104B">
        <w:rPr>
          <w:rFonts w:ascii="Times New Roman" w:hAnsi="Times New Roman" w:cs="Times New Roman"/>
          <w:color w:val="0D0D0D" w:themeColor="text1" w:themeTint="F2"/>
          <w:sz w:val="28"/>
          <w:szCs w:val="28"/>
        </w:rPr>
        <w:t xml:space="preserve">, in </w:t>
      </w:r>
      <w:r w:rsidRPr="0096104B">
        <w:rPr>
          <w:rFonts w:ascii="Times New Roman" w:hAnsi="Times New Roman" w:cs="Times New Roman"/>
          <w:i/>
          <w:color w:val="0D0D0D" w:themeColor="text1" w:themeTint="F2"/>
          <w:sz w:val="28"/>
          <w:szCs w:val="28"/>
        </w:rPr>
        <w:t>Enciclopedia cattolica</w:t>
      </w:r>
      <w:r w:rsidRPr="0096104B">
        <w:rPr>
          <w:rFonts w:ascii="Times New Roman" w:hAnsi="Times New Roman" w:cs="Times New Roman"/>
          <w:color w:val="0D0D0D" w:themeColor="text1" w:themeTint="F2"/>
          <w:sz w:val="28"/>
          <w:szCs w:val="28"/>
        </w:rPr>
        <w:t xml:space="preserve">, Vol.12, </w:t>
      </w:r>
      <w:r w:rsidRPr="0096104B">
        <w:rPr>
          <w:rFonts w:ascii="Times New Roman" w:hAnsi="Times New Roman" w:cs="Times New Roman"/>
          <w:color w:val="201F1E"/>
          <w:sz w:val="28"/>
          <w:szCs w:val="28"/>
          <w:shd w:val="clear" w:color="auto" w:fill="FFFFFF"/>
        </w:rPr>
        <w:t>Roma,</w:t>
      </w:r>
      <w:r w:rsidRPr="0096104B">
        <w:rPr>
          <w:rFonts w:ascii="Times New Roman" w:hAnsi="Times New Roman" w:cs="Times New Roman"/>
          <w:color w:val="0D0D0D" w:themeColor="text1" w:themeTint="F2"/>
          <w:sz w:val="28"/>
          <w:szCs w:val="28"/>
        </w:rPr>
        <w:t>1948, p. 592.</w:t>
      </w:r>
    </w:p>
    <w:p w14:paraId="0DD35427"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E. Pecoraio, </w:t>
      </w:r>
      <w:r w:rsidRPr="0096104B">
        <w:rPr>
          <w:rFonts w:ascii="Times New Roman" w:hAnsi="Times New Roman" w:cs="Times New Roman"/>
          <w:i/>
          <w:sz w:val="28"/>
          <w:szCs w:val="28"/>
        </w:rPr>
        <w:t>Vientiane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12,</w:t>
      </w:r>
      <w:r w:rsidRPr="0096104B">
        <w:rPr>
          <w:rFonts w:ascii="Times New Roman" w:hAnsi="Times New Roman" w:cs="Times New Roman"/>
          <w:color w:val="201F1E"/>
          <w:sz w:val="28"/>
          <w:szCs w:val="28"/>
          <w:shd w:val="clear" w:color="auto" w:fill="FFFFFF"/>
        </w:rPr>
        <w:t xml:space="preserve"> Roma,</w:t>
      </w:r>
      <w:r w:rsidRPr="0096104B">
        <w:rPr>
          <w:rFonts w:ascii="Times New Roman" w:hAnsi="Times New Roman" w:cs="Times New Roman"/>
          <w:sz w:val="28"/>
          <w:szCs w:val="28"/>
        </w:rPr>
        <w:t xml:space="preserve"> 1948, p. 1409.</w:t>
      </w:r>
    </w:p>
    <w:p w14:paraId="7F5018C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E. Pecoraio, </w:t>
      </w:r>
      <w:r w:rsidRPr="0096104B">
        <w:rPr>
          <w:rFonts w:ascii="Times New Roman" w:hAnsi="Times New Roman" w:cs="Times New Roman"/>
          <w:i/>
          <w:sz w:val="28"/>
          <w:szCs w:val="28"/>
        </w:rPr>
        <w:t>Vinh</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12, </w:t>
      </w:r>
      <w:r w:rsidRPr="0096104B">
        <w:rPr>
          <w:rFonts w:ascii="Times New Roman" w:hAnsi="Times New Roman" w:cs="Times New Roman"/>
          <w:color w:val="201F1E"/>
          <w:sz w:val="28"/>
          <w:szCs w:val="28"/>
          <w:shd w:val="clear" w:color="auto" w:fill="FFFFFF"/>
        </w:rPr>
        <w:t xml:space="preserve">Roma, </w:t>
      </w:r>
      <w:r w:rsidRPr="0096104B">
        <w:rPr>
          <w:rFonts w:ascii="Times New Roman" w:hAnsi="Times New Roman" w:cs="Times New Roman"/>
          <w:sz w:val="28"/>
          <w:szCs w:val="28"/>
        </w:rPr>
        <w:t>1948, p.1448.</w:t>
      </w:r>
    </w:p>
    <w:p w14:paraId="3ED3AED6" w14:textId="77777777" w:rsidR="00B3403A" w:rsidRPr="00AB0513" w:rsidRDefault="00B3403A" w:rsidP="00484F9B">
      <w:pPr>
        <w:spacing w:after="0" w:line="360" w:lineRule="auto"/>
        <w:ind w:left="680" w:right="340"/>
        <w:jc w:val="both"/>
        <w:rPr>
          <w:rFonts w:ascii="Times New Roman" w:hAnsi="Times New Roman" w:cs="Times New Roman"/>
          <w:i/>
          <w:sz w:val="28"/>
          <w:szCs w:val="28"/>
        </w:rPr>
      </w:pPr>
      <w:r w:rsidRPr="0096104B">
        <w:rPr>
          <w:rFonts w:ascii="Times New Roman" w:hAnsi="Times New Roman" w:cs="Times New Roman"/>
          <w:sz w:val="28"/>
          <w:szCs w:val="28"/>
        </w:rPr>
        <w:t xml:space="preserve">A. Pisani, </w:t>
      </w:r>
      <w:r w:rsidRPr="0096104B">
        <w:rPr>
          <w:rFonts w:ascii="Times New Roman" w:hAnsi="Times New Roman" w:cs="Times New Roman"/>
          <w:i/>
          <w:sz w:val="28"/>
          <w:szCs w:val="28"/>
        </w:rPr>
        <w:t xml:space="preserve">Il costituirsi e diffondersi della S.J. e suoi echi (1540 - 1773), </w:t>
      </w:r>
      <w:r w:rsidRPr="0096104B">
        <w:rPr>
          <w:rFonts w:ascii="Times New Roman" w:hAnsi="Times New Roman" w:cs="Times New Roman"/>
          <w:sz w:val="28"/>
          <w:szCs w:val="28"/>
        </w:rPr>
        <w:t xml:space="preserve">in </w:t>
      </w:r>
      <w:r w:rsidRPr="0096104B">
        <w:rPr>
          <w:rFonts w:ascii="Times New Roman" w:hAnsi="Times New Roman" w:cs="Times New Roman"/>
          <w:i/>
          <w:sz w:val="28"/>
          <w:szCs w:val="28"/>
        </w:rPr>
        <w:t>Universalitas &amp; Pervasivitas.</w:t>
      </w:r>
    </w:p>
    <w:p w14:paraId="59E71D16"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Pizzoruso, </w:t>
      </w:r>
      <w:r w:rsidRPr="0096104B">
        <w:rPr>
          <w:rFonts w:ascii="Times New Roman" w:hAnsi="Times New Roman" w:cs="Times New Roman"/>
          <w:i/>
          <w:sz w:val="28"/>
          <w:szCs w:val="28"/>
        </w:rPr>
        <w:t xml:space="preserve">La Congregazione romana “de propaganda fide” e la duplice fedeltà dei missionari tra monarchie coloniali e universalismo pontificio (XVIII secolo), </w:t>
      </w:r>
      <w:r w:rsidRPr="0096104B">
        <w:rPr>
          <w:rFonts w:ascii="Times New Roman" w:hAnsi="Times New Roman" w:cs="Times New Roman"/>
          <w:sz w:val="28"/>
          <w:szCs w:val="28"/>
        </w:rPr>
        <w:t>in</w:t>
      </w:r>
      <w:r w:rsidRPr="0096104B">
        <w:rPr>
          <w:rFonts w:ascii="Times New Roman" w:hAnsi="Times New Roman" w:cs="Times New Roman"/>
          <w:i/>
          <w:sz w:val="28"/>
          <w:szCs w:val="28"/>
        </w:rPr>
        <w:t xml:space="preserve"> Librosdelacorte.es, Monográfico</w:t>
      </w:r>
      <w:r w:rsidRPr="0096104B">
        <w:rPr>
          <w:rFonts w:ascii="Times New Roman" w:hAnsi="Times New Roman" w:cs="Times New Roman"/>
          <w:sz w:val="28"/>
          <w:szCs w:val="28"/>
        </w:rPr>
        <w:t xml:space="preserve"> 1, 2014.</w:t>
      </w:r>
    </w:p>
    <w:p w14:paraId="1253AA9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Pratesi, </w:t>
      </w:r>
      <w:r w:rsidRPr="0096104B">
        <w:rPr>
          <w:rFonts w:ascii="Times New Roman" w:hAnsi="Times New Roman" w:cs="Times New Roman"/>
          <w:i/>
          <w:sz w:val="28"/>
          <w:szCs w:val="28"/>
        </w:rPr>
        <w:t>Indocina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6, </w:t>
      </w:r>
      <w:r w:rsidRPr="0096104B">
        <w:rPr>
          <w:rFonts w:ascii="Times New Roman" w:hAnsi="Times New Roman" w:cs="Times New Roman"/>
          <w:color w:val="201F1E"/>
          <w:sz w:val="28"/>
          <w:szCs w:val="28"/>
          <w:shd w:val="clear" w:color="auto" w:fill="FFFFFF"/>
        </w:rPr>
        <w:t xml:space="preserve">Roma, </w:t>
      </w:r>
      <w:r w:rsidRPr="0096104B">
        <w:rPr>
          <w:rFonts w:ascii="Times New Roman" w:hAnsi="Times New Roman" w:cs="Times New Roman"/>
          <w:sz w:val="28"/>
          <w:szCs w:val="28"/>
        </w:rPr>
        <w:t>1948, p. 1871.</w:t>
      </w:r>
    </w:p>
    <w:p w14:paraId="2EC31A6C"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Pucci, </w:t>
      </w:r>
      <w:r w:rsidRPr="0096104B">
        <w:rPr>
          <w:rFonts w:ascii="Times New Roman" w:hAnsi="Times New Roman" w:cs="Times New Roman"/>
          <w:i/>
          <w:sz w:val="28"/>
          <w:szCs w:val="28"/>
        </w:rPr>
        <w:t>Kiamusze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7, </w:t>
      </w:r>
      <w:r w:rsidRPr="0096104B">
        <w:rPr>
          <w:rFonts w:ascii="Times New Roman" w:hAnsi="Times New Roman" w:cs="Times New Roman"/>
          <w:color w:val="201F1E"/>
          <w:sz w:val="28"/>
          <w:szCs w:val="28"/>
          <w:shd w:val="clear" w:color="auto" w:fill="FFFFFF"/>
        </w:rPr>
        <w:t xml:space="preserve">Roma, </w:t>
      </w:r>
      <w:r w:rsidRPr="0096104B">
        <w:rPr>
          <w:rFonts w:ascii="Times New Roman" w:hAnsi="Times New Roman" w:cs="Times New Roman"/>
          <w:sz w:val="28"/>
          <w:szCs w:val="28"/>
        </w:rPr>
        <w:t>1948, p. 687.</w:t>
      </w:r>
    </w:p>
    <w:p w14:paraId="0DD97F59"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Pucci, </w:t>
      </w:r>
      <w:r w:rsidRPr="0096104B">
        <w:rPr>
          <w:rFonts w:ascii="Times New Roman" w:hAnsi="Times New Roman" w:cs="Times New Roman"/>
          <w:i/>
          <w:sz w:val="28"/>
          <w:szCs w:val="28"/>
        </w:rPr>
        <w:t>Kiangsi</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7, </w:t>
      </w:r>
      <w:r w:rsidRPr="0096104B">
        <w:rPr>
          <w:rFonts w:ascii="Times New Roman" w:hAnsi="Times New Roman" w:cs="Times New Roman"/>
          <w:color w:val="201F1E"/>
          <w:sz w:val="28"/>
          <w:szCs w:val="28"/>
          <w:shd w:val="clear" w:color="auto" w:fill="FFFFFF"/>
        </w:rPr>
        <w:t xml:space="preserve">Roma, </w:t>
      </w:r>
      <w:r w:rsidRPr="0096104B">
        <w:rPr>
          <w:rFonts w:ascii="Times New Roman" w:hAnsi="Times New Roman" w:cs="Times New Roman"/>
          <w:sz w:val="28"/>
          <w:szCs w:val="28"/>
        </w:rPr>
        <w:t>1948, p. 688.</w:t>
      </w:r>
    </w:p>
    <w:p w14:paraId="6BF73233"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Pucci, </w:t>
      </w:r>
      <w:r w:rsidRPr="0096104B">
        <w:rPr>
          <w:rFonts w:ascii="Times New Roman" w:hAnsi="Times New Roman" w:cs="Times New Roman"/>
          <w:i/>
          <w:sz w:val="28"/>
          <w:szCs w:val="28"/>
        </w:rPr>
        <w:t>Lishui</w:t>
      </w:r>
      <w:r w:rsidRPr="0096104B">
        <w:rPr>
          <w:rFonts w:ascii="Times New Roman" w:hAnsi="Times New Roman" w:cs="Times New Roman"/>
          <w:sz w:val="28"/>
          <w:szCs w:val="28"/>
        </w:rPr>
        <w:t xml:space="preserve"> ,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7, </w:t>
      </w:r>
      <w:r w:rsidRPr="0096104B">
        <w:rPr>
          <w:rFonts w:ascii="Times New Roman" w:hAnsi="Times New Roman" w:cs="Times New Roman"/>
          <w:color w:val="201F1E"/>
          <w:sz w:val="28"/>
          <w:szCs w:val="28"/>
          <w:shd w:val="clear" w:color="auto" w:fill="FFFFFF"/>
        </w:rPr>
        <w:t xml:space="preserve">Roma, </w:t>
      </w:r>
      <w:r w:rsidRPr="0096104B">
        <w:rPr>
          <w:rFonts w:ascii="Times New Roman" w:hAnsi="Times New Roman" w:cs="Times New Roman"/>
          <w:sz w:val="28"/>
          <w:szCs w:val="28"/>
        </w:rPr>
        <w:t>1948, p.</w:t>
      </w:r>
      <w:r>
        <w:rPr>
          <w:rFonts w:ascii="Times New Roman" w:hAnsi="Times New Roman" w:cs="Times New Roman"/>
          <w:sz w:val="28"/>
          <w:szCs w:val="28"/>
        </w:rPr>
        <w:t xml:space="preserve"> 1412.</w:t>
      </w:r>
    </w:p>
    <w:p w14:paraId="054DC990" w14:textId="77777777" w:rsidR="00B3403A" w:rsidRPr="00C87838" w:rsidRDefault="00B3403A" w:rsidP="00484F9B">
      <w:pPr>
        <w:pStyle w:val="Paragrafoelenco"/>
        <w:numPr>
          <w:ilvl w:val="0"/>
          <w:numId w:val="20"/>
        </w:num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Pucci, Yüanling,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12, </w:t>
      </w:r>
      <w:r w:rsidRPr="0096104B">
        <w:rPr>
          <w:rFonts w:ascii="Times New Roman" w:hAnsi="Times New Roman" w:cs="Times New Roman"/>
          <w:color w:val="201F1E"/>
          <w:sz w:val="28"/>
          <w:szCs w:val="28"/>
          <w:shd w:val="clear" w:color="auto" w:fill="FFFFFF"/>
        </w:rPr>
        <w:t xml:space="preserve">Roma, </w:t>
      </w:r>
      <w:r w:rsidRPr="0096104B">
        <w:rPr>
          <w:rFonts w:ascii="Times New Roman" w:hAnsi="Times New Roman" w:cs="Times New Roman"/>
          <w:sz w:val="28"/>
          <w:szCs w:val="28"/>
        </w:rPr>
        <w:t>1948, p. 1748.</w:t>
      </w:r>
    </w:p>
    <w:p w14:paraId="143A56AF" w14:textId="77777777" w:rsidR="00B3403A" w:rsidRPr="0096104B" w:rsidRDefault="00B3403A" w:rsidP="00484F9B">
      <w:pPr>
        <w:pStyle w:val="Paragrafoelenco"/>
        <w:numPr>
          <w:ilvl w:val="0"/>
          <w:numId w:val="20"/>
        </w:numPr>
        <w:spacing w:after="0" w:line="360" w:lineRule="auto"/>
        <w:ind w:left="680" w:right="340"/>
        <w:jc w:val="both"/>
        <w:rPr>
          <w:rFonts w:ascii="Times New Roman" w:hAnsi="Times New Roman" w:cs="Times New Roman"/>
          <w:color w:val="201F1E"/>
          <w:sz w:val="28"/>
          <w:szCs w:val="28"/>
          <w:shd w:val="clear" w:color="auto" w:fill="FFFFFF"/>
        </w:rPr>
      </w:pPr>
      <w:r w:rsidRPr="0096104B">
        <w:rPr>
          <w:rFonts w:ascii="Times New Roman" w:hAnsi="Times New Roman" w:cs="Times New Roman"/>
          <w:color w:val="201F1E"/>
          <w:sz w:val="28"/>
          <w:szCs w:val="28"/>
          <w:shd w:val="clear" w:color="auto" w:fill="FFFFFF"/>
        </w:rPr>
        <w:t xml:space="preserve">Pugliese, </w:t>
      </w:r>
      <w:r w:rsidRPr="0096104B">
        <w:rPr>
          <w:rFonts w:ascii="Times New Roman" w:hAnsi="Times New Roman" w:cs="Times New Roman"/>
          <w:i/>
          <w:color w:val="201F1E"/>
          <w:sz w:val="28"/>
          <w:szCs w:val="28"/>
          <w:shd w:val="clear" w:color="auto" w:fill="FFFFFF"/>
        </w:rPr>
        <w:t>De vicario delegatio in territoriis missionum</w:t>
      </w:r>
      <w:r w:rsidRPr="0096104B">
        <w:rPr>
          <w:rFonts w:ascii="Times New Roman" w:hAnsi="Times New Roman" w:cs="Times New Roman"/>
          <w:color w:val="201F1E"/>
          <w:sz w:val="28"/>
          <w:szCs w:val="28"/>
          <w:shd w:val="clear" w:color="auto" w:fill="FFFFFF"/>
        </w:rPr>
        <w:t xml:space="preserve">, in </w:t>
      </w:r>
      <w:r w:rsidRPr="0096104B">
        <w:rPr>
          <w:rFonts w:ascii="Times New Roman" w:hAnsi="Times New Roman" w:cs="Times New Roman"/>
          <w:i/>
          <w:color w:val="201F1E"/>
          <w:sz w:val="28"/>
          <w:szCs w:val="28"/>
          <w:shd w:val="clear" w:color="auto" w:fill="FFFFFF"/>
        </w:rPr>
        <w:t>Apollinaris</w:t>
      </w:r>
      <w:r w:rsidRPr="0096104B">
        <w:rPr>
          <w:rFonts w:ascii="Times New Roman" w:hAnsi="Times New Roman" w:cs="Times New Roman"/>
          <w:color w:val="201F1E"/>
          <w:sz w:val="28"/>
          <w:szCs w:val="28"/>
          <w:shd w:val="clear" w:color="auto" w:fill="FFFFFF"/>
        </w:rPr>
        <w:t>, 1939.</w:t>
      </w:r>
    </w:p>
    <w:p w14:paraId="1D1C21FC" w14:textId="77777777" w:rsidR="00B3403A" w:rsidRPr="0096104B" w:rsidRDefault="00B3403A" w:rsidP="00484F9B">
      <w:pPr>
        <w:spacing w:after="0" w:line="360" w:lineRule="auto"/>
        <w:ind w:left="680" w:right="340"/>
        <w:jc w:val="both"/>
        <w:rPr>
          <w:rFonts w:ascii="Times New Roman" w:hAnsi="Times New Roman" w:cs="Times New Roman"/>
          <w:color w:val="201F1E"/>
          <w:sz w:val="28"/>
          <w:szCs w:val="28"/>
          <w:shd w:val="clear" w:color="auto" w:fill="FFFFFF"/>
        </w:rPr>
      </w:pPr>
    </w:p>
    <w:p w14:paraId="5B50930B" w14:textId="77777777" w:rsidR="00B3403A" w:rsidRPr="0096104B" w:rsidRDefault="00B3403A" w:rsidP="007C6CCB">
      <w:pPr>
        <w:spacing w:after="0" w:line="360" w:lineRule="auto"/>
        <w:ind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Rommerskirehen, </w:t>
      </w:r>
      <w:r w:rsidRPr="0096104B">
        <w:rPr>
          <w:rFonts w:ascii="Times New Roman" w:hAnsi="Times New Roman" w:cs="Times New Roman"/>
          <w:i/>
          <w:sz w:val="28"/>
          <w:szCs w:val="28"/>
        </w:rPr>
        <w:t>India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6, </w:t>
      </w:r>
      <w:r w:rsidRPr="0096104B">
        <w:rPr>
          <w:rFonts w:ascii="Times New Roman" w:hAnsi="Times New Roman" w:cs="Times New Roman"/>
          <w:color w:val="201F1E"/>
          <w:sz w:val="28"/>
          <w:szCs w:val="28"/>
          <w:shd w:val="clear" w:color="auto" w:fill="FFFFFF"/>
        </w:rPr>
        <w:t xml:space="preserve">Roma, </w:t>
      </w:r>
      <w:r w:rsidRPr="0096104B">
        <w:rPr>
          <w:rFonts w:ascii="Times New Roman" w:hAnsi="Times New Roman" w:cs="Times New Roman"/>
          <w:sz w:val="28"/>
          <w:szCs w:val="28"/>
        </w:rPr>
        <w:t>1948, p. 1816.</w:t>
      </w:r>
    </w:p>
    <w:p w14:paraId="3D25E650" w14:textId="77777777" w:rsidR="00B3403A" w:rsidRPr="00C87838"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lastRenderedPageBreak/>
        <w:t xml:space="preserve">G. Rommerskirchen, </w:t>
      </w:r>
      <w:r w:rsidRPr="0096104B">
        <w:rPr>
          <w:rFonts w:ascii="Times New Roman" w:hAnsi="Times New Roman" w:cs="Times New Roman"/>
          <w:i/>
          <w:sz w:val="28"/>
          <w:szCs w:val="28"/>
        </w:rPr>
        <w:t>Oceania</w:t>
      </w:r>
      <w:r w:rsidRPr="0096104B">
        <w:rPr>
          <w:rFonts w:ascii="Times New Roman" w:hAnsi="Times New Roman" w:cs="Times New Roman"/>
          <w:sz w:val="28"/>
          <w:szCs w:val="28"/>
        </w:rPr>
        <w:t>, in Enciclopedia cattolica, Vol.9,</w:t>
      </w:r>
      <w:r w:rsidRPr="0096104B">
        <w:rPr>
          <w:rFonts w:ascii="Times New Roman" w:hAnsi="Times New Roman" w:cs="Times New Roman"/>
          <w:color w:val="201F1E"/>
          <w:sz w:val="28"/>
          <w:szCs w:val="28"/>
          <w:shd w:val="clear" w:color="auto" w:fill="FFFFFF"/>
        </w:rPr>
        <w:t xml:space="preserve"> Roma, </w:t>
      </w:r>
      <w:r w:rsidRPr="0096104B">
        <w:rPr>
          <w:rFonts w:ascii="Times New Roman" w:hAnsi="Times New Roman" w:cs="Times New Roman"/>
          <w:sz w:val="28"/>
          <w:szCs w:val="28"/>
        </w:rPr>
        <w:t>1948, p. 55</w:t>
      </w:r>
      <w:r>
        <w:rPr>
          <w:rFonts w:ascii="Times New Roman" w:hAnsi="Times New Roman" w:cs="Times New Roman"/>
          <w:sz w:val="28"/>
          <w:szCs w:val="28"/>
        </w:rPr>
        <w:t>.</w:t>
      </w:r>
    </w:p>
    <w:p w14:paraId="72015251" w14:textId="77777777" w:rsidR="00B3403A" w:rsidRPr="00C87838"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Ruotolo, </w:t>
      </w:r>
      <w:r w:rsidRPr="0096104B">
        <w:rPr>
          <w:rFonts w:ascii="Times New Roman" w:hAnsi="Times New Roman" w:cs="Times New Roman"/>
          <w:i/>
          <w:sz w:val="28"/>
          <w:szCs w:val="28"/>
        </w:rPr>
        <w:t>Cent’anni di Maximum illud</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L’osservatore domenicano</w:t>
      </w:r>
      <w:r w:rsidRPr="0096104B">
        <w:rPr>
          <w:rFonts w:ascii="Times New Roman" w:hAnsi="Times New Roman" w:cs="Times New Roman"/>
          <w:sz w:val="28"/>
          <w:szCs w:val="28"/>
        </w:rPr>
        <w:t>, 15 dicembre 2019.</w:t>
      </w:r>
    </w:p>
    <w:p w14:paraId="37BFE3AA" w14:textId="77777777" w:rsidR="00B3403A" w:rsidRPr="00C87838" w:rsidRDefault="00B3403A" w:rsidP="00484F9B">
      <w:pPr>
        <w:spacing w:after="0" w:line="360" w:lineRule="auto"/>
        <w:ind w:left="680" w:right="340"/>
        <w:jc w:val="both"/>
        <w:rPr>
          <w:rFonts w:ascii="Times New Roman" w:hAnsi="Times New Roman" w:cs="Times New Roman"/>
          <w:color w:val="000000"/>
          <w:sz w:val="28"/>
          <w:szCs w:val="28"/>
          <w:shd w:val="clear" w:color="auto" w:fill="FFFFFF"/>
        </w:rPr>
      </w:pPr>
      <w:r w:rsidRPr="0096104B">
        <w:rPr>
          <w:rFonts w:ascii="Times New Roman" w:hAnsi="Times New Roman" w:cs="Times New Roman"/>
          <w:color w:val="000000"/>
          <w:sz w:val="28"/>
          <w:szCs w:val="28"/>
          <w:shd w:val="clear" w:color="auto" w:fill="FFFFFF"/>
        </w:rPr>
        <w:t xml:space="preserve">L. Sabbarese, </w:t>
      </w:r>
      <w:r w:rsidRPr="0096104B">
        <w:rPr>
          <w:rFonts w:ascii="Times New Roman" w:hAnsi="Times New Roman" w:cs="Times New Roman"/>
          <w:i/>
          <w:iCs/>
          <w:color w:val="000000"/>
          <w:sz w:val="28"/>
          <w:szCs w:val="28"/>
          <w:shd w:val="clear" w:color="auto" w:fill="FFFFFF"/>
        </w:rPr>
        <w:t>Un momento di inculturazione del Cattolicesimo in Cina. Le Facoltà speciali del 1978</w:t>
      </w:r>
      <w:r w:rsidRPr="0096104B">
        <w:rPr>
          <w:rFonts w:ascii="Times New Roman" w:hAnsi="Times New Roman" w:cs="Times New Roman"/>
          <w:color w:val="000000"/>
          <w:sz w:val="28"/>
          <w:szCs w:val="28"/>
          <w:shd w:val="clear" w:color="auto" w:fill="FFFFFF"/>
        </w:rPr>
        <w:t>, Urbaniana University Press, 2015.</w:t>
      </w:r>
    </w:p>
    <w:p w14:paraId="578DBC8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J.F. Schutte, </w:t>
      </w:r>
      <w:r w:rsidRPr="0096104B">
        <w:rPr>
          <w:rFonts w:ascii="Times New Roman" w:hAnsi="Times New Roman" w:cs="Times New Roman"/>
          <w:i/>
          <w:sz w:val="28"/>
          <w:szCs w:val="28"/>
        </w:rPr>
        <w:t>Introduzione</w:t>
      </w:r>
      <w:r w:rsidRPr="0096104B">
        <w:rPr>
          <w:rFonts w:ascii="Times New Roman" w:hAnsi="Times New Roman" w:cs="Times New Roman"/>
          <w:sz w:val="28"/>
          <w:szCs w:val="28"/>
        </w:rPr>
        <w:t xml:space="preserve"> a</w:t>
      </w:r>
      <w:r w:rsidRPr="0096104B">
        <w:rPr>
          <w:rFonts w:ascii="Times New Roman" w:hAnsi="Times New Roman" w:cs="Times New Roman"/>
          <w:i/>
          <w:sz w:val="28"/>
          <w:szCs w:val="28"/>
        </w:rPr>
        <w:t xml:space="preserve"> </w:t>
      </w:r>
      <w:r w:rsidRPr="0096104B">
        <w:rPr>
          <w:rFonts w:ascii="Times New Roman" w:hAnsi="Times New Roman" w:cs="Times New Roman"/>
          <w:sz w:val="28"/>
          <w:szCs w:val="28"/>
        </w:rPr>
        <w:t>A.</w:t>
      </w:r>
      <w:r w:rsidR="00581ACD">
        <w:rPr>
          <w:rFonts w:ascii="Times New Roman" w:hAnsi="Times New Roman" w:cs="Times New Roman"/>
          <w:sz w:val="28"/>
          <w:szCs w:val="28"/>
        </w:rPr>
        <w:t xml:space="preserve"> </w:t>
      </w:r>
      <w:r w:rsidRPr="0096104B">
        <w:rPr>
          <w:rFonts w:ascii="Times New Roman" w:hAnsi="Times New Roman" w:cs="Times New Roman"/>
          <w:sz w:val="28"/>
          <w:szCs w:val="28"/>
        </w:rPr>
        <w:t xml:space="preserve">Valignano , </w:t>
      </w:r>
      <w:r w:rsidRPr="0096104B">
        <w:rPr>
          <w:rFonts w:ascii="Times New Roman" w:hAnsi="Times New Roman" w:cs="Times New Roman"/>
          <w:i/>
          <w:sz w:val="28"/>
          <w:szCs w:val="28"/>
        </w:rPr>
        <w:t>Il Cerimoniale per i missionari del Giappone</w:t>
      </w:r>
      <w:r>
        <w:rPr>
          <w:rFonts w:ascii="Times New Roman" w:hAnsi="Times New Roman" w:cs="Times New Roman"/>
          <w:sz w:val="28"/>
          <w:szCs w:val="28"/>
        </w:rPr>
        <w:t>, Roma, 1946.</w:t>
      </w:r>
    </w:p>
    <w:p w14:paraId="7385B99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A. Scola, </w:t>
      </w:r>
      <w:r w:rsidRPr="0096104B">
        <w:rPr>
          <w:rFonts w:ascii="Times New Roman" w:hAnsi="Times New Roman" w:cs="Times New Roman"/>
          <w:i/>
          <w:sz w:val="28"/>
          <w:szCs w:val="28"/>
        </w:rPr>
        <w:t>Beneplacitum apostolicum</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Vol.2, Roma,1948, p. 1316.</w:t>
      </w:r>
    </w:p>
    <w:p w14:paraId="6C2CD08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G. Spanu, </w:t>
      </w:r>
      <w:r w:rsidRPr="0096104B">
        <w:rPr>
          <w:rFonts w:ascii="Times New Roman" w:hAnsi="Times New Roman" w:cs="Times New Roman"/>
          <w:i/>
          <w:sz w:val="28"/>
          <w:szCs w:val="28"/>
        </w:rPr>
        <w:t>L'Europa tardoantica e medievale. Il cristianesimo nelle regioni occidentali. L'organizzazione ecclesiastica delle campagne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Treccani</w:t>
      </w:r>
      <w:r w:rsidRPr="0096104B">
        <w:rPr>
          <w:rFonts w:ascii="Times New Roman" w:hAnsi="Times New Roman" w:cs="Times New Roman"/>
          <w:sz w:val="28"/>
          <w:szCs w:val="28"/>
        </w:rPr>
        <w:t xml:space="preserve">, Roma, </w:t>
      </w:r>
      <w:r>
        <w:rPr>
          <w:rFonts w:ascii="Times New Roman" w:hAnsi="Times New Roman" w:cs="Times New Roman"/>
          <w:sz w:val="28"/>
          <w:szCs w:val="28"/>
        </w:rPr>
        <w:t>2004.</w:t>
      </w:r>
    </w:p>
    <w:p w14:paraId="0E49D28C"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D. Staffa, </w:t>
      </w:r>
      <w:r w:rsidRPr="0096104B">
        <w:rPr>
          <w:rFonts w:ascii="Times New Roman" w:hAnsi="Times New Roman" w:cs="Times New Roman"/>
          <w:i/>
          <w:sz w:val="28"/>
          <w:szCs w:val="28"/>
        </w:rPr>
        <w:t>Indulto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6, Roma, </w:t>
      </w:r>
      <w:r>
        <w:rPr>
          <w:rFonts w:ascii="Times New Roman" w:hAnsi="Times New Roman" w:cs="Times New Roman"/>
          <w:sz w:val="28"/>
          <w:szCs w:val="28"/>
        </w:rPr>
        <w:t>1948, p. 1911.</w:t>
      </w:r>
    </w:p>
    <w:p w14:paraId="411EFB2F"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L. D. Stamp, </w:t>
      </w:r>
      <w:r w:rsidRPr="0096104B">
        <w:rPr>
          <w:rFonts w:ascii="Times New Roman" w:hAnsi="Times New Roman" w:cs="Times New Roman"/>
          <w:i/>
          <w:sz w:val="28"/>
          <w:szCs w:val="28"/>
        </w:rPr>
        <w:t>Stati degli Shan</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italiana</w:t>
      </w:r>
      <w:r w:rsidRPr="0096104B">
        <w:rPr>
          <w:rFonts w:ascii="Times New Roman" w:hAnsi="Times New Roman" w:cs="Times New Roman"/>
          <w:sz w:val="28"/>
          <w:szCs w:val="28"/>
        </w:rPr>
        <w:t xml:space="preserve">, Roma, </w:t>
      </w:r>
      <w:r>
        <w:rPr>
          <w:rFonts w:ascii="Times New Roman" w:hAnsi="Times New Roman" w:cs="Times New Roman"/>
          <w:sz w:val="28"/>
          <w:szCs w:val="28"/>
        </w:rPr>
        <w:t>1936.</w:t>
      </w:r>
    </w:p>
    <w:p w14:paraId="5C970800"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E. D. Theseider</w:t>
      </w:r>
      <w:r w:rsidRPr="0096104B">
        <w:rPr>
          <w:rFonts w:ascii="Times New Roman" w:hAnsi="Times New Roman" w:cs="Times New Roman"/>
          <w:i/>
          <w:sz w:val="28"/>
          <w:szCs w:val="28"/>
        </w:rPr>
        <w:t>, Bonifacio VIII e l’attività missionaria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Glaube Geist Geschichte</w:t>
      </w:r>
      <w:r w:rsidRPr="0096104B">
        <w:rPr>
          <w:rFonts w:ascii="Times New Roman" w:hAnsi="Times New Roman" w:cs="Times New Roman"/>
          <w:sz w:val="28"/>
          <w:szCs w:val="28"/>
        </w:rPr>
        <w:t>, n. 60, Berlino, 17 novembre 1967.</w:t>
      </w:r>
    </w:p>
    <w:p w14:paraId="291ABE3F" w14:textId="77777777" w:rsidR="00B3403A" w:rsidRPr="0096104B" w:rsidRDefault="00B3403A" w:rsidP="00484F9B">
      <w:pPr>
        <w:spacing w:after="0" w:line="360" w:lineRule="auto"/>
        <w:ind w:left="680" w:right="340"/>
        <w:jc w:val="both"/>
        <w:rPr>
          <w:rFonts w:ascii="Times New Roman" w:hAnsi="Times New Roman" w:cs="Times New Roman"/>
          <w:color w:val="201F1E"/>
          <w:sz w:val="28"/>
          <w:szCs w:val="28"/>
          <w:shd w:val="clear" w:color="auto" w:fill="FFFFFF"/>
        </w:rPr>
      </w:pPr>
      <w:r w:rsidRPr="0096104B">
        <w:rPr>
          <w:rFonts w:ascii="Times New Roman" w:hAnsi="Times New Roman" w:cs="Times New Roman"/>
          <w:color w:val="201F1E"/>
          <w:sz w:val="28"/>
          <w:szCs w:val="28"/>
          <w:shd w:val="clear" w:color="auto" w:fill="FFFFFF"/>
        </w:rPr>
        <w:t xml:space="preserve">G. Tragella, </w:t>
      </w:r>
      <w:r w:rsidRPr="0096104B">
        <w:rPr>
          <w:rFonts w:ascii="Times New Roman" w:hAnsi="Times New Roman" w:cs="Times New Roman"/>
          <w:i/>
          <w:color w:val="201F1E"/>
          <w:sz w:val="28"/>
          <w:szCs w:val="28"/>
          <w:shd w:val="clear" w:color="auto" w:fill="FFFFFF"/>
        </w:rPr>
        <w:t xml:space="preserve">Pio XI papa missionario, </w:t>
      </w:r>
      <w:r w:rsidRPr="0096104B">
        <w:rPr>
          <w:rFonts w:ascii="Times New Roman" w:hAnsi="Times New Roman" w:cs="Times New Roman"/>
          <w:color w:val="201F1E"/>
          <w:sz w:val="28"/>
          <w:szCs w:val="28"/>
          <w:shd w:val="clear" w:color="auto" w:fill="FFFFFF"/>
        </w:rPr>
        <w:t>Milano,1930.</w:t>
      </w:r>
    </w:p>
    <w:p w14:paraId="02012CFD" w14:textId="77777777" w:rsidR="00B3403A" w:rsidRPr="0096104B" w:rsidRDefault="00B3403A" w:rsidP="00484F9B">
      <w:pPr>
        <w:spacing w:after="0" w:line="360" w:lineRule="auto"/>
        <w:ind w:left="680" w:right="340"/>
        <w:jc w:val="both"/>
        <w:rPr>
          <w:rFonts w:ascii="Times New Roman" w:hAnsi="Times New Roman" w:cs="Times New Roman"/>
          <w:color w:val="201F1E"/>
          <w:sz w:val="28"/>
          <w:szCs w:val="28"/>
          <w:shd w:val="clear" w:color="auto" w:fill="FFFFFF"/>
        </w:rPr>
      </w:pPr>
      <w:r w:rsidRPr="0096104B">
        <w:rPr>
          <w:rFonts w:ascii="Times New Roman" w:hAnsi="Times New Roman" w:cs="Times New Roman"/>
          <w:color w:val="201F1E"/>
          <w:sz w:val="28"/>
          <w:szCs w:val="28"/>
          <w:shd w:val="clear" w:color="auto" w:fill="FFFFFF"/>
        </w:rPr>
        <w:t xml:space="preserve">G. Tragella, </w:t>
      </w:r>
      <w:r w:rsidRPr="0096104B">
        <w:rPr>
          <w:rFonts w:ascii="Times New Roman" w:hAnsi="Times New Roman" w:cs="Times New Roman"/>
          <w:i/>
          <w:color w:val="201F1E"/>
          <w:sz w:val="28"/>
          <w:szCs w:val="28"/>
          <w:shd w:val="clear" w:color="auto" w:fill="FFFFFF"/>
        </w:rPr>
        <w:t>Avviamento allo studio delle missioni</w:t>
      </w:r>
      <w:r w:rsidRPr="0096104B">
        <w:rPr>
          <w:rFonts w:ascii="Times New Roman" w:hAnsi="Times New Roman" w:cs="Times New Roman"/>
          <w:color w:val="201F1E"/>
          <w:sz w:val="28"/>
          <w:szCs w:val="28"/>
          <w:shd w:val="clear" w:color="auto" w:fill="FFFFFF"/>
        </w:rPr>
        <w:t>, Milano, 1930.</w:t>
      </w:r>
    </w:p>
    <w:p w14:paraId="02279EEF"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Tragella, </w:t>
      </w:r>
      <w:r w:rsidRPr="0096104B">
        <w:rPr>
          <w:rFonts w:ascii="Times New Roman" w:hAnsi="Times New Roman" w:cs="Times New Roman"/>
          <w:i/>
          <w:sz w:val="28"/>
          <w:szCs w:val="28"/>
        </w:rPr>
        <w:t>Africa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1, Roma, 1948, p. 408.</w:t>
      </w:r>
    </w:p>
    <w:p w14:paraId="4508F312" w14:textId="77777777" w:rsidR="00B3403A" w:rsidRPr="0096104B" w:rsidRDefault="00B3403A" w:rsidP="00484F9B">
      <w:pPr>
        <w:pStyle w:val="Intestazione"/>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Tragella, </w:t>
      </w:r>
      <w:r w:rsidRPr="0096104B">
        <w:rPr>
          <w:rFonts w:ascii="Times New Roman" w:hAnsi="Times New Roman" w:cs="Times New Roman"/>
          <w:i/>
          <w:sz w:val="28"/>
          <w:szCs w:val="28"/>
        </w:rPr>
        <w:t>Asia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Vol.2, Roma, 1948, p.506</w:t>
      </w:r>
      <w:r>
        <w:rPr>
          <w:rFonts w:ascii="Times New Roman" w:hAnsi="Times New Roman" w:cs="Times New Roman"/>
          <w:sz w:val="28"/>
          <w:szCs w:val="28"/>
        </w:rPr>
        <w:t>.</w:t>
      </w:r>
    </w:p>
    <w:p w14:paraId="0361C584"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Tragella, </w:t>
      </w:r>
      <w:r w:rsidRPr="0096104B">
        <w:rPr>
          <w:rFonts w:ascii="Times New Roman" w:hAnsi="Times New Roman" w:cs="Times New Roman"/>
          <w:i/>
          <w:sz w:val="28"/>
          <w:szCs w:val="28"/>
        </w:rPr>
        <w:t>Brazzaville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Vol.3, Roma, 1948, p. 50.</w:t>
      </w:r>
    </w:p>
    <w:p w14:paraId="58E30BD4"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Tragella, </w:t>
      </w:r>
      <w:r w:rsidRPr="0096104B">
        <w:rPr>
          <w:rFonts w:ascii="Times New Roman" w:hAnsi="Times New Roman" w:cs="Times New Roman"/>
          <w:i/>
          <w:sz w:val="28"/>
          <w:szCs w:val="28"/>
        </w:rPr>
        <w:t>Calcutta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3, Roma, 1948, p. 332.</w:t>
      </w:r>
    </w:p>
    <w:p w14:paraId="1949AAAC"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Tragella, </w:t>
      </w:r>
      <w:r w:rsidRPr="0096104B">
        <w:rPr>
          <w:rFonts w:ascii="Times New Roman" w:hAnsi="Times New Roman" w:cs="Times New Roman"/>
          <w:i/>
          <w:sz w:val="28"/>
          <w:szCs w:val="28"/>
        </w:rPr>
        <w:t>Lagos</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Vol. 7, Roma, 1948, p. 808.</w:t>
      </w:r>
    </w:p>
    <w:p w14:paraId="3A25361E"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G. Tragella</w:t>
      </w:r>
      <w:r w:rsidRPr="0096104B">
        <w:rPr>
          <w:rFonts w:ascii="Times New Roman" w:hAnsi="Times New Roman" w:cs="Times New Roman"/>
          <w:i/>
          <w:sz w:val="28"/>
          <w:szCs w:val="28"/>
        </w:rPr>
        <w:t>, Salem</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 10, Roma, </w:t>
      </w:r>
      <w:r>
        <w:rPr>
          <w:rFonts w:ascii="Times New Roman" w:hAnsi="Times New Roman" w:cs="Times New Roman"/>
          <w:sz w:val="28"/>
          <w:szCs w:val="28"/>
        </w:rPr>
        <w:t>1948, p. 1656.</w:t>
      </w:r>
    </w:p>
    <w:p w14:paraId="4099E820"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N. Turci, </w:t>
      </w:r>
      <w:r w:rsidRPr="0096104B">
        <w:rPr>
          <w:rFonts w:ascii="Times New Roman" w:hAnsi="Times New Roman" w:cs="Times New Roman"/>
          <w:i/>
          <w:sz w:val="28"/>
          <w:szCs w:val="28"/>
        </w:rPr>
        <w:t>Missione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italiana</w:t>
      </w:r>
      <w:r w:rsidRPr="0096104B">
        <w:rPr>
          <w:rFonts w:ascii="Times New Roman" w:hAnsi="Times New Roman" w:cs="Times New Roman"/>
          <w:sz w:val="28"/>
          <w:szCs w:val="28"/>
        </w:rPr>
        <w:t>, Roma, 1934.</w:t>
      </w:r>
    </w:p>
    <w:p w14:paraId="6B6AFB8C"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p>
    <w:p w14:paraId="02412798" w14:textId="77777777" w:rsidR="00B3403A" w:rsidRPr="00C87838"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N. Turchi, </w:t>
      </w:r>
      <w:r w:rsidRPr="0096104B">
        <w:rPr>
          <w:rFonts w:ascii="Times New Roman" w:hAnsi="Times New Roman" w:cs="Times New Roman"/>
          <w:i/>
          <w:sz w:val="28"/>
          <w:szCs w:val="28"/>
        </w:rPr>
        <w:t>Circoscrizioni ecclesiastiche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 xml:space="preserve">Enciclopedia cattolica, </w:t>
      </w:r>
      <w:r w:rsidRPr="0096104B">
        <w:rPr>
          <w:rFonts w:ascii="Times New Roman" w:hAnsi="Times New Roman" w:cs="Times New Roman"/>
          <w:sz w:val="28"/>
          <w:szCs w:val="28"/>
        </w:rPr>
        <w:t>Vol. 3, Roma, 1948.</w:t>
      </w:r>
    </w:p>
    <w:p w14:paraId="18989DE8"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lastRenderedPageBreak/>
        <w:t xml:space="preserve">G. Vassallo, </w:t>
      </w:r>
      <w:r w:rsidRPr="0096104B">
        <w:rPr>
          <w:rFonts w:ascii="Times New Roman" w:hAnsi="Times New Roman" w:cs="Times New Roman"/>
          <w:i/>
          <w:sz w:val="28"/>
          <w:szCs w:val="28"/>
        </w:rPr>
        <w:t>Cosa è e come funziona la Curia romana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Documentazione.info</w:t>
      </w:r>
      <w:r w:rsidRPr="0096104B">
        <w:rPr>
          <w:rFonts w:ascii="Times New Roman" w:hAnsi="Times New Roman" w:cs="Times New Roman"/>
          <w:sz w:val="28"/>
          <w:szCs w:val="28"/>
        </w:rPr>
        <w:t>, 14 marzo 2013.</w:t>
      </w:r>
    </w:p>
    <w:p w14:paraId="31EE7CCA" w14:textId="77777777" w:rsidR="00B3403A" w:rsidRPr="00C87838"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P. Vismara, </w:t>
      </w:r>
      <w:r w:rsidRPr="0096104B">
        <w:rPr>
          <w:rFonts w:ascii="Times New Roman" w:hAnsi="Times New Roman" w:cs="Times New Roman"/>
          <w:i/>
          <w:sz w:val="28"/>
          <w:szCs w:val="28"/>
        </w:rPr>
        <w:t>Il cattolicesimo dalla riforma cattolica all’assolutismo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Storia del cristianesimo (l’età moderna)</w:t>
      </w:r>
      <w:r w:rsidRPr="0096104B">
        <w:rPr>
          <w:rFonts w:ascii="Times New Roman" w:hAnsi="Times New Roman" w:cs="Times New Roman"/>
          <w:sz w:val="28"/>
          <w:szCs w:val="28"/>
        </w:rPr>
        <w:t>, a cura di G. Filoramo e D. Menozzi, Bari, 1997.</w:t>
      </w:r>
    </w:p>
    <w:p w14:paraId="25362202" w14:textId="77777777" w:rsidR="00B3403A" w:rsidRPr="0096104B" w:rsidRDefault="00B3403A" w:rsidP="00484F9B">
      <w:pPr>
        <w:spacing w:after="0" w:line="360" w:lineRule="auto"/>
        <w:ind w:left="680" w:right="340"/>
        <w:jc w:val="both"/>
        <w:rPr>
          <w:rFonts w:ascii="Times New Roman" w:hAnsi="Times New Roman" w:cs="Times New Roman"/>
          <w:color w:val="000000"/>
          <w:sz w:val="28"/>
          <w:szCs w:val="28"/>
          <w:shd w:val="clear" w:color="auto" w:fill="FFFFFF"/>
          <w:lang w:val="en-US"/>
        </w:rPr>
      </w:pPr>
      <w:r w:rsidRPr="0096104B">
        <w:rPr>
          <w:rFonts w:ascii="Times New Roman" w:hAnsi="Times New Roman" w:cs="Times New Roman"/>
          <w:color w:val="000000"/>
          <w:sz w:val="28"/>
          <w:szCs w:val="28"/>
          <w:shd w:val="clear" w:color="auto" w:fill="FFFFFF"/>
          <w:lang w:val="en-US"/>
        </w:rPr>
        <w:t xml:space="preserve">G. Vromant, </w:t>
      </w:r>
      <w:r w:rsidRPr="0096104B">
        <w:rPr>
          <w:rFonts w:ascii="Times New Roman" w:hAnsi="Times New Roman" w:cs="Times New Roman"/>
          <w:i/>
          <w:color w:val="000000"/>
          <w:sz w:val="28"/>
          <w:szCs w:val="28"/>
          <w:shd w:val="clear" w:color="auto" w:fill="FFFFFF"/>
          <w:lang w:val="en-US"/>
        </w:rPr>
        <w:t>De fidelium associationibus</w:t>
      </w:r>
      <w:r w:rsidRPr="0096104B">
        <w:rPr>
          <w:rFonts w:ascii="Times New Roman" w:hAnsi="Times New Roman" w:cs="Times New Roman"/>
          <w:color w:val="000000"/>
          <w:sz w:val="28"/>
          <w:szCs w:val="28"/>
          <w:shd w:val="clear" w:color="auto" w:fill="FFFFFF"/>
          <w:lang w:val="en-US"/>
        </w:rPr>
        <w:t>, Lowen, 1932.</w:t>
      </w:r>
    </w:p>
    <w:p w14:paraId="28C36B4A" w14:textId="77777777" w:rsidR="00B3403A" w:rsidRPr="0096104B" w:rsidRDefault="00B3403A" w:rsidP="00484F9B">
      <w:pPr>
        <w:spacing w:after="0" w:line="360" w:lineRule="auto"/>
        <w:ind w:left="680" w:right="340"/>
        <w:jc w:val="both"/>
        <w:rPr>
          <w:rFonts w:ascii="Times New Roman" w:hAnsi="Times New Roman" w:cs="Times New Roman"/>
          <w:color w:val="000000"/>
          <w:sz w:val="28"/>
          <w:szCs w:val="28"/>
          <w:shd w:val="clear" w:color="auto" w:fill="FFFFFF"/>
          <w:lang w:val="en-US"/>
        </w:rPr>
      </w:pPr>
      <w:r w:rsidRPr="0096104B">
        <w:rPr>
          <w:rFonts w:ascii="Times New Roman" w:hAnsi="Times New Roman" w:cs="Times New Roman"/>
          <w:color w:val="000000"/>
          <w:sz w:val="28"/>
          <w:szCs w:val="28"/>
          <w:shd w:val="clear" w:color="auto" w:fill="FFFFFF"/>
          <w:lang w:val="en-US"/>
        </w:rPr>
        <w:t xml:space="preserve">G. Vromant, </w:t>
      </w:r>
      <w:r w:rsidRPr="0096104B">
        <w:rPr>
          <w:rFonts w:ascii="Times New Roman" w:hAnsi="Times New Roman" w:cs="Times New Roman"/>
          <w:i/>
          <w:color w:val="000000"/>
          <w:sz w:val="28"/>
          <w:szCs w:val="28"/>
          <w:shd w:val="clear" w:color="auto" w:fill="FFFFFF"/>
          <w:lang w:val="en-US"/>
        </w:rPr>
        <w:t>Jus missionarum, introductio et normae generales</w:t>
      </w:r>
      <w:r w:rsidRPr="0096104B">
        <w:rPr>
          <w:rFonts w:ascii="Times New Roman" w:hAnsi="Times New Roman" w:cs="Times New Roman"/>
          <w:color w:val="000000"/>
          <w:sz w:val="28"/>
          <w:szCs w:val="28"/>
          <w:shd w:val="clear" w:color="auto" w:fill="FFFFFF"/>
          <w:lang w:val="en-US"/>
        </w:rPr>
        <w:t>, Lowen, 1934</w:t>
      </w:r>
      <w:r>
        <w:rPr>
          <w:rFonts w:ascii="Times New Roman" w:hAnsi="Times New Roman" w:cs="Times New Roman"/>
          <w:color w:val="000000"/>
          <w:sz w:val="28"/>
          <w:szCs w:val="28"/>
          <w:shd w:val="clear" w:color="auto" w:fill="FFFFFF"/>
          <w:lang w:val="en-US"/>
        </w:rPr>
        <w:t>.</w:t>
      </w:r>
    </w:p>
    <w:p w14:paraId="6BF7B113" w14:textId="77777777" w:rsidR="00B3403A" w:rsidRPr="0096104B" w:rsidRDefault="00B3403A" w:rsidP="00484F9B">
      <w:pPr>
        <w:spacing w:after="0" w:line="360" w:lineRule="auto"/>
        <w:ind w:left="680" w:right="340"/>
        <w:jc w:val="both"/>
        <w:rPr>
          <w:rFonts w:ascii="Times New Roman" w:hAnsi="Times New Roman" w:cs="Times New Roman"/>
          <w:color w:val="000000"/>
          <w:sz w:val="28"/>
          <w:szCs w:val="28"/>
          <w:shd w:val="clear" w:color="auto" w:fill="FFFFFF"/>
        </w:rPr>
      </w:pPr>
      <w:r w:rsidRPr="0096104B">
        <w:rPr>
          <w:rFonts w:ascii="Times New Roman" w:hAnsi="Times New Roman" w:cs="Times New Roman"/>
          <w:color w:val="000000"/>
          <w:sz w:val="28"/>
          <w:szCs w:val="28"/>
          <w:shd w:val="clear" w:color="auto" w:fill="FFFFFF"/>
        </w:rPr>
        <w:t xml:space="preserve">G. Vromant, </w:t>
      </w:r>
      <w:r w:rsidRPr="0096104B">
        <w:rPr>
          <w:rFonts w:ascii="Times New Roman" w:hAnsi="Times New Roman" w:cs="Times New Roman"/>
          <w:i/>
          <w:color w:val="000000"/>
          <w:sz w:val="28"/>
          <w:szCs w:val="28"/>
          <w:shd w:val="clear" w:color="auto" w:fill="FFFFFF"/>
        </w:rPr>
        <w:t>De iure missionum scripto</w:t>
      </w:r>
      <w:r w:rsidRPr="0096104B">
        <w:rPr>
          <w:rFonts w:ascii="Times New Roman" w:hAnsi="Times New Roman" w:cs="Times New Roman"/>
          <w:color w:val="000000"/>
          <w:sz w:val="28"/>
          <w:szCs w:val="28"/>
          <w:shd w:val="clear" w:color="auto" w:fill="FFFFFF"/>
        </w:rPr>
        <w:t>, codici I.C. anteriore, in Miscellanea Vermeersch vol. 1, Roma, 1935.</w:t>
      </w:r>
    </w:p>
    <w:p w14:paraId="185112C7" w14:textId="77777777" w:rsidR="00B3403A" w:rsidRPr="0096104B" w:rsidRDefault="00B3403A" w:rsidP="00484F9B">
      <w:pPr>
        <w:spacing w:after="0" w:line="360" w:lineRule="auto"/>
        <w:ind w:left="680" w:right="340"/>
        <w:jc w:val="both"/>
        <w:rPr>
          <w:rFonts w:ascii="Times New Roman" w:hAnsi="Times New Roman" w:cs="Times New Roman"/>
          <w:color w:val="000000"/>
          <w:sz w:val="28"/>
          <w:szCs w:val="28"/>
          <w:shd w:val="clear" w:color="auto" w:fill="FFFFFF"/>
        </w:rPr>
      </w:pPr>
      <w:r w:rsidRPr="0096104B">
        <w:rPr>
          <w:rFonts w:ascii="Times New Roman" w:hAnsi="Times New Roman" w:cs="Times New Roman"/>
          <w:color w:val="000000"/>
          <w:sz w:val="28"/>
          <w:szCs w:val="28"/>
          <w:shd w:val="clear" w:color="auto" w:fill="FFFFFF"/>
        </w:rPr>
        <w:t>G. Vromant</w:t>
      </w:r>
      <w:r w:rsidRPr="0096104B">
        <w:rPr>
          <w:rFonts w:ascii="Times New Roman" w:hAnsi="Times New Roman" w:cs="Times New Roman"/>
          <w:i/>
          <w:color w:val="000000"/>
          <w:sz w:val="28"/>
          <w:szCs w:val="28"/>
          <w:shd w:val="clear" w:color="auto" w:fill="FFFFFF"/>
        </w:rPr>
        <w:t>, in Commentarium pro religiosis et missionariis</w:t>
      </w:r>
      <w:r w:rsidRPr="0096104B">
        <w:rPr>
          <w:rFonts w:ascii="Times New Roman" w:hAnsi="Times New Roman" w:cs="Times New Roman"/>
          <w:color w:val="000000"/>
          <w:sz w:val="28"/>
          <w:szCs w:val="28"/>
          <w:shd w:val="clear" w:color="auto" w:fill="FFFFFF"/>
        </w:rPr>
        <w:t xml:space="preserve">, in  </w:t>
      </w:r>
      <w:r w:rsidRPr="0096104B">
        <w:rPr>
          <w:rFonts w:ascii="Times New Roman" w:hAnsi="Times New Roman" w:cs="Times New Roman"/>
          <w:i/>
          <w:color w:val="000000"/>
          <w:sz w:val="28"/>
          <w:szCs w:val="28"/>
          <w:shd w:val="clear" w:color="auto" w:fill="FFFFFF"/>
        </w:rPr>
        <w:t>Miscellanea Vermeersch,</w:t>
      </w:r>
      <w:r w:rsidRPr="0096104B">
        <w:rPr>
          <w:rFonts w:ascii="Times New Roman" w:hAnsi="Times New Roman" w:cs="Times New Roman"/>
          <w:color w:val="000000"/>
          <w:sz w:val="28"/>
          <w:szCs w:val="28"/>
          <w:shd w:val="clear" w:color="auto" w:fill="FFFFFF"/>
        </w:rPr>
        <w:t>1944-46, fascicolo 1-3.</w:t>
      </w:r>
    </w:p>
    <w:p w14:paraId="794A0CE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G. Zameza, </w:t>
      </w:r>
      <w:r w:rsidRPr="0096104B">
        <w:rPr>
          <w:rFonts w:ascii="Times New Roman" w:hAnsi="Times New Roman" w:cs="Times New Roman"/>
          <w:i/>
          <w:sz w:val="28"/>
          <w:szCs w:val="28"/>
        </w:rPr>
        <w:t>istituto pontificio dei santi apostolici Pietro e Paolo e dei santi Ambrogio e Carlo per le missioni estere</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cattolica</w:t>
      </w:r>
      <w:r w:rsidRPr="0096104B">
        <w:rPr>
          <w:rFonts w:ascii="Times New Roman" w:hAnsi="Times New Roman" w:cs="Times New Roman"/>
          <w:sz w:val="28"/>
          <w:szCs w:val="28"/>
        </w:rPr>
        <w:t xml:space="preserve">, Vol.7, Roma,1948, </w:t>
      </w:r>
      <w:r>
        <w:rPr>
          <w:rFonts w:ascii="Times New Roman" w:hAnsi="Times New Roman" w:cs="Times New Roman"/>
          <w:sz w:val="28"/>
          <w:szCs w:val="28"/>
        </w:rPr>
        <w:t>p. 363.</w:t>
      </w:r>
    </w:p>
    <w:p w14:paraId="28DE8F28" w14:textId="77777777" w:rsidR="00581ACD" w:rsidRDefault="00B3403A" w:rsidP="00484F9B">
      <w:pPr>
        <w:spacing w:after="0" w:line="360" w:lineRule="auto"/>
        <w:ind w:left="680" w:right="340"/>
        <w:jc w:val="both"/>
        <w:rPr>
          <w:rFonts w:ascii="Times New Roman" w:hAnsi="Times New Roman" w:cs="Times New Roman"/>
          <w:color w:val="000000"/>
          <w:sz w:val="28"/>
          <w:szCs w:val="28"/>
          <w:shd w:val="clear" w:color="auto" w:fill="FFFFFF"/>
        </w:rPr>
      </w:pPr>
      <w:r w:rsidRPr="0096104B">
        <w:rPr>
          <w:rFonts w:ascii="Times New Roman" w:hAnsi="Times New Roman" w:cs="Times New Roman"/>
          <w:color w:val="000000"/>
          <w:sz w:val="28"/>
          <w:szCs w:val="28"/>
          <w:shd w:val="clear" w:color="auto" w:fill="FFFFFF"/>
        </w:rPr>
        <w:t>D. Zitelli</w:t>
      </w:r>
      <w:r w:rsidRPr="0096104B">
        <w:rPr>
          <w:rFonts w:ascii="Times New Roman" w:hAnsi="Times New Roman" w:cs="Times New Roman"/>
          <w:i/>
          <w:color w:val="000000"/>
          <w:sz w:val="28"/>
          <w:szCs w:val="28"/>
          <w:shd w:val="clear" w:color="auto" w:fill="FFFFFF"/>
        </w:rPr>
        <w:t>, Apparatus iuris ecclestiatici</w:t>
      </w:r>
      <w:r w:rsidR="00581ACD">
        <w:rPr>
          <w:rFonts w:ascii="Times New Roman" w:hAnsi="Times New Roman" w:cs="Times New Roman"/>
          <w:color w:val="000000"/>
          <w:sz w:val="28"/>
          <w:szCs w:val="28"/>
          <w:shd w:val="clear" w:color="auto" w:fill="FFFFFF"/>
        </w:rPr>
        <w:t>, Roma ,1895.</w:t>
      </w:r>
    </w:p>
    <w:p w14:paraId="7D26A7B3" w14:textId="77777777" w:rsidR="00581ACD" w:rsidRDefault="00581ACD" w:rsidP="00484F9B">
      <w:pPr>
        <w:spacing w:after="0" w:line="360" w:lineRule="auto"/>
        <w:ind w:left="680" w:right="340"/>
        <w:jc w:val="both"/>
        <w:rPr>
          <w:rFonts w:ascii="Times New Roman" w:hAnsi="Times New Roman" w:cs="Times New Roman"/>
          <w:color w:val="000000"/>
          <w:sz w:val="28"/>
          <w:szCs w:val="28"/>
          <w:shd w:val="clear" w:color="auto" w:fill="FFFFFF"/>
        </w:rPr>
      </w:pPr>
    </w:p>
    <w:p w14:paraId="4EFC8ABE" w14:textId="7E782B0D" w:rsidR="00F646E3" w:rsidRDefault="00F646E3" w:rsidP="00484F9B">
      <w:pPr>
        <w:spacing w:after="0" w:line="360" w:lineRule="auto"/>
        <w:ind w:left="680" w:right="3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14:paraId="63188ACE" w14:textId="77777777" w:rsidR="00581ACD" w:rsidRDefault="00581ACD" w:rsidP="00484F9B">
      <w:pPr>
        <w:spacing w:after="0" w:line="360" w:lineRule="auto"/>
        <w:ind w:left="680" w:right="340"/>
        <w:jc w:val="both"/>
        <w:rPr>
          <w:rFonts w:ascii="Times New Roman" w:hAnsi="Times New Roman" w:cs="Times New Roman"/>
          <w:color w:val="000000"/>
          <w:sz w:val="28"/>
          <w:szCs w:val="28"/>
          <w:shd w:val="clear" w:color="auto" w:fill="FFFFFF"/>
        </w:rPr>
      </w:pPr>
    </w:p>
    <w:p w14:paraId="496379A8" w14:textId="77777777" w:rsidR="00B3403A" w:rsidRPr="0096104B" w:rsidRDefault="00B3403A" w:rsidP="0024328D">
      <w:pPr>
        <w:spacing w:after="0" w:line="360" w:lineRule="auto"/>
        <w:ind w:left="680" w:right="340"/>
        <w:jc w:val="center"/>
        <w:rPr>
          <w:rFonts w:ascii="Times New Roman" w:hAnsi="Times New Roman" w:cs="Times New Roman"/>
          <w:color w:val="000000"/>
          <w:sz w:val="28"/>
          <w:szCs w:val="28"/>
          <w:shd w:val="clear" w:color="auto" w:fill="FFFFFF"/>
        </w:rPr>
      </w:pPr>
      <w:r w:rsidRPr="0096104B">
        <w:rPr>
          <w:rFonts w:ascii="Times New Roman" w:hAnsi="Times New Roman" w:cs="Times New Roman"/>
          <w:color w:val="000000"/>
          <w:sz w:val="28"/>
          <w:szCs w:val="28"/>
          <w:shd w:val="clear" w:color="auto" w:fill="FFFFFF"/>
        </w:rPr>
        <w:t>SITOGRAFIA</w:t>
      </w:r>
    </w:p>
    <w:p w14:paraId="083F0BAF" w14:textId="77777777" w:rsidR="00B3403A" w:rsidRPr="0096104B" w:rsidRDefault="00B3403A" w:rsidP="00484F9B">
      <w:pPr>
        <w:spacing w:after="0" w:line="360" w:lineRule="auto"/>
        <w:ind w:left="680" w:right="340"/>
        <w:jc w:val="both"/>
        <w:rPr>
          <w:rFonts w:ascii="Times New Roman" w:hAnsi="Times New Roman" w:cs="Times New Roman"/>
          <w:color w:val="000000"/>
          <w:sz w:val="28"/>
          <w:szCs w:val="28"/>
          <w:shd w:val="clear" w:color="auto" w:fill="FFFFFF"/>
        </w:rPr>
      </w:pPr>
    </w:p>
    <w:p w14:paraId="75AFF065" w14:textId="77777777" w:rsidR="00B3403A" w:rsidRPr="0096104B" w:rsidRDefault="00B3403A" w:rsidP="00484F9B">
      <w:pPr>
        <w:pStyle w:val="Testonotaapidipagina"/>
        <w:spacing w:line="360" w:lineRule="auto"/>
        <w:ind w:left="680" w:right="340"/>
        <w:jc w:val="both"/>
        <w:rPr>
          <w:rFonts w:ascii="Times New Roman" w:hAnsi="Times New Roman" w:cs="Times New Roman"/>
          <w:color w:val="000000" w:themeColor="text1"/>
          <w:sz w:val="28"/>
          <w:szCs w:val="28"/>
        </w:rPr>
      </w:pPr>
    </w:p>
    <w:p w14:paraId="79A638E4" w14:textId="77777777" w:rsidR="00B3403A" w:rsidRPr="0096104B"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rPr>
      </w:pPr>
      <w:hyperlink r:id="rId30" w:history="1">
        <w:r w:rsidR="00B3403A" w:rsidRPr="0096104B">
          <w:rPr>
            <w:rStyle w:val="Collegamentoipertestuale"/>
            <w:rFonts w:ascii="Times New Roman" w:hAnsi="Times New Roman" w:cs="Times New Roman"/>
            <w:color w:val="000000" w:themeColor="text1"/>
            <w:sz w:val="28"/>
            <w:szCs w:val="28"/>
          </w:rPr>
          <w:t>https://alleanzacattolica.org/maximum-illud-riflessione-di-padre-bernardo-cervellera/</w:t>
        </w:r>
      </w:hyperlink>
      <w:r w:rsidR="00B3403A" w:rsidRPr="0096104B">
        <w:rPr>
          <w:rFonts w:ascii="Times New Roman" w:hAnsi="Times New Roman" w:cs="Times New Roman"/>
          <w:color w:val="000000" w:themeColor="text1"/>
          <w:sz w:val="28"/>
          <w:szCs w:val="28"/>
        </w:rPr>
        <w:t>.</w:t>
      </w:r>
    </w:p>
    <w:p w14:paraId="78E179BC" w14:textId="77777777" w:rsidR="00B3403A" w:rsidRPr="0096104B" w:rsidRDefault="00B3403A" w:rsidP="00484F9B">
      <w:pPr>
        <w:pStyle w:val="Testonotaapidipagina"/>
        <w:spacing w:line="360" w:lineRule="auto"/>
        <w:ind w:left="680" w:right="340"/>
        <w:jc w:val="both"/>
        <w:rPr>
          <w:rFonts w:ascii="Times New Roman" w:hAnsi="Times New Roman" w:cs="Times New Roman"/>
          <w:color w:val="0D0D0D" w:themeColor="text1" w:themeTint="F2"/>
          <w:sz w:val="28"/>
          <w:szCs w:val="28"/>
        </w:rPr>
      </w:pPr>
      <w:r w:rsidRPr="0096104B">
        <w:rPr>
          <w:rFonts w:ascii="Times New Roman" w:hAnsi="Times New Roman" w:cs="Times New Roman"/>
          <w:i/>
          <w:color w:val="0D0D0D" w:themeColor="text1" w:themeTint="F2"/>
          <w:sz w:val="28"/>
          <w:szCs w:val="28"/>
        </w:rPr>
        <w:t>Apostolic Work</w:t>
      </w:r>
      <w:r w:rsidRPr="0096104B">
        <w:rPr>
          <w:rFonts w:ascii="Times New Roman" w:hAnsi="Times New Roman" w:cs="Times New Roman"/>
          <w:color w:val="0D0D0D" w:themeColor="text1" w:themeTint="F2"/>
          <w:sz w:val="28"/>
          <w:szCs w:val="28"/>
        </w:rPr>
        <w:t xml:space="preserve"> in </w:t>
      </w:r>
      <w:hyperlink r:id="rId31" w:history="1">
        <w:r w:rsidRPr="0096104B">
          <w:rPr>
            <w:rStyle w:val="Collegamentoipertestuale"/>
            <w:rFonts w:ascii="Times New Roman" w:hAnsi="Times New Roman" w:cs="Times New Roman"/>
            <w:color w:val="0D0D0D" w:themeColor="text1" w:themeTint="F2"/>
            <w:sz w:val="28"/>
            <w:szCs w:val="28"/>
          </w:rPr>
          <w:t>https://www.apostolicwork.ie/about/</w:t>
        </w:r>
      </w:hyperlink>
      <w:r w:rsidRPr="0096104B">
        <w:rPr>
          <w:rStyle w:val="Collegamentoipertestuale"/>
          <w:rFonts w:ascii="Times New Roman" w:hAnsi="Times New Roman" w:cs="Times New Roman"/>
          <w:color w:val="0D0D0D" w:themeColor="text1" w:themeTint="F2"/>
          <w:sz w:val="28"/>
          <w:szCs w:val="28"/>
        </w:rPr>
        <w:t>.</w:t>
      </w:r>
    </w:p>
    <w:p w14:paraId="7D082BB0"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 xml:space="preserve">B. Bellesi, </w:t>
      </w:r>
      <w:r w:rsidRPr="0096104B">
        <w:rPr>
          <w:rFonts w:ascii="Times New Roman" w:hAnsi="Times New Roman" w:cs="Times New Roman"/>
          <w:i/>
          <w:sz w:val="28"/>
          <w:szCs w:val="28"/>
        </w:rPr>
        <w:t>L’apostolo del Tonchino</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Dossier Vietnam La chiesa cattolica: martirio e profezia,</w:t>
      </w:r>
      <w:r w:rsidRPr="0096104B">
        <w:rPr>
          <w:rFonts w:ascii="Times New Roman" w:hAnsi="Times New Roman" w:cs="Times New Roman"/>
          <w:sz w:val="28"/>
          <w:szCs w:val="28"/>
        </w:rPr>
        <w:t xml:space="preserve"> 2005</w:t>
      </w:r>
    </w:p>
    <w:p w14:paraId="3D80EBA9"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rPr>
      </w:pPr>
      <w:hyperlink r:id="rId32" w:history="1">
        <w:r w:rsidR="00B3403A" w:rsidRPr="00581ACD">
          <w:rPr>
            <w:rStyle w:val="Collegamentoipertestuale"/>
            <w:rFonts w:ascii="Times New Roman" w:hAnsi="Times New Roman" w:cs="Times New Roman"/>
            <w:color w:val="000000" w:themeColor="text1"/>
            <w:sz w:val="28"/>
            <w:szCs w:val="28"/>
          </w:rPr>
          <w:t>https://www.rivistamissioniconsolata.it/2005/04/01/dossier-vietnam-la-chiesa-cattolica-martirio-e-profezia/</w:t>
        </w:r>
      </w:hyperlink>
      <w:r w:rsidR="00B3403A" w:rsidRPr="00581ACD">
        <w:rPr>
          <w:rFonts w:ascii="Times New Roman" w:hAnsi="Times New Roman" w:cs="Times New Roman"/>
          <w:color w:val="000000" w:themeColor="text1"/>
          <w:sz w:val="28"/>
          <w:szCs w:val="28"/>
        </w:rPr>
        <w:t>.</w:t>
      </w:r>
    </w:p>
    <w:p w14:paraId="15DD7B74"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rPr>
      </w:pPr>
      <w:hyperlink r:id="rId33" w:history="1">
        <w:r w:rsidR="00B3403A" w:rsidRPr="00581ACD">
          <w:rPr>
            <w:rStyle w:val="Collegamentoipertestuale"/>
            <w:rFonts w:ascii="Times New Roman" w:hAnsi="Times New Roman" w:cs="Times New Roman"/>
            <w:color w:val="000000" w:themeColor="text1"/>
            <w:sz w:val="28"/>
            <w:szCs w:val="28"/>
          </w:rPr>
          <w:t>https://www.brigidine.org/storia.php</w:t>
        </w:r>
      </w:hyperlink>
      <w:r w:rsidR="00B3403A" w:rsidRPr="00581ACD">
        <w:rPr>
          <w:rFonts w:ascii="Times New Roman" w:hAnsi="Times New Roman" w:cs="Times New Roman"/>
          <w:color w:val="000000" w:themeColor="text1"/>
          <w:sz w:val="28"/>
          <w:szCs w:val="28"/>
        </w:rPr>
        <w:t>.</w:t>
      </w:r>
    </w:p>
    <w:p w14:paraId="6CD5C86F" w14:textId="77777777" w:rsidR="00B3403A" w:rsidRPr="0096104B" w:rsidRDefault="0024328D" w:rsidP="00484F9B">
      <w:pPr>
        <w:pStyle w:val="Testonotaapidipagina"/>
        <w:spacing w:line="360" w:lineRule="auto"/>
        <w:ind w:left="680" w:right="340"/>
        <w:jc w:val="both"/>
        <w:rPr>
          <w:rFonts w:ascii="Times New Roman" w:hAnsi="Times New Roman" w:cs="Times New Roman"/>
          <w:color w:val="0D0D0D" w:themeColor="text1" w:themeTint="F2"/>
          <w:sz w:val="28"/>
          <w:szCs w:val="28"/>
        </w:rPr>
      </w:pPr>
      <w:hyperlink r:id="rId34" w:history="1">
        <w:r w:rsidR="00B3403A" w:rsidRPr="0096104B">
          <w:rPr>
            <w:rStyle w:val="Collegamentoipertestuale"/>
            <w:rFonts w:ascii="Times New Roman" w:hAnsi="Times New Roman" w:cs="Times New Roman"/>
            <w:color w:val="0D0D0D" w:themeColor="text1" w:themeTint="F2"/>
            <w:sz w:val="28"/>
            <w:szCs w:val="28"/>
          </w:rPr>
          <w:t>http://www.clavermissionarysisters.org/?page_id=165</w:t>
        </w:r>
      </w:hyperlink>
      <w:r w:rsidR="00B3403A" w:rsidRPr="0096104B">
        <w:rPr>
          <w:rFonts w:ascii="Times New Roman" w:hAnsi="Times New Roman" w:cs="Times New Roman"/>
          <w:sz w:val="28"/>
          <w:szCs w:val="28"/>
        </w:rPr>
        <w:t>.</w:t>
      </w:r>
    </w:p>
    <w:p w14:paraId="60774C79"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r w:rsidRPr="0096104B">
        <w:rPr>
          <w:rFonts w:ascii="Times New Roman" w:hAnsi="Times New Roman" w:cs="Times New Roman"/>
          <w:sz w:val="28"/>
          <w:szCs w:val="28"/>
        </w:rPr>
        <w:t>Feigon, Lee Nathan, "</w:t>
      </w:r>
      <w:r w:rsidRPr="0096104B">
        <w:rPr>
          <w:rFonts w:ascii="Times New Roman" w:hAnsi="Times New Roman" w:cs="Times New Roman"/>
          <w:i/>
          <w:sz w:val="28"/>
          <w:szCs w:val="28"/>
        </w:rPr>
        <w:t>Hong Xiuquan</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Encyclopedia Britannica</w:t>
      </w:r>
      <w:r w:rsidRPr="0096104B">
        <w:rPr>
          <w:rFonts w:ascii="Times New Roman" w:hAnsi="Times New Roman" w:cs="Times New Roman"/>
          <w:sz w:val="28"/>
          <w:szCs w:val="28"/>
        </w:rPr>
        <w:t>, 28 maggio 2022</w:t>
      </w:r>
    </w:p>
    <w:p w14:paraId="5BBDAB6D"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rPr>
      </w:pPr>
      <w:hyperlink r:id="rId35" w:history="1">
        <w:r w:rsidR="00B3403A" w:rsidRPr="00581ACD">
          <w:rPr>
            <w:rStyle w:val="Collegamentoipertestuale"/>
            <w:rFonts w:ascii="Times New Roman" w:hAnsi="Times New Roman" w:cs="Times New Roman"/>
            <w:color w:val="000000" w:themeColor="text1"/>
            <w:sz w:val="28"/>
            <w:szCs w:val="28"/>
          </w:rPr>
          <w:t>https://www.britannica.com/biography/Hong-Xiuquan</w:t>
        </w:r>
      </w:hyperlink>
      <w:r w:rsidR="00B3403A" w:rsidRPr="00581ACD">
        <w:rPr>
          <w:rFonts w:ascii="Times New Roman" w:hAnsi="Times New Roman" w:cs="Times New Roman"/>
          <w:color w:val="000000" w:themeColor="text1"/>
          <w:sz w:val="28"/>
          <w:szCs w:val="28"/>
        </w:rPr>
        <w:t>.</w:t>
      </w:r>
    </w:p>
    <w:p w14:paraId="16665CE7"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t xml:space="preserve">Il cristianesimo in Cina già nel primo millennio: annunciato da monaci siriani fu accolto favorevolmente a Si Ngan-fou (Xi’an). Le testimonianze archeologiche e letterarie, </w:t>
      </w:r>
      <w:r w:rsidRPr="0096104B">
        <w:rPr>
          <w:rFonts w:ascii="Times New Roman" w:hAnsi="Times New Roman" w:cs="Times New Roman"/>
          <w:sz w:val="28"/>
          <w:szCs w:val="28"/>
        </w:rPr>
        <w:t xml:space="preserve">in </w:t>
      </w:r>
      <w:r w:rsidRPr="0096104B">
        <w:rPr>
          <w:rFonts w:ascii="Times New Roman" w:hAnsi="Times New Roman" w:cs="Times New Roman"/>
          <w:i/>
          <w:sz w:val="28"/>
          <w:szCs w:val="28"/>
        </w:rPr>
        <w:t>I luoghi della Bibbia</w:t>
      </w:r>
    </w:p>
    <w:p w14:paraId="7006B766"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u w:val="single"/>
        </w:rPr>
      </w:pPr>
      <w:hyperlink r:id="rId36" w:history="1">
        <w:r w:rsidR="00B3403A" w:rsidRPr="00581ACD">
          <w:rPr>
            <w:rStyle w:val="Collegamentoipertestuale"/>
            <w:rFonts w:ascii="Times New Roman" w:hAnsi="Times New Roman" w:cs="Times New Roman"/>
            <w:color w:val="000000" w:themeColor="text1"/>
            <w:sz w:val="28"/>
            <w:szCs w:val="28"/>
          </w:rPr>
          <w:t>https://www.gliscritti.it/lbibbia/crist-cina.htm</w:t>
        </w:r>
      </w:hyperlink>
      <w:r w:rsidR="00B3403A" w:rsidRPr="00581ACD">
        <w:rPr>
          <w:rStyle w:val="Collegamentoipertestuale"/>
          <w:rFonts w:ascii="Times New Roman" w:hAnsi="Times New Roman" w:cs="Times New Roman"/>
          <w:color w:val="000000" w:themeColor="text1"/>
          <w:sz w:val="28"/>
          <w:szCs w:val="28"/>
        </w:rPr>
        <w:t>.</w:t>
      </w:r>
    </w:p>
    <w:p w14:paraId="4CB6A7B5" w14:textId="77777777" w:rsidR="00B3403A" w:rsidRPr="00581ACD" w:rsidRDefault="00B3403A" w:rsidP="00484F9B">
      <w:pPr>
        <w:pStyle w:val="Testonotaapidipagina"/>
        <w:spacing w:line="360" w:lineRule="auto"/>
        <w:ind w:left="680" w:right="340"/>
        <w:jc w:val="both"/>
        <w:rPr>
          <w:rFonts w:ascii="Times New Roman" w:hAnsi="Times New Roman" w:cs="Times New Roman"/>
          <w:i/>
          <w:color w:val="000000" w:themeColor="text1"/>
          <w:sz w:val="28"/>
          <w:szCs w:val="28"/>
        </w:rPr>
      </w:pPr>
      <w:r w:rsidRPr="00581ACD">
        <w:rPr>
          <w:rFonts w:ascii="Times New Roman" w:hAnsi="Times New Roman" w:cs="Times New Roman"/>
          <w:i/>
          <w:color w:val="000000" w:themeColor="text1"/>
          <w:sz w:val="28"/>
          <w:szCs w:val="28"/>
        </w:rPr>
        <w:t xml:space="preserve">Indocina, </w:t>
      </w:r>
      <w:r w:rsidRPr="00581ACD">
        <w:rPr>
          <w:rFonts w:ascii="Times New Roman" w:hAnsi="Times New Roman" w:cs="Times New Roman"/>
          <w:color w:val="000000" w:themeColor="text1"/>
          <w:sz w:val="28"/>
          <w:szCs w:val="28"/>
        </w:rPr>
        <w:t xml:space="preserve">in </w:t>
      </w:r>
      <w:r w:rsidRPr="00581ACD">
        <w:rPr>
          <w:rFonts w:ascii="Times New Roman" w:hAnsi="Times New Roman" w:cs="Times New Roman"/>
          <w:i/>
          <w:color w:val="000000" w:themeColor="text1"/>
          <w:sz w:val="28"/>
          <w:szCs w:val="28"/>
        </w:rPr>
        <w:t>Enciclopedia Treccani</w:t>
      </w:r>
    </w:p>
    <w:p w14:paraId="164CBB13"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u w:val="single"/>
        </w:rPr>
      </w:pPr>
      <w:hyperlink r:id="rId37" w:history="1">
        <w:r w:rsidR="00B3403A" w:rsidRPr="00581ACD">
          <w:rPr>
            <w:rStyle w:val="Collegamentoipertestuale"/>
            <w:rFonts w:ascii="Times New Roman" w:hAnsi="Times New Roman" w:cs="Times New Roman"/>
            <w:color w:val="000000" w:themeColor="text1"/>
            <w:sz w:val="28"/>
            <w:szCs w:val="28"/>
          </w:rPr>
          <w:t>https://www.treccani.it/enciclopedia/indocina</w:t>
        </w:r>
      </w:hyperlink>
      <w:r w:rsidR="00B3403A" w:rsidRPr="00581ACD">
        <w:rPr>
          <w:rFonts w:ascii="Times New Roman" w:hAnsi="Times New Roman" w:cs="Times New Roman"/>
          <w:color w:val="000000" w:themeColor="text1"/>
          <w:sz w:val="28"/>
          <w:szCs w:val="28"/>
        </w:rPr>
        <w:t>.</w:t>
      </w:r>
    </w:p>
    <w:p w14:paraId="18B18618" w14:textId="77777777" w:rsidR="00B3403A" w:rsidRPr="00581ACD" w:rsidRDefault="00B3403A" w:rsidP="00484F9B">
      <w:pPr>
        <w:pStyle w:val="Testonotaapidipagina"/>
        <w:spacing w:line="360" w:lineRule="auto"/>
        <w:ind w:left="680" w:right="340"/>
        <w:jc w:val="both"/>
        <w:rPr>
          <w:rFonts w:ascii="Times New Roman" w:hAnsi="Times New Roman" w:cs="Times New Roman"/>
          <w:color w:val="000000" w:themeColor="text1"/>
          <w:sz w:val="28"/>
          <w:szCs w:val="28"/>
        </w:rPr>
      </w:pPr>
      <w:r w:rsidRPr="0096104B">
        <w:rPr>
          <w:rFonts w:ascii="Times New Roman" w:hAnsi="Times New Roman" w:cs="Times New Roman"/>
          <w:i/>
          <w:sz w:val="28"/>
          <w:szCs w:val="28"/>
        </w:rPr>
        <w:t xml:space="preserve">La Congregazione per l’Evangelizzazione dei Popoli (De Propaganda Fide), </w:t>
      </w:r>
      <w:r w:rsidRPr="0096104B">
        <w:rPr>
          <w:rFonts w:ascii="Times New Roman" w:hAnsi="Times New Roman" w:cs="Times New Roman"/>
          <w:sz w:val="28"/>
          <w:szCs w:val="28"/>
        </w:rPr>
        <w:t xml:space="preserve">in </w:t>
      </w:r>
      <w:r w:rsidRPr="0096104B">
        <w:rPr>
          <w:rFonts w:ascii="Times New Roman" w:hAnsi="Times New Roman" w:cs="Times New Roman"/>
          <w:i/>
          <w:sz w:val="28"/>
          <w:szCs w:val="28"/>
        </w:rPr>
        <w:t xml:space="preserve">Archivio storico di Propaganda fide </w:t>
      </w:r>
      <w:hyperlink r:id="rId38" w:history="1">
        <w:r w:rsidRPr="00581ACD">
          <w:rPr>
            <w:rStyle w:val="Collegamentoipertestuale"/>
            <w:rFonts w:ascii="Times New Roman" w:hAnsi="Times New Roman" w:cs="Times New Roman"/>
            <w:color w:val="000000" w:themeColor="text1"/>
            <w:sz w:val="28"/>
            <w:szCs w:val="28"/>
          </w:rPr>
          <w:t>http://www.archiviostoricopropaganda.va/content/archiviostoricopropagandafide/it/la-congregazione/congregazione.html</w:t>
        </w:r>
      </w:hyperlink>
      <w:r w:rsidRPr="00581ACD">
        <w:rPr>
          <w:rFonts w:ascii="Times New Roman" w:hAnsi="Times New Roman" w:cs="Times New Roman"/>
          <w:color w:val="000000" w:themeColor="text1"/>
          <w:sz w:val="28"/>
          <w:szCs w:val="28"/>
        </w:rPr>
        <w:t>.</w:t>
      </w:r>
    </w:p>
    <w:p w14:paraId="6D72176A"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p>
    <w:p w14:paraId="4CF92F66" w14:textId="77777777" w:rsidR="00B3403A" w:rsidRPr="0096104B" w:rsidRDefault="00B3403A" w:rsidP="00484F9B">
      <w:pPr>
        <w:pStyle w:val="Testonotaapidipagina"/>
        <w:spacing w:line="360" w:lineRule="auto"/>
        <w:ind w:left="680" w:right="340"/>
        <w:jc w:val="both"/>
        <w:rPr>
          <w:rFonts w:ascii="Times New Roman" w:hAnsi="Times New Roman" w:cs="Times New Roman"/>
          <w:color w:val="0D0D0D" w:themeColor="text1" w:themeTint="F2"/>
          <w:sz w:val="28"/>
          <w:szCs w:val="28"/>
        </w:rPr>
      </w:pPr>
      <w:r w:rsidRPr="0096104B">
        <w:rPr>
          <w:rFonts w:ascii="Times New Roman" w:hAnsi="Times New Roman" w:cs="Times New Roman"/>
          <w:i/>
          <w:color w:val="0D0D0D" w:themeColor="text1" w:themeTint="F2"/>
          <w:sz w:val="28"/>
          <w:szCs w:val="28"/>
        </w:rPr>
        <w:t>Le direzioni nazionali</w:t>
      </w:r>
      <w:r w:rsidRPr="0096104B">
        <w:rPr>
          <w:rFonts w:ascii="Times New Roman" w:hAnsi="Times New Roman" w:cs="Times New Roman"/>
          <w:color w:val="0D0D0D" w:themeColor="text1" w:themeTint="F2"/>
          <w:sz w:val="28"/>
          <w:szCs w:val="28"/>
        </w:rPr>
        <w:t xml:space="preserve"> in </w:t>
      </w:r>
      <w:hyperlink r:id="rId39" w:history="1">
        <w:r w:rsidRPr="0096104B">
          <w:rPr>
            <w:rStyle w:val="Collegamentoipertestuale"/>
            <w:rFonts w:ascii="Times New Roman" w:hAnsi="Times New Roman" w:cs="Times New Roman"/>
            <w:color w:val="0D0D0D" w:themeColor="text1" w:themeTint="F2"/>
            <w:sz w:val="28"/>
            <w:szCs w:val="28"/>
          </w:rPr>
          <w:t>https://www.ppoomm.va/it/chi-siamo/chi-sono-le-direzioni-nazionali.html</w:t>
        </w:r>
      </w:hyperlink>
      <w:r>
        <w:rPr>
          <w:rFonts w:ascii="Times New Roman" w:hAnsi="Times New Roman" w:cs="Times New Roman"/>
          <w:color w:val="0D0D0D" w:themeColor="text1" w:themeTint="F2"/>
          <w:sz w:val="28"/>
          <w:szCs w:val="28"/>
        </w:rPr>
        <w:t>.</w:t>
      </w:r>
    </w:p>
    <w:p w14:paraId="0E9C397E" w14:textId="77777777" w:rsidR="00B3403A" w:rsidRPr="0096104B" w:rsidRDefault="00B3403A" w:rsidP="00484F9B">
      <w:pPr>
        <w:pStyle w:val="Testonotaapidipagina"/>
        <w:spacing w:line="360" w:lineRule="auto"/>
        <w:ind w:left="680" w:right="340"/>
        <w:jc w:val="both"/>
        <w:rPr>
          <w:rFonts w:ascii="Times New Roman" w:hAnsi="Times New Roman" w:cs="Times New Roman"/>
          <w:sz w:val="28"/>
          <w:szCs w:val="28"/>
        </w:rPr>
      </w:pPr>
      <w:r w:rsidRPr="0096104B">
        <w:rPr>
          <w:rFonts w:ascii="Times New Roman" w:hAnsi="Times New Roman" w:cs="Times New Roman"/>
          <w:i/>
          <w:sz w:val="28"/>
          <w:szCs w:val="28"/>
        </w:rPr>
        <w:lastRenderedPageBreak/>
        <w:t>Metropolita</w:t>
      </w:r>
      <w:r w:rsidRPr="0096104B">
        <w:rPr>
          <w:rFonts w:ascii="Times New Roman" w:hAnsi="Times New Roman" w:cs="Times New Roman"/>
          <w:sz w:val="28"/>
          <w:szCs w:val="28"/>
        </w:rPr>
        <w:t xml:space="preserve"> in </w:t>
      </w:r>
      <w:r w:rsidRPr="0096104B">
        <w:rPr>
          <w:rFonts w:ascii="Times New Roman" w:hAnsi="Times New Roman" w:cs="Times New Roman"/>
          <w:i/>
          <w:sz w:val="28"/>
          <w:szCs w:val="28"/>
        </w:rPr>
        <w:t>Enciclopedia Treccani</w:t>
      </w:r>
    </w:p>
    <w:p w14:paraId="1A565DA9"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u w:val="single"/>
        </w:rPr>
      </w:pPr>
      <w:hyperlink r:id="rId40" w:history="1">
        <w:r w:rsidR="00B3403A" w:rsidRPr="00581ACD">
          <w:rPr>
            <w:rStyle w:val="Collegamentoipertestuale"/>
            <w:rFonts w:ascii="Times New Roman" w:hAnsi="Times New Roman" w:cs="Times New Roman"/>
            <w:color w:val="000000" w:themeColor="text1"/>
            <w:sz w:val="28"/>
            <w:szCs w:val="28"/>
          </w:rPr>
          <w:t>https://www.treccani.it/enciclopedia/metropolita/</w:t>
        </w:r>
      </w:hyperlink>
      <w:r w:rsidR="00B3403A" w:rsidRPr="00581ACD">
        <w:rPr>
          <w:rFonts w:ascii="Times New Roman" w:hAnsi="Times New Roman" w:cs="Times New Roman"/>
          <w:color w:val="000000" w:themeColor="text1"/>
          <w:sz w:val="28"/>
          <w:szCs w:val="28"/>
        </w:rPr>
        <w:t>.</w:t>
      </w:r>
    </w:p>
    <w:p w14:paraId="7E53C96C" w14:textId="77777777" w:rsidR="00B3403A" w:rsidRPr="00581ACD" w:rsidRDefault="00B3403A" w:rsidP="00484F9B">
      <w:pPr>
        <w:pStyle w:val="Testonotaapidipagina"/>
        <w:spacing w:line="360" w:lineRule="auto"/>
        <w:ind w:left="680" w:right="340"/>
        <w:jc w:val="both"/>
        <w:rPr>
          <w:rFonts w:ascii="Times New Roman" w:hAnsi="Times New Roman" w:cs="Times New Roman"/>
          <w:color w:val="000000" w:themeColor="text1"/>
          <w:sz w:val="28"/>
          <w:szCs w:val="28"/>
        </w:rPr>
      </w:pPr>
      <w:r w:rsidRPr="00581ACD">
        <w:rPr>
          <w:rFonts w:ascii="Times New Roman" w:hAnsi="Times New Roman" w:cs="Times New Roman"/>
          <w:i/>
          <w:color w:val="000000" w:themeColor="text1"/>
          <w:sz w:val="28"/>
          <w:szCs w:val="28"/>
        </w:rPr>
        <w:t>Missionari d’Africa</w:t>
      </w:r>
      <w:r w:rsidRPr="00581ACD">
        <w:rPr>
          <w:rFonts w:ascii="Times New Roman" w:hAnsi="Times New Roman" w:cs="Times New Roman"/>
          <w:color w:val="000000" w:themeColor="text1"/>
          <w:sz w:val="28"/>
          <w:szCs w:val="28"/>
        </w:rPr>
        <w:t xml:space="preserve"> in</w:t>
      </w:r>
      <w:hyperlink r:id="rId41" w:history="1">
        <w:r w:rsidRPr="00581ACD">
          <w:rPr>
            <w:rStyle w:val="Collegamentoipertestuale"/>
            <w:rFonts w:ascii="Times New Roman" w:hAnsi="Times New Roman" w:cs="Times New Roman"/>
            <w:color w:val="000000" w:themeColor="text1"/>
            <w:sz w:val="28"/>
            <w:szCs w:val="28"/>
          </w:rPr>
          <w:t>https://www.missionaridafrica.org/chi-siamo/</w:t>
        </w:r>
      </w:hyperlink>
      <w:r w:rsidRPr="00581ACD">
        <w:rPr>
          <w:rFonts w:ascii="Times New Roman" w:hAnsi="Times New Roman" w:cs="Times New Roman"/>
          <w:color w:val="000000" w:themeColor="text1"/>
          <w:sz w:val="28"/>
          <w:szCs w:val="28"/>
        </w:rPr>
        <w:t>.</w:t>
      </w:r>
    </w:p>
    <w:p w14:paraId="6F633ACE"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rPr>
      </w:pPr>
      <w:hyperlink r:id="rId42" w:history="1">
        <w:r w:rsidR="00B3403A" w:rsidRPr="00581ACD">
          <w:rPr>
            <w:rStyle w:val="Collegamentoipertestuale"/>
            <w:rFonts w:ascii="Times New Roman" w:hAnsi="Times New Roman" w:cs="Times New Roman"/>
            <w:color w:val="000000" w:themeColor="text1"/>
            <w:sz w:val="28"/>
            <w:szCs w:val="28"/>
          </w:rPr>
          <w:t>https://www.missionarieclaverian.org/fondatrice</w:t>
        </w:r>
      </w:hyperlink>
      <w:r w:rsidR="00B3403A" w:rsidRPr="00581ACD">
        <w:rPr>
          <w:rFonts w:ascii="Times New Roman" w:hAnsi="Times New Roman" w:cs="Times New Roman"/>
          <w:color w:val="000000" w:themeColor="text1"/>
          <w:sz w:val="28"/>
          <w:szCs w:val="28"/>
        </w:rPr>
        <w:t>.</w:t>
      </w:r>
    </w:p>
    <w:p w14:paraId="4CD3D35E" w14:textId="77777777" w:rsidR="00B3403A" w:rsidRPr="00581ACD" w:rsidRDefault="00B3403A" w:rsidP="00484F9B">
      <w:pPr>
        <w:pStyle w:val="Testonotaapidipagina"/>
        <w:spacing w:line="360" w:lineRule="auto"/>
        <w:ind w:left="680" w:right="340"/>
        <w:jc w:val="both"/>
        <w:rPr>
          <w:rFonts w:ascii="Times New Roman" w:hAnsi="Times New Roman" w:cs="Times New Roman"/>
          <w:color w:val="000000" w:themeColor="text1"/>
          <w:sz w:val="28"/>
          <w:szCs w:val="28"/>
        </w:rPr>
      </w:pPr>
      <w:r w:rsidRPr="00581ACD">
        <w:rPr>
          <w:rFonts w:ascii="Times New Roman" w:hAnsi="Times New Roman" w:cs="Times New Roman"/>
          <w:i/>
          <w:color w:val="000000" w:themeColor="text1"/>
          <w:sz w:val="28"/>
          <w:szCs w:val="28"/>
        </w:rPr>
        <w:t>Missionari comboniani</w:t>
      </w:r>
      <w:r w:rsidRPr="00581ACD">
        <w:rPr>
          <w:rFonts w:ascii="Times New Roman" w:hAnsi="Times New Roman" w:cs="Times New Roman"/>
          <w:color w:val="000000" w:themeColor="text1"/>
          <w:sz w:val="28"/>
          <w:szCs w:val="28"/>
        </w:rPr>
        <w:t xml:space="preserve"> in </w:t>
      </w:r>
      <w:hyperlink r:id="rId43" w:history="1">
        <w:r w:rsidRPr="00581ACD">
          <w:rPr>
            <w:rStyle w:val="Collegamentoipertestuale"/>
            <w:rFonts w:ascii="Times New Roman" w:hAnsi="Times New Roman" w:cs="Times New Roman"/>
            <w:color w:val="000000" w:themeColor="text1"/>
            <w:sz w:val="28"/>
            <w:szCs w:val="28"/>
          </w:rPr>
          <w:t>https://www.comboni.org/</w:t>
        </w:r>
      </w:hyperlink>
      <w:r w:rsidRPr="00581ACD">
        <w:rPr>
          <w:rFonts w:ascii="Times New Roman" w:hAnsi="Times New Roman" w:cs="Times New Roman"/>
          <w:color w:val="000000" w:themeColor="text1"/>
          <w:sz w:val="28"/>
          <w:szCs w:val="28"/>
        </w:rPr>
        <w:t>.</w:t>
      </w:r>
    </w:p>
    <w:p w14:paraId="75609197" w14:textId="77777777" w:rsidR="00B3403A" w:rsidRPr="00581ACD" w:rsidRDefault="00B3403A" w:rsidP="00484F9B">
      <w:pPr>
        <w:pStyle w:val="Testonotaapidipagina"/>
        <w:spacing w:line="360" w:lineRule="auto"/>
        <w:ind w:left="680" w:right="340"/>
        <w:jc w:val="both"/>
        <w:rPr>
          <w:rFonts w:ascii="Times New Roman" w:hAnsi="Times New Roman" w:cs="Times New Roman"/>
          <w:color w:val="000000" w:themeColor="text1"/>
          <w:sz w:val="28"/>
          <w:szCs w:val="28"/>
        </w:rPr>
      </w:pPr>
      <w:r w:rsidRPr="00581ACD">
        <w:rPr>
          <w:rFonts w:ascii="Times New Roman" w:hAnsi="Times New Roman" w:cs="Times New Roman"/>
          <w:color w:val="000000" w:themeColor="text1"/>
          <w:sz w:val="28"/>
          <w:szCs w:val="28"/>
        </w:rPr>
        <w:t xml:space="preserve">C. Pastena, </w:t>
      </w:r>
      <w:r w:rsidRPr="00581ACD">
        <w:rPr>
          <w:rFonts w:ascii="Times New Roman" w:hAnsi="Times New Roman" w:cs="Times New Roman"/>
          <w:i/>
          <w:color w:val="000000" w:themeColor="text1"/>
          <w:sz w:val="28"/>
          <w:szCs w:val="28"/>
        </w:rPr>
        <w:t>I missionari gesuiti in Cina nel XVII-XVIII secolo e il confucianesimo</w:t>
      </w:r>
      <w:r w:rsidRPr="00581ACD">
        <w:rPr>
          <w:rFonts w:ascii="Times New Roman" w:hAnsi="Times New Roman" w:cs="Times New Roman"/>
          <w:color w:val="000000" w:themeColor="text1"/>
          <w:sz w:val="28"/>
          <w:szCs w:val="28"/>
        </w:rPr>
        <w:t xml:space="preserve">, in </w:t>
      </w:r>
      <w:r w:rsidRPr="00581ACD">
        <w:rPr>
          <w:rFonts w:ascii="Times New Roman" w:hAnsi="Times New Roman" w:cs="Times New Roman"/>
          <w:i/>
          <w:color w:val="000000" w:themeColor="text1"/>
          <w:sz w:val="28"/>
          <w:szCs w:val="28"/>
        </w:rPr>
        <w:t>L’identità di Clio</w:t>
      </w:r>
      <w:r w:rsidRPr="00581ACD">
        <w:rPr>
          <w:rFonts w:ascii="Times New Roman" w:hAnsi="Times New Roman" w:cs="Times New Roman"/>
          <w:color w:val="000000" w:themeColor="text1"/>
          <w:sz w:val="28"/>
          <w:szCs w:val="28"/>
        </w:rPr>
        <w:t>, 22 marzo 2019</w:t>
      </w:r>
    </w:p>
    <w:p w14:paraId="14BE42E5"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u w:val="single"/>
        </w:rPr>
      </w:pPr>
      <w:hyperlink r:id="rId44" w:history="1">
        <w:r w:rsidR="00B3403A" w:rsidRPr="00581ACD">
          <w:rPr>
            <w:rStyle w:val="Collegamentoipertestuale"/>
            <w:rFonts w:ascii="Times New Roman" w:hAnsi="Times New Roman" w:cs="Times New Roman"/>
            <w:color w:val="000000" w:themeColor="text1"/>
            <w:sz w:val="28"/>
            <w:szCs w:val="28"/>
          </w:rPr>
          <w:t>https://www.lidentitadiclio.com/i-missionari-gesuiti-in-cina-nel-xvii-xviii-secolo-e-il-confucianesimo/</w:t>
        </w:r>
      </w:hyperlink>
      <w:r w:rsidR="00B3403A" w:rsidRPr="00581ACD">
        <w:rPr>
          <w:rFonts w:ascii="Times New Roman" w:hAnsi="Times New Roman" w:cs="Times New Roman"/>
          <w:color w:val="000000" w:themeColor="text1"/>
          <w:sz w:val="28"/>
          <w:szCs w:val="28"/>
        </w:rPr>
        <w:t>.</w:t>
      </w:r>
    </w:p>
    <w:p w14:paraId="62191A8A" w14:textId="77777777" w:rsidR="00B3403A" w:rsidRPr="00581ACD" w:rsidRDefault="00B3403A" w:rsidP="00484F9B">
      <w:pPr>
        <w:pStyle w:val="Testonotaapidipagina"/>
        <w:spacing w:line="360" w:lineRule="auto"/>
        <w:ind w:left="680" w:right="340"/>
        <w:jc w:val="both"/>
        <w:rPr>
          <w:rFonts w:ascii="Times New Roman" w:hAnsi="Times New Roman" w:cs="Times New Roman"/>
          <w:color w:val="000000" w:themeColor="text1"/>
          <w:sz w:val="28"/>
          <w:szCs w:val="28"/>
        </w:rPr>
      </w:pPr>
      <w:r w:rsidRPr="00581ACD">
        <w:rPr>
          <w:rFonts w:ascii="Times New Roman" w:hAnsi="Times New Roman" w:cs="Times New Roman"/>
          <w:color w:val="000000" w:themeColor="text1"/>
          <w:sz w:val="28"/>
          <w:szCs w:val="28"/>
        </w:rPr>
        <w:t xml:space="preserve">G.Pizzorusso, </w:t>
      </w:r>
      <w:r w:rsidRPr="00581ACD">
        <w:rPr>
          <w:rFonts w:ascii="Times New Roman" w:hAnsi="Times New Roman" w:cs="Times New Roman"/>
          <w:i/>
          <w:color w:val="000000" w:themeColor="text1"/>
          <w:sz w:val="28"/>
          <w:szCs w:val="28"/>
        </w:rPr>
        <w:t>Valignano</w:t>
      </w:r>
      <w:r w:rsidRPr="00581ACD">
        <w:rPr>
          <w:rFonts w:ascii="Times New Roman" w:hAnsi="Times New Roman" w:cs="Times New Roman"/>
          <w:color w:val="000000" w:themeColor="text1"/>
          <w:sz w:val="28"/>
          <w:szCs w:val="28"/>
        </w:rPr>
        <w:t xml:space="preserve">, in </w:t>
      </w:r>
      <w:r w:rsidRPr="00581ACD">
        <w:rPr>
          <w:rFonts w:ascii="Times New Roman" w:hAnsi="Times New Roman" w:cs="Times New Roman"/>
          <w:i/>
          <w:color w:val="000000" w:themeColor="text1"/>
          <w:sz w:val="28"/>
          <w:szCs w:val="28"/>
        </w:rPr>
        <w:t>Dizionario biografico degli italiani</w:t>
      </w:r>
      <w:r w:rsidRPr="00581ACD">
        <w:rPr>
          <w:rFonts w:ascii="Times New Roman" w:hAnsi="Times New Roman" w:cs="Times New Roman"/>
          <w:color w:val="000000" w:themeColor="text1"/>
          <w:sz w:val="28"/>
          <w:szCs w:val="28"/>
        </w:rPr>
        <w:t>, vol. 98, 2020</w:t>
      </w:r>
    </w:p>
    <w:p w14:paraId="781C07AE"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u w:val="single"/>
        </w:rPr>
      </w:pPr>
      <w:hyperlink r:id="rId45" w:history="1">
        <w:r w:rsidR="00B3403A" w:rsidRPr="00581ACD">
          <w:rPr>
            <w:rStyle w:val="Collegamentoipertestuale"/>
            <w:rFonts w:ascii="Times New Roman" w:hAnsi="Times New Roman" w:cs="Times New Roman"/>
            <w:color w:val="000000" w:themeColor="text1"/>
            <w:sz w:val="28"/>
            <w:szCs w:val="28"/>
          </w:rPr>
          <w:t>https://www.treccani.it/enciclopedia/alessandro-valignano_%28Dizionario-Biografico%29/</w:t>
        </w:r>
      </w:hyperlink>
      <w:r w:rsidR="00B3403A" w:rsidRPr="00581ACD">
        <w:rPr>
          <w:rFonts w:ascii="Times New Roman" w:hAnsi="Times New Roman" w:cs="Times New Roman"/>
          <w:color w:val="000000" w:themeColor="text1"/>
          <w:sz w:val="28"/>
          <w:szCs w:val="28"/>
          <w:u w:val="single"/>
        </w:rPr>
        <w:t>.</w:t>
      </w:r>
    </w:p>
    <w:p w14:paraId="665F9F76" w14:textId="77777777" w:rsidR="00B3403A" w:rsidRPr="00AB0513" w:rsidRDefault="00B3403A" w:rsidP="00484F9B">
      <w:pPr>
        <w:pStyle w:val="Testonotaapidipagina"/>
        <w:spacing w:line="360" w:lineRule="auto"/>
        <w:ind w:left="680" w:right="340"/>
        <w:jc w:val="both"/>
        <w:rPr>
          <w:rFonts w:ascii="Times New Roman" w:hAnsi="Times New Roman" w:cs="Times New Roman"/>
          <w:sz w:val="28"/>
          <w:szCs w:val="28"/>
          <w:u w:val="single"/>
        </w:rPr>
      </w:pPr>
      <w:r>
        <w:rPr>
          <w:rFonts w:ascii="Times New Roman" w:hAnsi="Times New Roman" w:cs="Times New Roman"/>
          <w:i/>
          <w:color w:val="0D0D0D" w:themeColor="text1" w:themeTint="F2"/>
          <w:sz w:val="28"/>
          <w:szCs w:val="28"/>
        </w:rPr>
        <w:t xml:space="preserve">Pontificio </w:t>
      </w:r>
      <w:r w:rsidRPr="0096104B">
        <w:rPr>
          <w:rFonts w:ascii="Times New Roman" w:hAnsi="Times New Roman" w:cs="Times New Roman"/>
          <w:i/>
          <w:color w:val="0D0D0D" w:themeColor="text1" w:themeTint="F2"/>
          <w:sz w:val="28"/>
          <w:szCs w:val="28"/>
        </w:rPr>
        <w:t>collegio urbano</w:t>
      </w:r>
      <w:r w:rsidRPr="0096104B">
        <w:rPr>
          <w:rFonts w:ascii="Times New Roman" w:hAnsi="Times New Roman" w:cs="Times New Roman"/>
          <w:color w:val="0D0D0D" w:themeColor="text1" w:themeTint="F2"/>
          <w:sz w:val="28"/>
          <w:szCs w:val="28"/>
        </w:rPr>
        <w:t xml:space="preserve"> in </w:t>
      </w:r>
      <w:hyperlink r:id="rId46" w:history="1">
        <w:r w:rsidRPr="0096104B">
          <w:rPr>
            <w:rStyle w:val="Collegamentoipertestuale"/>
            <w:rFonts w:ascii="Times New Roman" w:hAnsi="Times New Roman" w:cs="Times New Roman"/>
            <w:color w:val="0D0D0D" w:themeColor="text1" w:themeTint="F2"/>
            <w:sz w:val="28"/>
            <w:szCs w:val="28"/>
          </w:rPr>
          <w:t>http://www.archiviostoricopropaganda.va/content/archiviostoricopropagandafide/it/la-congregazione/collegio-urbano.html</w:t>
        </w:r>
      </w:hyperlink>
      <w:r w:rsidRPr="0096104B">
        <w:rPr>
          <w:rFonts w:ascii="Times New Roman" w:hAnsi="Times New Roman" w:cs="Times New Roman"/>
          <w:color w:val="0D0D0D" w:themeColor="text1" w:themeTint="F2"/>
          <w:sz w:val="28"/>
          <w:szCs w:val="28"/>
        </w:rPr>
        <w:t>.</w:t>
      </w:r>
    </w:p>
    <w:p w14:paraId="7D755871" w14:textId="77777777" w:rsidR="00B3403A" w:rsidRPr="0096104B" w:rsidRDefault="00B3403A" w:rsidP="00484F9B">
      <w:pPr>
        <w:spacing w:after="0" w:line="360" w:lineRule="auto"/>
        <w:ind w:left="680" w:right="340"/>
        <w:jc w:val="both"/>
        <w:rPr>
          <w:rFonts w:ascii="Times New Roman" w:hAnsi="Times New Roman" w:cs="Times New Roman"/>
          <w:color w:val="000000" w:themeColor="text1"/>
          <w:sz w:val="28"/>
          <w:szCs w:val="28"/>
        </w:rPr>
      </w:pPr>
      <w:r w:rsidRPr="0096104B">
        <w:rPr>
          <w:rFonts w:ascii="Times New Roman" w:hAnsi="Times New Roman" w:cs="Times New Roman"/>
          <w:i/>
          <w:color w:val="000000" w:themeColor="text1"/>
          <w:sz w:val="28"/>
          <w:szCs w:val="28"/>
        </w:rPr>
        <w:t>Pontificio collegio pio romeno</w:t>
      </w:r>
      <w:r w:rsidRPr="0096104B">
        <w:rPr>
          <w:rFonts w:ascii="Times New Roman" w:hAnsi="Times New Roman" w:cs="Times New Roman"/>
          <w:color w:val="000000" w:themeColor="text1"/>
          <w:sz w:val="28"/>
          <w:szCs w:val="28"/>
        </w:rPr>
        <w:t xml:space="preserve"> in </w:t>
      </w:r>
      <w:hyperlink r:id="rId47" w:history="1">
        <w:r w:rsidRPr="0096104B">
          <w:rPr>
            <w:rStyle w:val="Collegamentoipertestuale"/>
            <w:rFonts w:ascii="Times New Roman" w:hAnsi="Times New Roman" w:cs="Times New Roman"/>
            <w:color w:val="000000" w:themeColor="text1"/>
            <w:sz w:val="28"/>
            <w:szCs w:val="28"/>
          </w:rPr>
          <w:t>http://pioromeno.com/</w:t>
        </w:r>
      </w:hyperlink>
      <w:r w:rsidRPr="0096104B">
        <w:rPr>
          <w:rFonts w:ascii="Times New Roman" w:hAnsi="Times New Roman" w:cs="Times New Roman"/>
          <w:color w:val="000000" w:themeColor="text1"/>
          <w:sz w:val="28"/>
          <w:szCs w:val="28"/>
        </w:rPr>
        <w:t>.</w:t>
      </w:r>
    </w:p>
    <w:p w14:paraId="19CEDA71" w14:textId="77777777" w:rsidR="00B3403A" w:rsidRPr="00581ACD" w:rsidRDefault="00B3403A" w:rsidP="00484F9B">
      <w:pPr>
        <w:pStyle w:val="Testonotaapidipagina"/>
        <w:spacing w:line="360" w:lineRule="auto"/>
        <w:ind w:left="680" w:right="340"/>
        <w:jc w:val="both"/>
        <w:rPr>
          <w:rStyle w:val="Collegamentoipertestuale"/>
          <w:rFonts w:ascii="Times New Roman" w:hAnsi="Times New Roman" w:cs="Times New Roman"/>
          <w:color w:val="000000" w:themeColor="text1"/>
          <w:sz w:val="28"/>
          <w:szCs w:val="28"/>
        </w:rPr>
      </w:pPr>
      <w:r w:rsidRPr="00581ACD">
        <w:rPr>
          <w:rFonts w:ascii="Times New Roman" w:hAnsi="Times New Roman" w:cs="Times New Roman"/>
          <w:i/>
          <w:color w:val="000000" w:themeColor="text1"/>
          <w:sz w:val="28"/>
          <w:szCs w:val="28"/>
        </w:rPr>
        <w:t>Pontificia Unione missionaria</w:t>
      </w:r>
      <w:r w:rsidRPr="00581ACD">
        <w:rPr>
          <w:rFonts w:ascii="Times New Roman" w:hAnsi="Times New Roman" w:cs="Times New Roman"/>
          <w:color w:val="000000" w:themeColor="text1"/>
          <w:sz w:val="28"/>
          <w:szCs w:val="28"/>
        </w:rPr>
        <w:t xml:space="preserve"> in </w:t>
      </w:r>
      <w:hyperlink r:id="rId48" w:history="1">
        <w:r w:rsidRPr="00581ACD">
          <w:rPr>
            <w:rStyle w:val="Collegamentoipertestuale"/>
            <w:rFonts w:ascii="Times New Roman" w:hAnsi="Times New Roman" w:cs="Times New Roman"/>
            <w:color w:val="000000" w:themeColor="text1"/>
            <w:sz w:val="28"/>
            <w:szCs w:val="28"/>
          </w:rPr>
          <w:t>https://www.ppoomm.va/it/chi-siamo/le-4-opere-missionarie/pum.html</w:t>
        </w:r>
      </w:hyperlink>
      <w:r w:rsidRPr="00581ACD">
        <w:rPr>
          <w:rFonts w:ascii="Times New Roman" w:hAnsi="Times New Roman" w:cs="Times New Roman"/>
          <w:color w:val="000000" w:themeColor="text1"/>
          <w:sz w:val="28"/>
          <w:szCs w:val="28"/>
        </w:rPr>
        <w:t>.</w:t>
      </w:r>
    </w:p>
    <w:p w14:paraId="2F9EF067" w14:textId="77777777" w:rsidR="00B3403A" w:rsidRPr="00581ACD" w:rsidRDefault="00B3403A" w:rsidP="00484F9B">
      <w:pPr>
        <w:pStyle w:val="Testonotaapidipagina"/>
        <w:spacing w:line="360" w:lineRule="auto"/>
        <w:ind w:left="680" w:right="340"/>
        <w:jc w:val="both"/>
        <w:rPr>
          <w:rFonts w:ascii="Times New Roman" w:hAnsi="Times New Roman" w:cs="Times New Roman"/>
          <w:color w:val="000000" w:themeColor="text1"/>
          <w:sz w:val="28"/>
          <w:szCs w:val="28"/>
        </w:rPr>
      </w:pPr>
      <w:r w:rsidRPr="00581ACD">
        <w:rPr>
          <w:rFonts w:ascii="Times New Roman" w:hAnsi="Times New Roman" w:cs="Times New Roman"/>
          <w:i/>
          <w:color w:val="000000" w:themeColor="text1"/>
          <w:sz w:val="28"/>
          <w:szCs w:val="28"/>
        </w:rPr>
        <w:t>Pontificio collegio urbano</w:t>
      </w:r>
      <w:r w:rsidRPr="00581ACD">
        <w:rPr>
          <w:rFonts w:ascii="Times New Roman" w:hAnsi="Times New Roman" w:cs="Times New Roman"/>
          <w:color w:val="000000" w:themeColor="text1"/>
          <w:sz w:val="28"/>
          <w:szCs w:val="28"/>
        </w:rPr>
        <w:t xml:space="preserve"> in </w:t>
      </w:r>
      <w:hyperlink r:id="rId49" w:history="1">
        <w:r w:rsidRPr="00581ACD">
          <w:rPr>
            <w:rStyle w:val="Collegamentoipertestuale"/>
            <w:rFonts w:ascii="Times New Roman" w:hAnsi="Times New Roman" w:cs="Times New Roman"/>
            <w:color w:val="000000" w:themeColor="text1"/>
            <w:sz w:val="28"/>
            <w:szCs w:val="28"/>
          </w:rPr>
          <w:t>http://www.archiviostoricopropaganda.va/content/archiviostoricopropagandafide/it/la-congregazione/collegio-urbano.html</w:t>
        </w:r>
      </w:hyperlink>
      <w:r w:rsidRPr="00581ACD">
        <w:rPr>
          <w:rFonts w:ascii="Times New Roman" w:hAnsi="Times New Roman" w:cs="Times New Roman"/>
          <w:color w:val="000000" w:themeColor="text1"/>
          <w:sz w:val="28"/>
          <w:szCs w:val="28"/>
        </w:rPr>
        <w:t>.</w:t>
      </w:r>
    </w:p>
    <w:p w14:paraId="7F79609A" w14:textId="77777777" w:rsidR="00B3403A" w:rsidRPr="00581ACD" w:rsidRDefault="00B3403A" w:rsidP="00484F9B">
      <w:pPr>
        <w:pStyle w:val="Testonotaapidipagina"/>
        <w:spacing w:line="360" w:lineRule="auto"/>
        <w:ind w:left="680" w:right="340"/>
        <w:jc w:val="both"/>
        <w:rPr>
          <w:rFonts w:ascii="Times New Roman" w:hAnsi="Times New Roman" w:cs="Times New Roman"/>
          <w:i/>
          <w:color w:val="000000" w:themeColor="text1"/>
          <w:sz w:val="28"/>
          <w:szCs w:val="28"/>
        </w:rPr>
      </w:pPr>
      <w:r w:rsidRPr="00581ACD">
        <w:rPr>
          <w:rFonts w:ascii="Times New Roman" w:hAnsi="Times New Roman" w:cs="Times New Roman"/>
          <w:i/>
          <w:color w:val="000000" w:themeColor="text1"/>
          <w:sz w:val="28"/>
          <w:szCs w:val="28"/>
        </w:rPr>
        <w:t>Potestà di governo</w:t>
      </w:r>
      <w:r w:rsidRPr="00581ACD">
        <w:rPr>
          <w:rFonts w:ascii="Times New Roman" w:hAnsi="Times New Roman" w:cs="Times New Roman"/>
          <w:color w:val="000000" w:themeColor="text1"/>
          <w:sz w:val="28"/>
          <w:szCs w:val="28"/>
        </w:rPr>
        <w:t xml:space="preserve">, in </w:t>
      </w:r>
      <w:r w:rsidRPr="00581ACD">
        <w:rPr>
          <w:rFonts w:ascii="Times New Roman" w:hAnsi="Times New Roman" w:cs="Times New Roman"/>
          <w:i/>
          <w:color w:val="000000" w:themeColor="text1"/>
          <w:sz w:val="28"/>
          <w:szCs w:val="28"/>
        </w:rPr>
        <w:t>Dizionari Simone</w:t>
      </w:r>
    </w:p>
    <w:p w14:paraId="6E7BF532"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rPr>
      </w:pPr>
      <w:hyperlink r:id="rId50" w:anchor=":~:text=La%20potest%C3%A0%20ordinaria%20a%20sua,e%20del%20suo%20vicario%20generale" w:history="1">
        <w:r w:rsidR="00B3403A" w:rsidRPr="00581ACD">
          <w:rPr>
            <w:rStyle w:val="Collegamentoipertestuale"/>
            <w:rFonts w:ascii="Times New Roman" w:hAnsi="Times New Roman" w:cs="Times New Roman"/>
            <w:color w:val="000000" w:themeColor="text1"/>
            <w:sz w:val="28"/>
            <w:szCs w:val="28"/>
          </w:rPr>
          <w:t>https://dizionari.simone.it/9/potesta-di-governo#:~:text=La%20potest%C3%A0%20ordinaria%20a%20sua,e%20del%20suo%20vicario%20generale</w:t>
        </w:r>
      </w:hyperlink>
      <w:r w:rsidR="00581ACD">
        <w:rPr>
          <w:rFonts w:ascii="Times New Roman" w:hAnsi="Times New Roman" w:cs="Times New Roman"/>
          <w:color w:val="000000" w:themeColor="text1"/>
          <w:sz w:val="28"/>
          <w:szCs w:val="28"/>
        </w:rPr>
        <w:t>.</w:t>
      </w:r>
    </w:p>
    <w:p w14:paraId="247A65BE" w14:textId="77777777" w:rsidR="00B3403A" w:rsidRPr="00581ACD" w:rsidRDefault="00B3403A" w:rsidP="00484F9B">
      <w:pPr>
        <w:pStyle w:val="Testonotaapidipagina"/>
        <w:spacing w:line="360" w:lineRule="auto"/>
        <w:ind w:left="680" w:right="340"/>
        <w:jc w:val="both"/>
        <w:rPr>
          <w:rFonts w:ascii="Times New Roman" w:hAnsi="Times New Roman" w:cs="Times New Roman"/>
          <w:color w:val="000000" w:themeColor="text1"/>
          <w:sz w:val="28"/>
          <w:szCs w:val="28"/>
        </w:rPr>
      </w:pPr>
      <w:r w:rsidRPr="00581ACD">
        <w:rPr>
          <w:rFonts w:ascii="Times New Roman" w:hAnsi="Times New Roman" w:cs="Times New Roman"/>
          <w:i/>
          <w:color w:val="000000" w:themeColor="text1"/>
          <w:sz w:val="28"/>
          <w:szCs w:val="28"/>
        </w:rPr>
        <w:t>Vescovi diocesani</w:t>
      </w:r>
      <w:r w:rsidRPr="00581ACD">
        <w:rPr>
          <w:rFonts w:ascii="Times New Roman" w:hAnsi="Times New Roman" w:cs="Times New Roman"/>
          <w:color w:val="000000" w:themeColor="text1"/>
          <w:sz w:val="28"/>
          <w:szCs w:val="28"/>
        </w:rPr>
        <w:t xml:space="preserve"> in </w:t>
      </w:r>
      <w:r w:rsidRPr="00581ACD">
        <w:rPr>
          <w:rFonts w:ascii="Times New Roman" w:hAnsi="Times New Roman" w:cs="Times New Roman"/>
          <w:i/>
          <w:color w:val="000000" w:themeColor="text1"/>
          <w:sz w:val="28"/>
          <w:szCs w:val="28"/>
        </w:rPr>
        <w:t>Edizione Simone</w:t>
      </w:r>
    </w:p>
    <w:p w14:paraId="069DF721"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rPr>
      </w:pPr>
      <w:hyperlink r:id="rId51" w:history="1">
        <w:r w:rsidR="00B3403A" w:rsidRPr="00581ACD">
          <w:rPr>
            <w:rStyle w:val="Collegamentoipertestuale"/>
            <w:rFonts w:ascii="Times New Roman" w:hAnsi="Times New Roman" w:cs="Times New Roman"/>
            <w:color w:val="000000" w:themeColor="text1"/>
            <w:sz w:val="28"/>
            <w:szCs w:val="28"/>
          </w:rPr>
          <w:t>https://dizionari.simone.it/9/vescovi-diocesani</w:t>
        </w:r>
      </w:hyperlink>
      <w:r w:rsidR="00B3403A" w:rsidRPr="00581ACD">
        <w:rPr>
          <w:rFonts w:ascii="Times New Roman" w:hAnsi="Times New Roman" w:cs="Times New Roman"/>
          <w:color w:val="000000" w:themeColor="text1"/>
          <w:sz w:val="28"/>
          <w:szCs w:val="28"/>
        </w:rPr>
        <w:t>.</w:t>
      </w:r>
    </w:p>
    <w:p w14:paraId="751E5CF1"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rPr>
      </w:pPr>
      <w:hyperlink r:id="rId52" w:history="1">
        <w:r w:rsidR="00B3403A" w:rsidRPr="00581ACD">
          <w:rPr>
            <w:rStyle w:val="Collegamentoipertestuale"/>
            <w:rFonts w:ascii="Times New Roman" w:hAnsi="Times New Roman" w:cs="Times New Roman"/>
            <w:color w:val="000000" w:themeColor="text1"/>
            <w:sz w:val="28"/>
            <w:szCs w:val="28"/>
          </w:rPr>
          <w:t>https://www.ppoomm.va/it/chi-siamo/le-4-opere-missionarie/pum.html</w:t>
        </w:r>
      </w:hyperlink>
      <w:r w:rsidR="00B3403A" w:rsidRPr="00581ACD">
        <w:rPr>
          <w:rFonts w:ascii="Times New Roman" w:hAnsi="Times New Roman" w:cs="Times New Roman"/>
          <w:color w:val="000000" w:themeColor="text1"/>
          <w:sz w:val="28"/>
          <w:szCs w:val="28"/>
        </w:rPr>
        <w:t>.</w:t>
      </w:r>
    </w:p>
    <w:p w14:paraId="28E06CFB" w14:textId="77777777" w:rsidR="00B3403A" w:rsidRPr="00581ACD" w:rsidRDefault="0024328D" w:rsidP="00484F9B">
      <w:pPr>
        <w:pStyle w:val="Testonotaapidipagina"/>
        <w:spacing w:line="360" w:lineRule="auto"/>
        <w:ind w:left="680" w:right="340"/>
        <w:jc w:val="both"/>
        <w:rPr>
          <w:rFonts w:ascii="Times New Roman" w:hAnsi="Times New Roman" w:cs="Times New Roman"/>
          <w:i/>
          <w:color w:val="000000" w:themeColor="text1"/>
          <w:sz w:val="28"/>
          <w:szCs w:val="28"/>
        </w:rPr>
      </w:pPr>
      <w:hyperlink r:id="rId53" w:history="1">
        <w:r w:rsidR="00B3403A" w:rsidRPr="00581ACD">
          <w:rPr>
            <w:rStyle w:val="Collegamentoipertestuale"/>
            <w:rFonts w:ascii="Times New Roman" w:hAnsi="Times New Roman" w:cs="Times New Roman"/>
            <w:i/>
            <w:color w:val="000000" w:themeColor="text1"/>
            <w:sz w:val="28"/>
            <w:szCs w:val="28"/>
          </w:rPr>
          <w:t>http://www.villaschiari.it/insegnamenti/02_12.pdf</w:t>
        </w:r>
      </w:hyperlink>
      <w:r w:rsidR="00B3403A" w:rsidRPr="00581ACD">
        <w:rPr>
          <w:rFonts w:ascii="Times New Roman" w:hAnsi="Times New Roman" w:cs="Times New Roman"/>
          <w:i/>
          <w:color w:val="000000" w:themeColor="text1"/>
          <w:sz w:val="28"/>
          <w:szCs w:val="28"/>
        </w:rPr>
        <w:t>.</w:t>
      </w:r>
    </w:p>
    <w:p w14:paraId="44C1B485" w14:textId="77777777" w:rsidR="00B3403A" w:rsidRPr="00581ACD" w:rsidRDefault="0024328D" w:rsidP="00484F9B">
      <w:pPr>
        <w:pStyle w:val="Testonotaapidipagina"/>
        <w:spacing w:line="360" w:lineRule="auto"/>
        <w:ind w:left="680" w:right="340"/>
        <w:jc w:val="both"/>
        <w:rPr>
          <w:rFonts w:ascii="Times New Roman" w:hAnsi="Times New Roman" w:cs="Times New Roman"/>
          <w:color w:val="000000" w:themeColor="text1"/>
          <w:sz w:val="28"/>
          <w:szCs w:val="28"/>
        </w:rPr>
      </w:pPr>
      <w:hyperlink r:id="rId54" w:history="1">
        <w:r w:rsidR="00B3403A" w:rsidRPr="00581ACD">
          <w:rPr>
            <w:rStyle w:val="Collegamentoipertestuale"/>
            <w:rFonts w:ascii="Times New Roman" w:hAnsi="Times New Roman" w:cs="Times New Roman"/>
            <w:color w:val="000000" w:themeColor="text1"/>
            <w:sz w:val="28"/>
            <w:szCs w:val="28"/>
          </w:rPr>
          <w:t>https://web.archive.org/web/20111025081844/http://www.catholicpng.org.pg/history/rabaul.html</w:t>
        </w:r>
      </w:hyperlink>
    </w:p>
    <w:p w14:paraId="56373C44" w14:textId="77777777" w:rsidR="00B3403A" w:rsidRPr="00581ACD" w:rsidRDefault="00B3403A" w:rsidP="00484F9B">
      <w:pPr>
        <w:spacing w:after="0" w:line="360" w:lineRule="auto"/>
        <w:ind w:left="680" w:right="340"/>
        <w:jc w:val="both"/>
        <w:rPr>
          <w:rFonts w:ascii="Times New Roman" w:hAnsi="Times New Roman" w:cs="Times New Roman"/>
          <w:color w:val="000000" w:themeColor="text1"/>
          <w:sz w:val="28"/>
          <w:szCs w:val="28"/>
        </w:rPr>
      </w:pPr>
    </w:p>
    <w:p w14:paraId="200FD066" w14:textId="6A21C6BC" w:rsidR="00B3403A" w:rsidRDefault="00B3403A" w:rsidP="00484F9B">
      <w:pPr>
        <w:spacing w:after="0" w:line="360" w:lineRule="auto"/>
        <w:ind w:left="680" w:right="340"/>
        <w:jc w:val="both"/>
        <w:rPr>
          <w:rFonts w:ascii="Times New Roman" w:hAnsi="Times New Roman" w:cs="Times New Roman"/>
          <w:sz w:val="28"/>
          <w:szCs w:val="28"/>
        </w:rPr>
      </w:pPr>
    </w:p>
    <w:p w14:paraId="2CD20E10" w14:textId="289D44DD" w:rsidR="007C6CCB" w:rsidRDefault="007C6CCB" w:rsidP="00484F9B">
      <w:pPr>
        <w:spacing w:after="0" w:line="360" w:lineRule="auto"/>
        <w:ind w:left="680" w:right="340"/>
        <w:jc w:val="both"/>
        <w:rPr>
          <w:rFonts w:ascii="Times New Roman" w:hAnsi="Times New Roman" w:cs="Times New Roman"/>
          <w:sz w:val="28"/>
          <w:szCs w:val="28"/>
        </w:rPr>
      </w:pPr>
    </w:p>
    <w:p w14:paraId="3467A8AE" w14:textId="3234AA19" w:rsidR="007C6CCB" w:rsidRDefault="007C6CCB" w:rsidP="00484F9B">
      <w:pPr>
        <w:spacing w:after="0" w:line="360" w:lineRule="auto"/>
        <w:ind w:left="680" w:right="340"/>
        <w:jc w:val="both"/>
        <w:rPr>
          <w:rFonts w:ascii="Times New Roman" w:hAnsi="Times New Roman" w:cs="Times New Roman"/>
          <w:sz w:val="28"/>
          <w:szCs w:val="28"/>
        </w:rPr>
      </w:pPr>
    </w:p>
    <w:p w14:paraId="296E5D2C" w14:textId="1BBDA10E" w:rsidR="007C6CCB" w:rsidRDefault="007C6CCB" w:rsidP="00484F9B">
      <w:pPr>
        <w:spacing w:after="0" w:line="360" w:lineRule="auto"/>
        <w:ind w:left="680" w:right="340"/>
        <w:jc w:val="both"/>
        <w:rPr>
          <w:rFonts w:ascii="Times New Roman" w:hAnsi="Times New Roman" w:cs="Times New Roman"/>
          <w:sz w:val="28"/>
          <w:szCs w:val="28"/>
        </w:rPr>
      </w:pPr>
    </w:p>
    <w:p w14:paraId="54D84A63" w14:textId="64C0C2C4" w:rsidR="007C6CCB" w:rsidRDefault="007C6CCB" w:rsidP="00484F9B">
      <w:pPr>
        <w:spacing w:after="0" w:line="360" w:lineRule="auto"/>
        <w:ind w:left="680" w:right="340"/>
        <w:jc w:val="both"/>
        <w:rPr>
          <w:rFonts w:ascii="Times New Roman" w:hAnsi="Times New Roman" w:cs="Times New Roman"/>
          <w:sz w:val="28"/>
          <w:szCs w:val="28"/>
        </w:rPr>
      </w:pPr>
    </w:p>
    <w:p w14:paraId="51FCC95F" w14:textId="2B567E5D" w:rsidR="007C6CCB" w:rsidRDefault="007C6CCB" w:rsidP="00484F9B">
      <w:pPr>
        <w:spacing w:after="0" w:line="360" w:lineRule="auto"/>
        <w:ind w:left="680" w:right="340"/>
        <w:jc w:val="both"/>
        <w:rPr>
          <w:rFonts w:ascii="Times New Roman" w:hAnsi="Times New Roman" w:cs="Times New Roman"/>
          <w:sz w:val="28"/>
          <w:szCs w:val="28"/>
        </w:rPr>
      </w:pPr>
    </w:p>
    <w:p w14:paraId="303A812A" w14:textId="7031C596" w:rsidR="007C6CCB" w:rsidRDefault="007C6CCB" w:rsidP="00484F9B">
      <w:pPr>
        <w:spacing w:after="0" w:line="360" w:lineRule="auto"/>
        <w:ind w:left="680" w:right="340"/>
        <w:jc w:val="both"/>
        <w:rPr>
          <w:rFonts w:ascii="Times New Roman" w:hAnsi="Times New Roman" w:cs="Times New Roman"/>
          <w:sz w:val="28"/>
          <w:szCs w:val="28"/>
        </w:rPr>
      </w:pPr>
    </w:p>
    <w:p w14:paraId="4075FF1B" w14:textId="169E5E0C" w:rsidR="007C6CCB" w:rsidRDefault="007C6CCB" w:rsidP="00484F9B">
      <w:pPr>
        <w:spacing w:after="0" w:line="360" w:lineRule="auto"/>
        <w:ind w:left="680" w:right="340"/>
        <w:jc w:val="both"/>
        <w:rPr>
          <w:rFonts w:ascii="Times New Roman" w:hAnsi="Times New Roman" w:cs="Times New Roman"/>
          <w:sz w:val="28"/>
          <w:szCs w:val="28"/>
        </w:rPr>
      </w:pPr>
    </w:p>
    <w:p w14:paraId="548AADED" w14:textId="3D4CA86E" w:rsidR="007C6CCB" w:rsidRDefault="007C6CCB" w:rsidP="00484F9B">
      <w:pPr>
        <w:spacing w:after="0" w:line="360" w:lineRule="auto"/>
        <w:ind w:left="680" w:right="340"/>
        <w:jc w:val="both"/>
        <w:rPr>
          <w:rFonts w:ascii="Times New Roman" w:hAnsi="Times New Roman" w:cs="Times New Roman"/>
          <w:sz w:val="28"/>
          <w:szCs w:val="28"/>
        </w:rPr>
      </w:pPr>
    </w:p>
    <w:p w14:paraId="40E660CC" w14:textId="2170D9CD" w:rsidR="007C6CCB" w:rsidRDefault="007C6CCB" w:rsidP="00484F9B">
      <w:pPr>
        <w:spacing w:after="0" w:line="360" w:lineRule="auto"/>
        <w:ind w:left="680" w:right="340"/>
        <w:jc w:val="both"/>
        <w:rPr>
          <w:rFonts w:ascii="Times New Roman" w:hAnsi="Times New Roman" w:cs="Times New Roman"/>
          <w:sz w:val="28"/>
          <w:szCs w:val="28"/>
        </w:rPr>
      </w:pPr>
    </w:p>
    <w:p w14:paraId="01605628" w14:textId="1DF4C087" w:rsidR="007C6CCB" w:rsidRDefault="007C6CCB" w:rsidP="00484F9B">
      <w:pPr>
        <w:spacing w:after="0" w:line="360" w:lineRule="auto"/>
        <w:ind w:left="680" w:right="340"/>
        <w:jc w:val="both"/>
        <w:rPr>
          <w:rFonts w:ascii="Times New Roman" w:hAnsi="Times New Roman" w:cs="Times New Roman"/>
          <w:sz w:val="28"/>
          <w:szCs w:val="28"/>
        </w:rPr>
      </w:pPr>
    </w:p>
    <w:p w14:paraId="518AB3B0" w14:textId="3C892B04" w:rsidR="007C6CCB" w:rsidRDefault="007C6CCB" w:rsidP="00484F9B">
      <w:pPr>
        <w:spacing w:after="0" w:line="360" w:lineRule="auto"/>
        <w:ind w:left="680" w:right="340"/>
        <w:jc w:val="both"/>
        <w:rPr>
          <w:rFonts w:ascii="Times New Roman" w:hAnsi="Times New Roman" w:cs="Times New Roman"/>
          <w:sz w:val="28"/>
          <w:szCs w:val="28"/>
        </w:rPr>
      </w:pPr>
    </w:p>
    <w:p w14:paraId="75441E6D" w14:textId="2AF850D7" w:rsidR="007C6CCB" w:rsidRDefault="007C6CCB" w:rsidP="00484F9B">
      <w:pPr>
        <w:spacing w:after="0" w:line="360" w:lineRule="auto"/>
        <w:ind w:left="680" w:right="340"/>
        <w:jc w:val="both"/>
        <w:rPr>
          <w:rFonts w:ascii="Times New Roman" w:hAnsi="Times New Roman" w:cs="Times New Roman"/>
          <w:sz w:val="28"/>
          <w:szCs w:val="28"/>
        </w:rPr>
      </w:pPr>
    </w:p>
    <w:p w14:paraId="1342179C" w14:textId="79673926" w:rsidR="007C6CCB" w:rsidRDefault="007C6CCB" w:rsidP="00484F9B">
      <w:pPr>
        <w:spacing w:after="0" w:line="360" w:lineRule="auto"/>
        <w:ind w:left="680" w:right="340"/>
        <w:jc w:val="both"/>
        <w:rPr>
          <w:rFonts w:ascii="Times New Roman" w:hAnsi="Times New Roman" w:cs="Times New Roman"/>
          <w:sz w:val="28"/>
          <w:szCs w:val="28"/>
        </w:rPr>
      </w:pPr>
    </w:p>
    <w:p w14:paraId="0808679C" w14:textId="014A0318" w:rsidR="007C6CCB" w:rsidRDefault="007C6CCB" w:rsidP="00484F9B">
      <w:pPr>
        <w:spacing w:after="0" w:line="360" w:lineRule="auto"/>
        <w:ind w:left="680" w:right="340"/>
        <w:jc w:val="both"/>
        <w:rPr>
          <w:rFonts w:ascii="Times New Roman" w:hAnsi="Times New Roman" w:cs="Times New Roman"/>
          <w:sz w:val="28"/>
          <w:szCs w:val="28"/>
        </w:rPr>
      </w:pPr>
    </w:p>
    <w:p w14:paraId="0F655EC7" w14:textId="60565086" w:rsidR="007C6CCB" w:rsidRDefault="007C6CCB" w:rsidP="00484F9B">
      <w:pPr>
        <w:spacing w:after="0" w:line="360" w:lineRule="auto"/>
        <w:ind w:left="680" w:right="340"/>
        <w:jc w:val="both"/>
        <w:rPr>
          <w:rFonts w:ascii="Times New Roman" w:hAnsi="Times New Roman" w:cs="Times New Roman"/>
          <w:sz w:val="28"/>
          <w:szCs w:val="28"/>
        </w:rPr>
      </w:pPr>
    </w:p>
    <w:p w14:paraId="6A5C076F" w14:textId="4B62E903" w:rsidR="007C6CCB" w:rsidRDefault="007C6CCB" w:rsidP="00484F9B">
      <w:pPr>
        <w:spacing w:after="0" w:line="360" w:lineRule="auto"/>
        <w:ind w:left="680" w:right="340"/>
        <w:jc w:val="both"/>
        <w:rPr>
          <w:rFonts w:ascii="Times New Roman" w:hAnsi="Times New Roman" w:cs="Times New Roman"/>
          <w:sz w:val="28"/>
          <w:szCs w:val="28"/>
        </w:rPr>
      </w:pPr>
    </w:p>
    <w:p w14:paraId="2C91ED0F" w14:textId="33234E2D" w:rsidR="007C6CCB" w:rsidRDefault="007C6CCB" w:rsidP="00484F9B">
      <w:pPr>
        <w:spacing w:after="0" w:line="360" w:lineRule="auto"/>
        <w:ind w:left="680" w:right="340"/>
        <w:jc w:val="both"/>
        <w:rPr>
          <w:rFonts w:ascii="Times New Roman" w:hAnsi="Times New Roman" w:cs="Times New Roman"/>
          <w:sz w:val="28"/>
          <w:szCs w:val="28"/>
        </w:rPr>
      </w:pPr>
    </w:p>
    <w:p w14:paraId="6C7AEC50" w14:textId="550FF7C0" w:rsidR="007C6CCB" w:rsidRDefault="007C6CCB" w:rsidP="00484F9B">
      <w:pPr>
        <w:spacing w:after="0" w:line="360" w:lineRule="auto"/>
        <w:ind w:left="680" w:right="340"/>
        <w:jc w:val="both"/>
        <w:rPr>
          <w:rFonts w:ascii="Times New Roman" w:hAnsi="Times New Roman" w:cs="Times New Roman"/>
          <w:sz w:val="28"/>
          <w:szCs w:val="28"/>
        </w:rPr>
      </w:pPr>
    </w:p>
    <w:p w14:paraId="60A07257" w14:textId="59565FA0" w:rsidR="007C6CCB" w:rsidRDefault="007C6CCB" w:rsidP="00484F9B">
      <w:pPr>
        <w:spacing w:after="0" w:line="360" w:lineRule="auto"/>
        <w:ind w:left="680" w:right="340"/>
        <w:jc w:val="both"/>
        <w:rPr>
          <w:rFonts w:ascii="Times New Roman" w:hAnsi="Times New Roman" w:cs="Times New Roman"/>
          <w:sz w:val="28"/>
          <w:szCs w:val="28"/>
        </w:rPr>
      </w:pPr>
    </w:p>
    <w:p w14:paraId="619F650C" w14:textId="1E808BF3" w:rsidR="007C6CCB" w:rsidRDefault="007C6CCB" w:rsidP="00484F9B">
      <w:pPr>
        <w:spacing w:after="0" w:line="360" w:lineRule="auto"/>
        <w:ind w:left="680" w:right="340"/>
        <w:jc w:val="both"/>
        <w:rPr>
          <w:rFonts w:ascii="Times New Roman" w:hAnsi="Times New Roman" w:cs="Times New Roman"/>
          <w:sz w:val="28"/>
          <w:szCs w:val="28"/>
        </w:rPr>
      </w:pPr>
    </w:p>
    <w:p w14:paraId="4485AB4A" w14:textId="64F4B9D2" w:rsidR="007C6CCB" w:rsidRDefault="007C6CCB" w:rsidP="00484F9B">
      <w:pPr>
        <w:spacing w:after="0" w:line="360" w:lineRule="auto"/>
        <w:ind w:left="680" w:right="340"/>
        <w:jc w:val="both"/>
        <w:rPr>
          <w:rFonts w:ascii="Times New Roman" w:hAnsi="Times New Roman" w:cs="Times New Roman"/>
          <w:sz w:val="28"/>
          <w:szCs w:val="28"/>
        </w:rPr>
      </w:pPr>
    </w:p>
    <w:p w14:paraId="1B898F00" w14:textId="77777777" w:rsidR="007C6CCB" w:rsidRPr="0096104B" w:rsidRDefault="007C6CCB" w:rsidP="00484F9B">
      <w:pPr>
        <w:spacing w:after="0" w:line="360" w:lineRule="auto"/>
        <w:ind w:left="680" w:right="340"/>
        <w:jc w:val="both"/>
        <w:rPr>
          <w:rFonts w:ascii="Times New Roman" w:hAnsi="Times New Roman" w:cs="Times New Roman"/>
          <w:sz w:val="28"/>
          <w:szCs w:val="28"/>
        </w:rPr>
      </w:pPr>
    </w:p>
    <w:p w14:paraId="19BAAEC6"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29CFB3FA"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p>
    <w:p w14:paraId="203853B1" w14:textId="77777777" w:rsidR="00581ACD" w:rsidRDefault="00581ACD" w:rsidP="007C6CCB">
      <w:pPr>
        <w:spacing w:after="0" w:line="360" w:lineRule="auto"/>
        <w:ind w:left="680" w:right="340"/>
        <w:jc w:val="center"/>
        <w:rPr>
          <w:rFonts w:ascii="Times New Roman" w:hAnsi="Times New Roman" w:cs="Times New Roman"/>
          <w:sz w:val="28"/>
          <w:szCs w:val="28"/>
        </w:rPr>
      </w:pPr>
      <w:r>
        <w:rPr>
          <w:rFonts w:ascii="Times New Roman" w:hAnsi="Times New Roman" w:cs="Times New Roman"/>
          <w:sz w:val="28"/>
          <w:szCs w:val="28"/>
        </w:rPr>
        <w:lastRenderedPageBreak/>
        <w:t>APPENDICE</w:t>
      </w:r>
    </w:p>
    <w:p w14:paraId="2BEF66EC" w14:textId="77777777" w:rsidR="00581ACD" w:rsidRDefault="00581ACD" w:rsidP="00484F9B">
      <w:pPr>
        <w:spacing w:after="0" w:line="360" w:lineRule="auto"/>
        <w:ind w:left="680" w:right="340"/>
        <w:jc w:val="both"/>
        <w:rPr>
          <w:rFonts w:ascii="Times New Roman" w:hAnsi="Times New Roman" w:cs="Times New Roman"/>
          <w:sz w:val="28"/>
          <w:szCs w:val="28"/>
        </w:rPr>
      </w:pPr>
    </w:p>
    <w:p w14:paraId="1A4C395D" w14:textId="77777777" w:rsidR="00581ACD" w:rsidRDefault="00581ACD" w:rsidP="00484F9B">
      <w:pPr>
        <w:keepNext/>
        <w:spacing w:after="0" w:line="360" w:lineRule="auto"/>
        <w:ind w:left="680" w:right="340"/>
        <w:jc w:val="both"/>
      </w:pPr>
      <w:r w:rsidRPr="006B6CE2">
        <w:rPr>
          <w:rFonts w:ascii="Times New Roman" w:hAnsi="Times New Roman" w:cs="Times New Roman"/>
          <w:noProof/>
          <w:sz w:val="28"/>
          <w:szCs w:val="28"/>
          <w:lang w:eastAsia="it-IT"/>
        </w:rPr>
        <w:drawing>
          <wp:inline distT="0" distB="0" distL="0" distR="0" wp14:anchorId="553C877F" wp14:editId="0E26FE10">
            <wp:extent cx="4579951" cy="6480553"/>
            <wp:effectExtent l="0" t="0" r="0" b="0"/>
            <wp:docPr id="2" name="Immagine 2" descr="C:\Users\HP\Desktop\cartine\afric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artine\africa .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3856" cy="6500228"/>
                    </a:xfrm>
                    <a:prstGeom prst="rect">
                      <a:avLst/>
                    </a:prstGeom>
                    <a:noFill/>
                    <a:ln>
                      <a:noFill/>
                    </a:ln>
                  </pic:spPr>
                </pic:pic>
              </a:graphicData>
            </a:graphic>
          </wp:inline>
        </w:drawing>
      </w:r>
    </w:p>
    <w:p w14:paraId="79415F27" w14:textId="77777777" w:rsidR="00581ACD" w:rsidRPr="00436E2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436E2D">
        <w:rPr>
          <w:rFonts w:ascii="Times New Roman" w:hAnsi="Times New Roman" w:cs="Times New Roman"/>
          <w:i w:val="0"/>
          <w:color w:val="0D0D0D" w:themeColor="text1" w:themeTint="F2"/>
          <w:sz w:val="24"/>
          <w:szCs w:val="24"/>
        </w:rPr>
        <w:t xml:space="preserve">Figura </w:t>
      </w:r>
      <w:r w:rsidRPr="00436E2D">
        <w:rPr>
          <w:rFonts w:ascii="Times New Roman" w:hAnsi="Times New Roman" w:cs="Times New Roman"/>
          <w:i w:val="0"/>
          <w:color w:val="0D0D0D" w:themeColor="text1" w:themeTint="F2"/>
          <w:sz w:val="24"/>
          <w:szCs w:val="24"/>
        </w:rPr>
        <w:fldChar w:fldCharType="begin"/>
      </w:r>
      <w:r w:rsidRPr="00436E2D">
        <w:rPr>
          <w:rFonts w:ascii="Times New Roman" w:hAnsi="Times New Roman" w:cs="Times New Roman"/>
          <w:i w:val="0"/>
          <w:color w:val="0D0D0D" w:themeColor="text1" w:themeTint="F2"/>
          <w:sz w:val="24"/>
          <w:szCs w:val="24"/>
        </w:rPr>
        <w:instrText xml:space="preserve"> SEQ Figura \* ARABIC </w:instrText>
      </w:r>
      <w:r w:rsidRPr="00436E2D">
        <w:rPr>
          <w:rFonts w:ascii="Times New Roman" w:hAnsi="Times New Roman" w:cs="Times New Roman"/>
          <w:i w:val="0"/>
          <w:color w:val="0D0D0D" w:themeColor="text1" w:themeTint="F2"/>
          <w:sz w:val="24"/>
          <w:szCs w:val="24"/>
        </w:rPr>
        <w:fldChar w:fldCharType="separate"/>
      </w:r>
      <w:r>
        <w:rPr>
          <w:rFonts w:ascii="Times New Roman" w:hAnsi="Times New Roman" w:cs="Times New Roman"/>
          <w:i w:val="0"/>
          <w:noProof/>
          <w:color w:val="0D0D0D" w:themeColor="text1" w:themeTint="F2"/>
          <w:sz w:val="24"/>
          <w:szCs w:val="24"/>
        </w:rPr>
        <w:t>1</w:t>
      </w:r>
      <w:r w:rsidRPr="00436E2D">
        <w:rPr>
          <w:rFonts w:ascii="Times New Roman" w:hAnsi="Times New Roman" w:cs="Times New Roman"/>
          <w:i w:val="0"/>
          <w:color w:val="0D0D0D" w:themeColor="text1" w:themeTint="F2"/>
          <w:sz w:val="24"/>
          <w:szCs w:val="24"/>
        </w:rPr>
        <w:fldChar w:fldCharType="end"/>
      </w:r>
      <w:r>
        <w:rPr>
          <w:rFonts w:ascii="Times New Roman" w:hAnsi="Times New Roman" w:cs="Times New Roman"/>
          <w:i w:val="0"/>
          <w:color w:val="0D0D0D" w:themeColor="text1" w:themeTint="F2"/>
          <w:sz w:val="24"/>
          <w:szCs w:val="24"/>
        </w:rPr>
        <w:t xml:space="preserve"> si vede la concentrazione delle congregazioni missionarie in Africa, prima della Guerra mondiale (</w:t>
      </w:r>
      <w:r w:rsidRPr="00436E2D">
        <w:rPr>
          <w:rFonts w:ascii="Times New Roman" w:hAnsi="Times New Roman" w:cs="Times New Roman"/>
          <w:i w:val="0"/>
          <w:color w:val="0D0D0D" w:themeColor="text1" w:themeTint="F2"/>
          <w:sz w:val="24"/>
          <w:szCs w:val="24"/>
        </w:rPr>
        <w:t xml:space="preserve"> </w:t>
      </w:r>
      <w:r w:rsidRPr="00436E2D">
        <w:rPr>
          <w:rFonts w:ascii="Times New Roman" w:hAnsi="Times New Roman" w:cs="Times New Roman"/>
          <w:color w:val="0D0D0D" w:themeColor="text1" w:themeTint="F2"/>
          <w:sz w:val="24"/>
          <w:szCs w:val="24"/>
        </w:rPr>
        <w:t>Atlante universale della storia della chiesa</w:t>
      </w:r>
      <w:r w:rsidRPr="00436E2D">
        <w:rPr>
          <w:rFonts w:ascii="Times New Roman" w:hAnsi="Times New Roman" w:cs="Times New Roman"/>
          <w:i w:val="0"/>
          <w:color w:val="0D0D0D" w:themeColor="text1" w:themeTint="F2"/>
          <w:sz w:val="24"/>
          <w:szCs w:val="24"/>
        </w:rPr>
        <w:t>, a cura di J.Martin, 1991, p.98</w:t>
      </w:r>
      <w:r>
        <w:rPr>
          <w:rFonts w:ascii="Times New Roman" w:hAnsi="Times New Roman" w:cs="Times New Roman"/>
          <w:i w:val="0"/>
          <w:color w:val="0D0D0D" w:themeColor="text1" w:themeTint="F2"/>
          <w:sz w:val="24"/>
          <w:szCs w:val="24"/>
        </w:rPr>
        <w:t>)</w:t>
      </w:r>
      <w:r w:rsidRPr="00436E2D">
        <w:rPr>
          <w:rFonts w:ascii="Times New Roman" w:hAnsi="Times New Roman" w:cs="Times New Roman"/>
          <w:i w:val="0"/>
          <w:color w:val="0D0D0D" w:themeColor="text1" w:themeTint="F2"/>
          <w:sz w:val="24"/>
          <w:szCs w:val="24"/>
        </w:rPr>
        <w:t>.</w:t>
      </w:r>
    </w:p>
    <w:p w14:paraId="5BEC481D" w14:textId="77777777" w:rsidR="00581ACD" w:rsidRDefault="00581ACD" w:rsidP="00484F9B">
      <w:pPr>
        <w:spacing w:after="0" w:line="360" w:lineRule="auto"/>
        <w:ind w:left="680" w:right="340"/>
        <w:jc w:val="both"/>
        <w:rPr>
          <w:rFonts w:ascii="Times New Roman" w:hAnsi="Times New Roman" w:cs="Times New Roman"/>
          <w:sz w:val="28"/>
          <w:szCs w:val="28"/>
        </w:rPr>
      </w:pPr>
    </w:p>
    <w:p w14:paraId="12975E93" w14:textId="77777777" w:rsidR="00581ACD" w:rsidRDefault="00581ACD" w:rsidP="00484F9B">
      <w:pPr>
        <w:spacing w:after="0" w:line="360" w:lineRule="auto"/>
        <w:ind w:left="680" w:right="340"/>
        <w:jc w:val="both"/>
        <w:rPr>
          <w:rFonts w:ascii="Times New Roman" w:hAnsi="Times New Roman" w:cs="Times New Roman"/>
          <w:sz w:val="28"/>
          <w:szCs w:val="28"/>
        </w:rPr>
      </w:pPr>
    </w:p>
    <w:p w14:paraId="5413DF4E" w14:textId="77777777" w:rsidR="00581ACD" w:rsidRDefault="00581ACD" w:rsidP="00484F9B">
      <w:pPr>
        <w:spacing w:after="0" w:line="360" w:lineRule="auto"/>
        <w:ind w:left="680" w:right="340"/>
        <w:jc w:val="both"/>
        <w:rPr>
          <w:rFonts w:ascii="Times New Roman" w:hAnsi="Times New Roman" w:cs="Times New Roman"/>
          <w:sz w:val="28"/>
          <w:szCs w:val="28"/>
        </w:rPr>
      </w:pPr>
    </w:p>
    <w:p w14:paraId="196A8C21" w14:textId="77777777" w:rsidR="00581ACD" w:rsidRDefault="00581ACD" w:rsidP="00484F9B">
      <w:pPr>
        <w:spacing w:after="0" w:line="360" w:lineRule="auto"/>
        <w:ind w:left="680" w:right="340"/>
        <w:jc w:val="both"/>
        <w:rPr>
          <w:rFonts w:ascii="Times New Roman" w:hAnsi="Times New Roman" w:cs="Times New Roman"/>
          <w:sz w:val="28"/>
          <w:szCs w:val="28"/>
        </w:rPr>
      </w:pPr>
    </w:p>
    <w:p w14:paraId="278E8AD5" w14:textId="77777777" w:rsidR="00581ACD" w:rsidRDefault="00581ACD" w:rsidP="00484F9B">
      <w:pPr>
        <w:keepNext/>
        <w:spacing w:after="0" w:line="360" w:lineRule="auto"/>
        <w:ind w:left="680" w:right="340"/>
        <w:jc w:val="both"/>
      </w:pPr>
      <w:r w:rsidRPr="006B6CE2">
        <w:rPr>
          <w:rFonts w:ascii="Times New Roman" w:hAnsi="Times New Roman" w:cs="Times New Roman"/>
          <w:noProof/>
          <w:sz w:val="28"/>
          <w:szCs w:val="28"/>
          <w:lang w:eastAsia="it-IT"/>
        </w:rPr>
        <w:drawing>
          <wp:inline distT="0" distB="0" distL="0" distR="0" wp14:anchorId="0F8821A3" wp14:editId="747F1585">
            <wp:extent cx="5303348" cy="5072932"/>
            <wp:effectExtent l="0" t="0" r="0" b="0"/>
            <wp:docPr id="1" name="Immagine 1" descr="C:\Users\HP\Desktop\cartine\congo belga vol 4 p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rtine\congo belga vol 4 p 27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1884" cy="5081097"/>
                    </a:xfrm>
                    <a:prstGeom prst="rect">
                      <a:avLst/>
                    </a:prstGeom>
                    <a:noFill/>
                    <a:ln>
                      <a:noFill/>
                    </a:ln>
                  </pic:spPr>
                </pic:pic>
              </a:graphicData>
            </a:graphic>
          </wp:inline>
        </w:drawing>
      </w:r>
    </w:p>
    <w:p w14:paraId="2270D3BD"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6B6CE2">
        <w:rPr>
          <w:rFonts w:ascii="Times New Roman" w:hAnsi="Times New Roman" w:cs="Times New Roman"/>
          <w:i w:val="0"/>
          <w:color w:val="0D0D0D" w:themeColor="text1" w:themeTint="F2"/>
          <w:sz w:val="24"/>
          <w:szCs w:val="24"/>
        </w:rPr>
        <w:t>Figura 2</w:t>
      </w:r>
      <w:r>
        <w:rPr>
          <w:rFonts w:ascii="Times New Roman" w:hAnsi="Times New Roman" w:cs="Times New Roman"/>
          <w:i w:val="0"/>
          <w:color w:val="0D0D0D" w:themeColor="text1" w:themeTint="F2"/>
          <w:sz w:val="24"/>
          <w:szCs w:val="24"/>
        </w:rPr>
        <w:t xml:space="preserve"> si vedono i confini delle circoscrizioni ecclesiastiche nel Congo belga</w:t>
      </w:r>
      <w:r>
        <w:rPr>
          <w:rFonts w:ascii="Times New Roman" w:hAnsi="Times New Roman" w:cs="Times New Roman"/>
          <w:color w:val="0D0D0D" w:themeColor="text1" w:themeTint="F2"/>
          <w:sz w:val="24"/>
          <w:szCs w:val="24"/>
        </w:rPr>
        <w:t>, (</w:t>
      </w:r>
      <w:r w:rsidRPr="006B6CE2">
        <w:rPr>
          <w:rFonts w:ascii="Times New Roman" w:hAnsi="Times New Roman" w:cs="Times New Roman"/>
          <w:color w:val="0D0D0D" w:themeColor="text1" w:themeTint="F2"/>
          <w:sz w:val="24"/>
          <w:szCs w:val="24"/>
        </w:rPr>
        <w:t xml:space="preserve">Enciclopedia cattolica </w:t>
      </w:r>
      <w:r w:rsidRPr="006B6CE2">
        <w:rPr>
          <w:rFonts w:ascii="Times New Roman" w:hAnsi="Times New Roman" w:cs="Times New Roman"/>
          <w:i w:val="0"/>
          <w:color w:val="0D0D0D" w:themeColor="text1" w:themeTint="F2"/>
          <w:sz w:val="24"/>
          <w:szCs w:val="24"/>
        </w:rPr>
        <w:t xml:space="preserve">Vol.4, 1948, </w:t>
      </w:r>
      <w:r>
        <w:rPr>
          <w:rFonts w:ascii="Times New Roman" w:hAnsi="Times New Roman" w:cs="Times New Roman"/>
          <w:i w:val="0"/>
          <w:color w:val="0D0D0D" w:themeColor="text1" w:themeTint="F2"/>
          <w:sz w:val="24"/>
          <w:szCs w:val="24"/>
        </w:rPr>
        <w:t xml:space="preserve">Roma, </w:t>
      </w:r>
      <w:r w:rsidRPr="006B6CE2">
        <w:rPr>
          <w:rFonts w:ascii="Times New Roman" w:hAnsi="Times New Roman" w:cs="Times New Roman"/>
          <w:i w:val="0"/>
          <w:color w:val="0D0D0D" w:themeColor="text1" w:themeTint="F2"/>
          <w:sz w:val="24"/>
          <w:szCs w:val="24"/>
        </w:rPr>
        <w:t>p. 275</w:t>
      </w:r>
      <w:r>
        <w:rPr>
          <w:rFonts w:ascii="Times New Roman" w:hAnsi="Times New Roman" w:cs="Times New Roman"/>
          <w:i w:val="0"/>
          <w:color w:val="0D0D0D" w:themeColor="text1" w:themeTint="F2"/>
          <w:sz w:val="24"/>
          <w:szCs w:val="24"/>
        </w:rPr>
        <w:t>)</w:t>
      </w:r>
      <w:r w:rsidRPr="006B6CE2">
        <w:rPr>
          <w:rFonts w:ascii="Times New Roman" w:hAnsi="Times New Roman" w:cs="Times New Roman"/>
          <w:i w:val="0"/>
          <w:color w:val="0D0D0D" w:themeColor="text1" w:themeTint="F2"/>
          <w:sz w:val="24"/>
          <w:szCs w:val="24"/>
        </w:rPr>
        <w:t>.</w:t>
      </w:r>
    </w:p>
    <w:p w14:paraId="5D77C2A4" w14:textId="77777777" w:rsidR="00581ACD" w:rsidRDefault="00581ACD" w:rsidP="00484F9B">
      <w:pPr>
        <w:spacing w:after="0" w:line="360" w:lineRule="auto"/>
        <w:ind w:left="680" w:right="340"/>
        <w:jc w:val="both"/>
      </w:pPr>
    </w:p>
    <w:p w14:paraId="5672E445" w14:textId="77777777" w:rsidR="00581ACD" w:rsidRDefault="00581ACD" w:rsidP="00484F9B">
      <w:pPr>
        <w:keepNext/>
        <w:spacing w:after="0" w:line="360" w:lineRule="auto"/>
        <w:ind w:left="680" w:right="340"/>
        <w:jc w:val="both"/>
      </w:pPr>
      <w:r w:rsidRPr="00436E2D">
        <w:rPr>
          <w:noProof/>
          <w:lang w:eastAsia="it-IT"/>
        </w:rPr>
        <w:lastRenderedPageBreak/>
        <w:drawing>
          <wp:inline distT="0" distB="0" distL="0" distR="0" wp14:anchorId="40031595" wp14:editId="515FDA95">
            <wp:extent cx="6120130" cy="3916406"/>
            <wp:effectExtent l="0" t="0" r="0" b="8255"/>
            <wp:docPr id="5" name="Immagine 5" descr="C:\Users\HP\Desktop\cartine\nigeria, africa equatoriale franc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cartine\nigeria, africa equatoriale frances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916406"/>
                    </a:xfrm>
                    <a:prstGeom prst="rect">
                      <a:avLst/>
                    </a:prstGeom>
                    <a:noFill/>
                    <a:ln>
                      <a:noFill/>
                    </a:ln>
                  </pic:spPr>
                </pic:pic>
              </a:graphicData>
            </a:graphic>
          </wp:inline>
        </w:drawing>
      </w:r>
    </w:p>
    <w:p w14:paraId="10AC0AFA"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436E2D">
        <w:rPr>
          <w:rFonts w:ascii="Times New Roman" w:hAnsi="Times New Roman" w:cs="Times New Roman"/>
          <w:i w:val="0"/>
          <w:color w:val="0D0D0D" w:themeColor="text1" w:themeTint="F2"/>
          <w:sz w:val="24"/>
          <w:szCs w:val="24"/>
        </w:rPr>
        <w:t>Figura 3</w:t>
      </w:r>
      <w:r>
        <w:rPr>
          <w:rFonts w:ascii="Times New Roman" w:hAnsi="Times New Roman" w:cs="Times New Roman"/>
          <w:i w:val="0"/>
          <w:color w:val="0D0D0D" w:themeColor="text1" w:themeTint="F2"/>
          <w:sz w:val="24"/>
          <w:szCs w:val="24"/>
        </w:rPr>
        <w:t xml:space="preserve"> si vedono i confini delle circoscrizioni ecclesiastiche </w:t>
      </w:r>
      <w:r w:rsidRPr="00D3346C">
        <w:rPr>
          <w:rFonts w:ascii="Times New Roman" w:hAnsi="Times New Roman" w:cs="Times New Roman"/>
          <w:i w:val="0"/>
          <w:color w:val="0D0D0D" w:themeColor="text1" w:themeTint="F2"/>
          <w:sz w:val="24"/>
          <w:szCs w:val="24"/>
        </w:rPr>
        <w:t xml:space="preserve">(rappresentate dalla linea tratteggiata) </w:t>
      </w:r>
      <w:r>
        <w:rPr>
          <w:rFonts w:ascii="Times New Roman" w:hAnsi="Times New Roman" w:cs="Times New Roman"/>
          <w:i w:val="0"/>
          <w:color w:val="0D0D0D" w:themeColor="text1" w:themeTint="F2"/>
          <w:sz w:val="24"/>
          <w:szCs w:val="24"/>
        </w:rPr>
        <w:t>in Africa centrale e l’incidenza delle congregazioni missionarie (rappresentata dai pallini di colore più scuro).</w:t>
      </w:r>
    </w:p>
    <w:p w14:paraId="332DDF7B"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w:t>
      </w:r>
      <w:r w:rsidRPr="00436E2D">
        <w:rPr>
          <w:rFonts w:ascii="Times New Roman" w:hAnsi="Times New Roman" w:cs="Times New Roman"/>
          <w:color w:val="0D0D0D" w:themeColor="text1" w:themeTint="F2"/>
          <w:sz w:val="24"/>
          <w:szCs w:val="24"/>
        </w:rPr>
        <w:t>Atlante universale della storia della chiesa</w:t>
      </w:r>
      <w:r w:rsidRPr="00436E2D">
        <w:rPr>
          <w:rFonts w:ascii="Times New Roman" w:hAnsi="Times New Roman" w:cs="Times New Roman"/>
          <w:i w:val="0"/>
          <w:color w:val="0D0D0D" w:themeColor="text1" w:themeTint="F2"/>
          <w:sz w:val="24"/>
          <w:szCs w:val="24"/>
        </w:rPr>
        <w:t>, a cura di J.Martin, 1991, p.</w:t>
      </w:r>
      <w:r>
        <w:rPr>
          <w:rFonts w:ascii="Times New Roman" w:hAnsi="Times New Roman" w:cs="Times New Roman"/>
          <w:i w:val="0"/>
          <w:color w:val="0D0D0D" w:themeColor="text1" w:themeTint="F2"/>
          <w:sz w:val="24"/>
          <w:szCs w:val="24"/>
        </w:rPr>
        <w:t>145).</w:t>
      </w:r>
    </w:p>
    <w:p w14:paraId="01E3302E" w14:textId="77777777" w:rsidR="00581ACD" w:rsidRDefault="00581ACD" w:rsidP="00484F9B">
      <w:pPr>
        <w:keepNext/>
        <w:spacing w:after="0" w:line="360" w:lineRule="auto"/>
        <w:ind w:left="680" w:right="340"/>
        <w:jc w:val="both"/>
      </w:pPr>
      <w:r w:rsidRPr="002C7849">
        <w:rPr>
          <w:noProof/>
          <w:lang w:eastAsia="it-IT"/>
        </w:rPr>
        <w:lastRenderedPageBreak/>
        <w:drawing>
          <wp:inline distT="0" distB="0" distL="0" distR="0" wp14:anchorId="14C8DB5D" wp14:editId="789439AD">
            <wp:extent cx="3975735" cy="4429125"/>
            <wp:effectExtent l="0" t="0" r="5715" b="9525"/>
            <wp:docPr id="6" name="Immagine 6" descr="C:\Users\HP\Desktop\cartine\uganda. in atlante universale della storia della chiesa, p.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cartine\uganda. in atlante universale della storia della chiesa, p.14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5735" cy="4429125"/>
                    </a:xfrm>
                    <a:prstGeom prst="rect">
                      <a:avLst/>
                    </a:prstGeom>
                    <a:noFill/>
                    <a:ln>
                      <a:noFill/>
                    </a:ln>
                  </pic:spPr>
                </pic:pic>
              </a:graphicData>
            </a:graphic>
          </wp:inline>
        </w:drawing>
      </w:r>
    </w:p>
    <w:p w14:paraId="03BBF48F"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sidRPr="00D3346C">
        <w:rPr>
          <w:rFonts w:ascii="Times New Roman" w:hAnsi="Times New Roman" w:cs="Times New Roman"/>
          <w:i w:val="0"/>
          <w:color w:val="0D0D0D" w:themeColor="text1" w:themeTint="F2"/>
          <w:sz w:val="24"/>
          <w:szCs w:val="24"/>
        </w:rPr>
        <w:t>Nella Figura 4 si vedono i confini delle circoscrizioni (rappresentate dalla linea tratteggiata) dell’Africa orientale britannica e la concentrazione delle congregazioni missionarie (rappresentate dai pallini di colore più scuro)</w:t>
      </w:r>
      <w:r>
        <w:rPr>
          <w:rFonts w:ascii="Times New Roman" w:hAnsi="Times New Roman" w:cs="Times New Roman"/>
          <w:i w:val="0"/>
          <w:color w:val="0D0D0D" w:themeColor="text1" w:themeTint="F2"/>
          <w:sz w:val="24"/>
          <w:szCs w:val="24"/>
        </w:rPr>
        <w:t>.</w:t>
      </w:r>
    </w:p>
    <w:p w14:paraId="5CA1CCFE" w14:textId="77777777" w:rsidR="00581ACD" w:rsidRPr="00D3346C"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w:t>
      </w:r>
      <w:r w:rsidRPr="00D3346C">
        <w:rPr>
          <w:rFonts w:ascii="Times New Roman" w:hAnsi="Times New Roman" w:cs="Times New Roman"/>
          <w:color w:val="0D0D0D" w:themeColor="text1" w:themeTint="F2"/>
          <w:sz w:val="24"/>
          <w:szCs w:val="24"/>
        </w:rPr>
        <w:t>Atlante universale della storia della chiesa</w:t>
      </w:r>
      <w:r w:rsidRPr="00D3346C">
        <w:rPr>
          <w:rFonts w:ascii="Times New Roman" w:hAnsi="Times New Roman" w:cs="Times New Roman"/>
          <w:i w:val="0"/>
          <w:color w:val="0D0D0D" w:themeColor="text1" w:themeTint="F2"/>
          <w:sz w:val="24"/>
          <w:szCs w:val="24"/>
        </w:rPr>
        <w:t>, a cura di J.Martin, 1991, p.145</w:t>
      </w:r>
      <w:r>
        <w:rPr>
          <w:rFonts w:ascii="Times New Roman" w:hAnsi="Times New Roman" w:cs="Times New Roman"/>
          <w:i w:val="0"/>
          <w:color w:val="0D0D0D" w:themeColor="text1" w:themeTint="F2"/>
          <w:sz w:val="24"/>
          <w:szCs w:val="24"/>
        </w:rPr>
        <w:t>)</w:t>
      </w:r>
      <w:r w:rsidRPr="00D3346C">
        <w:rPr>
          <w:rFonts w:ascii="Times New Roman" w:hAnsi="Times New Roman" w:cs="Times New Roman"/>
          <w:i w:val="0"/>
          <w:color w:val="0D0D0D" w:themeColor="text1" w:themeTint="F2"/>
          <w:sz w:val="24"/>
          <w:szCs w:val="24"/>
        </w:rPr>
        <w:t>.</w:t>
      </w:r>
    </w:p>
    <w:p w14:paraId="46422233" w14:textId="77777777" w:rsidR="00581ACD" w:rsidRPr="00D3346C" w:rsidRDefault="00581ACD" w:rsidP="00484F9B">
      <w:pPr>
        <w:spacing w:after="0" w:line="360" w:lineRule="auto"/>
        <w:ind w:left="680" w:right="340"/>
        <w:jc w:val="both"/>
        <w:rPr>
          <w:sz w:val="24"/>
          <w:szCs w:val="24"/>
        </w:rPr>
      </w:pPr>
    </w:p>
    <w:p w14:paraId="7226EBB2" w14:textId="77777777" w:rsidR="00581ACD" w:rsidRDefault="00581ACD" w:rsidP="00484F9B">
      <w:pPr>
        <w:spacing w:after="0" w:line="360" w:lineRule="auto"/>
        <w:ind w:left="680" w:right="340"/>
        <w:jc w:val="both"/>
      </w:pPr>
    </w:p>
    <w:p w14:paraId="5A2CFE74" w14:textId="77777777" w:rsidR="00581ACD" w:rsidRDefault="00581ACD" w:rsidP="00484F9B">
      <w:pPr>
        <w:spacing w:after="0" w:line="360" w:lineRule="auto"/>
        <w:ind w:left="680" w:right="340"/>
        <w:jc w:val="both"/>
      </w:pPr>
    </w:p>
    <w:p w14:paraId="0B2A8C79" w14:textId="77777777" w:rsidR="00581ACD" w:rsidRPr="00436E2D" w:rsidRDefault="00581ACD" w:rsidP="00484F9B">
      <w:pPr>
        <w:spacing w:after="0" w:line="360" w:lineRule="auto"/>
        <w:ind w:left="680" w:right="340"/>
        <w:jc w:val="both"/>
      </w:pPr>
    </w:p>
    <w:p w14:paraId="7A5BB9BF" w14:textId="77777777" w:rsidR="00581ACD" w:rsidRDefault="00581ACD" w:rsidP="00484F9B">
      <w:pPr>
        <w:keepNext/>
        <w:spacing w:after="0" w:line="360" w:lineRule="auto"/>
        <w:ind w:left="680" w:right="340"/>
        <w:jc w:val="both"/>
      </w:pPr>
      <w:r w:rsidRPr="00436E2D">
        <w:rPr>
          <w:noProof/>
          <w:lang w:eastAsia="it-IT"/>
        </w:rPr>
        <w:lastRenderedPageBreak/>
        <w:drawing>
          <wp:inline distT="0" distB="0" distL="0" distR="0" wp14:anchorId="69E51DA2" wp14:editId="15AEC2B8">
            <wp:extent cx="5955665" cy="3633470"/>
            <wp:effectExtent l="0" t="0" r="6985" b="5080"/>
            <wp:docPr id="3" name="Immagine 3" descr="C:\Users\HP\Desktop\cartine\a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artine\asia.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5665" cy="3633470"/>
                    </a:xfrm>
                    <a:prstGeom prst="rect">
                      <a:avLst/>
                    </a:prstGeom>
                    <a:noFill/>
                    <a:ln>
                      <a:noFill/>
                    </a:ln>
                  </pic:spPr>
                </pic:pic>
              </a:graphicData>
            </a:graphic>
          </wp:inline>
        </w:drawing>
      </w:r>
    </w:p>
    <w:p w14:paraId="2BF1D2A4" w14:textId="77777777" w:rsidR="00581ACD" w:rsidRPr="00436E2D" w:rsidRDefault="00581ACD" w:rsidP="00484F9B">
      <w:pPr>
        <w:pStyle w:val="Didascalia"/>
        <w:spacing w:after="0" w:line="360" w:lineRule="auto"/>
        <w:ind w:left="680" w:right="340"/>
        <w:jc w:val="both"/>
        <w:rPr>
          <w:rFonts w:ascii="Times New Roman" w:hAnsi="Times New Roman" w:cs="Times New Roman"/>
          <w:sz w:val="24"/>
          <w:szCs w:val="24"/>
        </w:rPr>
      </w:pPr>
      <w:r>
        <w:rPr>
          <w:rFonts w:ascii="Times New Roman" w:hAnsi="Times New Roman" w:cs="Times New Roman"/>
          <w:i w:val="0"/>
          <w:color w:val="0D0D0D" w:themeColor="text1" w:themeTint="F2"/>
          <w:sz w:val="24"/>
          <w:szCs w:val="24"/>
        </w:rPr>
        <w:t xml:space="preserve">Nella </w:t>
      </w:r>
      <w:r w:rsidRPr="00436E2D">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5</w:t>
      </w:r>
      <w:r w:rsidRPr="00436E2D">
        <w:rPr>
          <w:rFonts w:ascii="Times New Roman" w:hAnsi="Times New Roman" w:cs="Times New Roman"/>
          <w:i w:val="0"/>
          <w:color w:val="0D0D0D" w:themeColor="text1" w:themeTint="F2"/>
          <w:sz w:val="24"/>
          <w:szCs w:val="24"/>
        </w:rPr>
        <w:t xml:space="preserve"> </w:t>
      </w:r>
      <w:r>
        <w:rPr>
          <w:rFonts w:ascii="Times New Roman" w:hAnsi="Times New Roman" w:cs="Times New Roman"/>
          <w:i w:val="0"/>
          <w:color w:val="0D0D0D" w:themeColor="text1" w:themeTint="F2"/>
          <w:sz w:val="24"/>
          <w:szCs w:val="24"/>
        </w:rPr>
        <w:t>si vede la concentrazione delle congregazioni missionarie in Asia, prima della prima Guerra mondiale,</w:t>
      </w:r>
      <w:r w:rsidRPr="00436E2D">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w:t>
      </w:r>
      <w:r w:rsidRPr="00436E2D">
        <w:rPr>
          <w:rFonts w:ascii="Times New Roman" w:hAnsi="Times New Roman" w:cs="Times New Roman"/>
          <w:color w:val="0D0D0D" w:themeColor="text1" w:themeTint="F2"/>
          <w:sz w:val="24"/>
          <w:szCs w:val="24"/>
        </w:rPr>
        <w:t>Atlante universale della storia della chiesa</w:t>
      </w:r>
      <w:r w:rsidRPr="00436E2D">
        <w:rPr>
          <w:rFonts w:ascii="Times New Roman" w:hAnsi="Times New Roman" w:cs="Times New Roman"/>
          <w:i w:val="0"/>
          <w:color w:val="0D0D0D" w:themeColor="text1" w:themeTint="F2"/>
          <w:sz w:val="24"/>
          <w:szCs w:val="24"/>
        </w:rPr>
        <w:t>, a cura di J.Martin, 1991, p.99</w:t>
      </w:r>
      <w:r>
        <w:rPr>
          <w:rFonts w:ascii="Times New Roman" w:hAnsi="Times New Roman" w:cs="Times New Roman"/>
          <w:i w:val="0"/>
          <w:color w:val="0D0D0D" w:themeColor="text1" w:themeTint="F2"/>
          <w:sz w:val="24"/>
          <w:szCs w:val="24"/>
        </w:rPr>
        <w:t>)</w:t>
      </w:r>
      <w:r w:rsidRPr="00436E2D">
        <w:rPr>
          <w:rFonts w:ascii="Times New Roman" w:hAnsi="Times New Roman" w:cs="Times New Roman"/>
          <w:i w:val="0"/>
          <w:color w:val="0D0D0D" w:themeColor="text1" w:themeTint="F2"/>
          <w:sz w:val="24"/>
          <w:szCs w:val="24"/>
        </w:rPr>
        <w:t>.</w:t>
      </w:r>
    </w:p>
    <w:p w14:paraId="772AB9F6" w14:textId="77777777" w:rsidR="00581ACD" w:rsidRDefault="00581ACD" w:rsidP="00484F9B">
      <w:pPr>
        <w:spacing w:after="0" w:line="360" w:lineRule="auto"/>
        <w:ind w:left="680" w:right="340"/>
        <w:jc w:val="both"/>
        <w:rPr>
          <w:rFonts w:ascii="Times New Roman" w:hAnsi="Times New Roman" w:cs="Times New Roman"/>
          <w:sz w:val="24"/>
          <w:szCs w:val="24"/>
        </w:rPr>
      </w:pPr>
    </w:p>
    <w:p w14:paraId="3D2D1125" w14:textId="77777777" w:rsidR="00581ACD" w:rsidRDefault="00581ACD" w:rsidP="00484F9B">
      <w:pPr>
        <w:keepNext/>
        <w:spacing w:after="0" w:line="360" w:lineRule="auto"/>
        <w:ind w:left="680" w:right="340"/>
        <w:jc w:val="both"/>
      </w:pPr>
      <w:r w:rsidRPr="00436E2D">
        <w:rPr>
          <w:rFonts w:ascii="Times New Roman" w:hAnsi="Times New Roman" w:cs="Times New Roman"/>
          <w:noProof/>
          <w:sz w:val="24"/>
          <w:szCs w:val="24"/>
          <w:lang w:eastAsia="it-IT"/>
        </w:rPr>
        <w:lastRenderedPageBreak/>
        <w:drawing>
          <wp:inline distT="0" distB="0" distL="0" distR="0" wp14:anchorId="422DD70A" wp14:editId="739F6795">
            <wp:extent cx="5478448" cy="6032449"/>
            <wp:effectExtent l="0" t="0" r="8255" b="6985"/>
            <wp:docPr id="4" name="Immagine 4" descr="C:\Users\HP\Desktop\cartine\india v.6 p.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artine\india v.6 p.180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8794" cy="6043841"/>
                    </a:xfrm>
                    <a:prstGeom prst="rect">
                      <a:avLst/>
                    </a:prstGeom>
                    <a:noFill/>
                    <a:ln>
                      <a:noFill/>
                    </a:ln>
                  </pic:spPr>
                </pic:pic>
              </a:graphicData>
            </a:graphic>
          </wp:inline>
        </w:drawing>
      </w:r>
    </w:p>
    <w:p w14:paraId="04F79F2C"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436E2D">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6 si vedono i confini delle circoscrizioni ecclesiastiche in India, (</w:t>
      </w:r>
      <w:r w:rsidRPr="00436E2D">
        <w:rPr>
          <w:rFonts w:ascii="Times New Roman" w:hAnsi="Times New Roman" w:cs="Times New Roman"/>
          <w:color w:val="0D0D0D" w:themeColor="text1" w:themeTint="F2"/>
          <w:sz w:val="24"/>
          <w:szCs w:val="24"/>
        </w:rPr>
        <w:t>Enciclopedia cattolica</w:t>
      </w:r>
      <w:r>
        <w:rPr>
          <w:rFonts w:ascii="Times New Roman" w:hAnsi="Times New Roman" w:cs="Times New Roman"/>
          <w:i w:val="0"/>
          <w:color w:val="0D0D0D" w:themeColor="text1" w:themeTint="F2"/>
          <w:sz w:val="24"/>
          <w:szCs w:val="24"/>
        </w:rPr>
        <w:t>, Vol.6, 1948, Roma, p. 1803).</w:t>
      </w:r>
    </w:p>
    <w:p w14:paraId="2AA20F96" w14:textId="77777777" w:rsidR="00581ACD" w:rsidRDefault="00581ACD" w:rsidP="00484F9B">
      <w:pPr>
        <w:spacing w:after="0" w:line="360" w:lineRule="auto"/>
        <w:ind w:left="680" w:right="340"/>
        <w:jc w:val="both"/>
      </w:pPr>
    </w:p>
    <w:p w14:paraId="263CB49A" w14:textId="77777777" w:rsidR="00581ACD" w:rsidRDefault="00581ACD" w:rsidP="00484F9B">
      <w:pPr>
        <w:keepNext/>
        <w:spacing w:after="0" w:line="360" w:lineRule="auto"/>
        <w:ind w:left="680" w:right="340"/>
        <w:jc w:val="both"/>
      </w:pPr>
      <w:r w:rsidRPr="002C7849">
        <w:rPr>
          <w:noProof/>
          <w:lang w:eastAsia="it-IT"/>
        </w:rPr>
        <w:lastRenderedPageBreak/>
        <w:drawing>
          <wp:inline distT="0" distB="0" distL="0" distR="0" wp14:anchorId="6C45AB86" wp14:editId="47D21BFB">
            <wp:extent cx="6120130" cy="3804966"/>
            <wp:effectExtent l="0" t="0" r="0" b="5080"/>
            <wp:docPr id="7" name="Immagine 7" descr="C:\Users\HP\Desktop\cartine\paki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artine\pakistan.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3804966"/>
                    </a:xfrm>
                    <a:prstGeom prst="rect">
                      <a:avLst/>
                    </a:prstGeom>
                    <a:noFill/>
                    <a:ln>
                      <a:noFill/>
                    </a:ln>
                  </pic:spPr>
                </pic:pic>
              </a:graphicData>
            </a:graphic>
          </wp:inline>
        </w:drawing>
      </w:r>
    </w:p>
    <w:p w14:paraId="01E939E3"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2C7849">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7 si vedono i confini delle circoscrizioni ecclesiastiche (rappresentati dalla linea tratteggiata) nell’India meridionale, (</w:t>
      </w:r>
      <w:r w:rsidRPr="00436E2D">
        <w:rPr>
          <w:rFonts w:ascii="Times New Roman" w:hAnsi="Times New Roman" w:cs="Times New Roman"/>
          <w:color w:val="0D0D0D" w:themeColor="text1" w:themeTint="F2"/>
          <w:sz w:val="24"/>
          <w:szCs w:val="24"/>
        </w:rPr>
        <w:t>Atlante universale della storia della chiesa</w:t>
      </w:r>
      <w:r w:rsidRPr="00436E2D">
        <w:rPr>
          <w:rFonts w:ascii="Times New Roman" w:hAnsi="Times New Roman" w:cs="Times New Roman"/>
          <w:i w:val="0"/>
          <w:color w:val="0D0D0D" w:themeColor="text1" w:themeTint="F2"/>
          <w:sz w:val="24"/>
          <w:szCs w:val="24"/>
        </w:rPr>
        <w:t>, a cura di J.Martin, 1991, p</w:t>
      </w:r>
      <w:r>
        <w:rPr>
          <w:rFonts w:ascii="Times New Roman" w:hAnsi="Times New Roman" w:cs="Times New Roman"/>
          <w:i w:val="0"/>
          <w:color w:val="0D0D0D" w:themeColor="text1" w:themeTint="F2"/>
          <w:sz w:val="24"/>
          <w:szCs w:val="24"/>
        </w:rPr>
        <w:t>.143).</w:t>
      </w:r>
    </w:p>
    <w:p w14:paraId="6B5E66F2" w14:textId="77777777" w:rsidR="00581ACD" w:rsidRPr="00DB2CBB"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p>
    <w:p w14:paraId="1FA03593"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sidRPr="00DB2CBB">
        <w:rPr>
          <w:noProof/>
          <w:lang w:eastAsia="it-IT"/>
        </w:rPr>
        <w:drawing>
          <wp:inline distT="0" distB="0" distL="0" distR="0" wp14:anchorId="4656BB2D" wp14:editId="0857785B">
            <wp:extent cx="4540194" cy="3459553"/>
            <wp:effectExtent l="0" t="0" r="0" b="7620"/>
            <wp:docPr id="8" name="Immagine 8" descr="C:\Users\HP\Desktop\cartine\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cartine\indi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9581" cy="3474326"/>
                    </a:xfrm>
                    <a:prstGeom prst="rect">
                      <a:avLst/>
                    </a:prstGeom>
                    <a:noFill/>
                    <a:ln>
                      <a:noFill/>
                    </a:ln>
                  </pic:spPr>
                </pic:pic>
              </a:graphicData>
            </a:graphic>
          </wp:inline>
        </w:drawing>
      </w:r>
      <w:r w:rsidRPr="00836FC9">
        <w:rPr>
          <w:rFonts w:ascii="Times New Roman" w:hAnsi="Times New Roman" w:cs="Times New Roman"/>
          <w:i w:val="0"/>
          <w:color w:val="0D0D0D" w:themeColor="text1" w:themeTint="F2"/>
          <w:sz w:val="24"/>
          <w:szCs w:val="24"/>
        </w:rPr>
        <w:t xml:space="preserve"> </w:t>
      </w:r>
    </w:p>
    <w:p w14:paraId="603402EB" w14:textId="77777777" w:rsidR="00581ACD" w:rsidRPr="00836FC9"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lastRenderedPageBreak/>
        <w:t xml:space="preserve">Nella </w:t>
      </w:r>
      <w:r w:rsidRPr="00DB2CBB">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8 si vedono i confini delle circoscrizioni ecclesiastiche (rappresentati dalla linea tratteggiata) nell’India centrale, (</w:t>
      </w:r>
      <w:r w:rsidRPr="00DB2CBB">
        <w:rPr>
          <w:rFonts w:ascii="Times New Roman" w:hAnsi="Times New Roman" w:cs="Times New Roman"/>
          <w:color w:val="0D0D0D" w:themeColor="text1" w:themeTint="F2"/>
          <w:sz w:val="24"/>
          <w:szCs w:val="24"/>
        </w:rPr>
        <w:t>Enciclopedia cattolica</w:t>
      </w:r>
      <w:r>
        <w:rPr>
          <w:rFonts w:ascii="Times New Roman" w:hAnsi="Times New Roman" w:cs="Times New Roman"/>
          <w:i w:val="0"/>
          <w:color w:val="0D0D0D" w:themeColor="text1" w:themeTint="F2"/>
          <w:sz w:val="24"/>
          <w:szCs w:val="24"/>
        </w:rPr>
        <w:t>, Vol.6, 1948, Roma, p. 1803).</w:t>
      </w:r>
    </w:p>
    <w:p w14:paraId="4660EC41" w14:textId="77777777" w:rsidR="00581ACD" w:rsidRDefault="00581ACD" w:rsidP="00484F9B">
      <w:pPr>
        <w:spacing w:after="0" w:line="360" w:lineRule="auto"/>
        <w:ind w:left="680" w:right="340"/>
        <w:jc w:val="both"/>
      </w:pPr>
      <w:r w:rsidRPr="00890DCA">
        <w:rPr>
          <w:noProof/>
          <w:lang w:eastAsia="it-IT"/>
        </w:rPr>
        <w:drawing>
          <wp:inline distT="0" distB="0" distL="0" distR="0" wp14:anchorId="3E9388EF" wp14:editId="3CF90434">
            <wp:extent cx="4825914" cy="7195931"/>
            <wp:effectExtent l="0" t="0" r="0" b="5080"/>
            <wp:docPr id="9" name="Immagine 9" descr="C:\Users\HP\Desktop\cartine\indocina v6 p.1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cartine\indocina v6 p.187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28793" cy="7200224"/>
                    </a:xfrm>
                    <a:prstGeom prst="rect">
                      <a:avLst/>
                    </a:prstGeom>
                    <a:noFill/>
                    <a:ln>
                      <a:noFill/>
                    </a:ln>
                  </pic:spPr>
                </pic:pic>
              </a:graphicData>
            </a:graphic>
          </wp:inline>
        </w:drawing>
      </w:r>
    </w:p>
    <w:p w14:paraId="0F544F42"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890DCA">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9 si vedono i confini delle circoscrizioni ecclesiastiche in Indocina, (</w:t>
      </w:r>
      <w:r w:rsidRPr="00DB2CBB">
        <w:rPr>
          <w:rFonts w:ascii="Times New Roman" w:hAnsi="Times New Roman" w:cs="Times New Roman"/>
          <w:color w:val="0D0D0D" w:themeColor="text1" w:themeTint="F2"/>
          <w:sz w:val="24"/>
          <w:szCs w:val="24"/>
        </w:rPr>
        <w:t>Enciclopedia cattolica</w:t>
      </w:r>
      <w:r>
        <w:rPr>
          <w:rFonts w:ascii="Times New Roman" w:hAnsi="Times New Roman" w:cs="Times New Roman"/>
          <w:i w:val="0"/>
          <w:color w:val="0D0D0D" w:themeColor="text1" w:themeTint="F2"/>
          <w:sz w:val="24"/>
          <w:szCs w:val="24"/>
        </w:rPr>
        <w:t>, Vol.6, 1948, Roma, p. 1875).</w:t>
      </w:r>
    </w:p>
    <w:p w14:paraId="3071620E" w14:textId="77777777" w:rsidR="00581ACD" w:rsidRDefault="00581ACD" w:rsidP="00484F9B">
      <w:pPr>
        <w:spacing w:after="0" w:line="360" w:lineRule="auto"/>
        <w:ind w:left="680" w:right="340"/>
        <w:jc w:val="both"/>
      </w:pPr>
    </w:p>
    <w:p w14:paraId="08CB8D14" w14:textId="77777777" w:rsidR="00581ACD" w:rsidRDefault="00581ACD" w:rsidP="00484F9B">
      <w:pPr>
        <w:keepNext/>
        <w:spacing w:after="0" w:line="360" w:lineRule="auto"/>
        <w:ind w:left="680" w:right="340"/>
        <w:jc w:val="both"/>
      </w:pPr>
      <w:r w:rsidRPr="00F87819">
        <w:rPr>
          <w:noProof/>
          <w:lang w:eastAsia="it-IT"/>
        </w:rPr>
        <w:lastRenderedPageBreak/>
        <w:drawing>
          <wp:inline distT="0" distB="0" distL="0" distR="0" wp14:anchorId="4B02A925" wp14:editId="401FD6DE">
            <wp:extent cx="6120130" cy="4896204"/>
            <wp:effectExtent l="0" t="0" r="0" b="0"/>
            <wp:docPr id="10" name="Immagine 10" descr="C:\Users\HP\Desktop\cartine\cina vol 3 p.1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cartine\cina vol 3 p.164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4896204"/>
                    </a:xfrm>
                    <a:prstGeom prst="rect">
                      <a:avLst/>
                    </a:prstGeom>
                    <a:noFill/>
                    <a:ln>
                      <a:noFill/>
                    </a:ln>
                  </pic:spPr>
                </pic:pic>
              </a:graphicData>
            </a:graphic>
          </wp:inline>
        </w:drawing>
      </w:r>
    </w:p>
    <w:p w14:paraId="03EFF184"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F87819">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10 si vede la divisione amministrativa del territorio della Repubblica cinese, (</w:t>
      </w:r>
      <w:r w:rsidRPr="00444FB4">
        <w:rPr>
          <w:rFonts w:ascii="Times New Roman" w:hAnsi="Times New Roman" w:cs="Times New Roman"/>
          <w:color w:val="0D0D0D" w:themeColor="text1" w:themeTint="F2"/>
          <w:sz w:val="24"/>
          <w:szCs w:val="24"/>
        </w:rPr>
        <w:t>Enciclopedia cattolica</w:t>
      </w:r>
      <w:r>
        <w:rPr>
          <w:rFonts w:ascii="Times New Roman" w:hAnsi="Times New Roman" w:cs="Times New Roman"/>
          <w:i w:val="0"/>
          <w:color w:val="0D0D0D" w:themeColor="text1" w:themeTint="F2"/>
          <w:sz w:val="24"/>
          <w:szCs w:val="24"/>
        </w:rPr>
        <w:t>, Vol.3, 1948, Roma, p. 1643).</w:t>
      </w:r>
    </w:p>
    <w:p w14:paraId="2710FFBD" w14:textId="77777777" w:rsidR="00581ACD" w:rsidRDefault="00581ACD" w:rsidP="00484F9B">
      <w:pPr>
        <w:keepNext/>
        <w:spacing w:after="0" w:line="360" w:lineRule="auto"/>
        <w:ind w:left="680" w:right="340"/>
        <w:jc w:val="both"/>
      </w:pPr>
      <w:r w:rsidRPr="00F87819">
        <w:rPr>
          <w:noProof/>
          <w:lang w:eastAsia="it-IT"/>
        </w:rPr>
        <w:lastRenderedPageBreak/>
        <w:drawing>
          <wp:inline distT="0" distB="0" distL="0" distR="0" wp14:anchorId="43208573" wp14:editId="51AC65B7">
            <wp:extent cx="4723074" cy="4723074"/>
            <wp:effectExtent l="0" t="0" r="1905"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31523" cy="4731523"/>
                    </a:xfrm>
                    <a:prstGeom prst="rect">
                      <a:avLst/>
                    </a:prstGeom>
                  </pic:spPr>
                </pic:pic>
              </a:graphicData>
            </a:graphic>
          </wp:inline>
        </w:drawing>
      </w:r>
    </w:p>
    <w:p w14:paraId="522FC4A2" w14:textId="77777777" w:rsidR="00581ACD" w:rsidRPr="001B4B85"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1B4B85">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11 si vedono i confini delle circoscrizioni ecclesiastiche in Manciuria, ovvero nella parte nord-est della Cina, (</w:t>
      </w:r>
      <w:r w:rsidRPr="001B4B85">
        <w:rPr>
          <w:rFonts w:ascii="Times New Roman" w:hAnsi="Times New Roman" w:cs="Times New Roman"/>
          <w:color w:val="0D0D0D" w:themeColor="text1" w:themeTint="F2"/>
          <w:sz w:val="24"/>
          <w:szCs w:val="24"/>
        </w:rPr>
        <w:t>Enciclopedia cattolica</w:t>
      </w:r>
      <w:r>
        <w:rPr>
          <w:rFonts w:ascii="Times New Roman" w:hAnsi="Times New Roman" w:cs="Times New Roman"/>
          <w:i w:val="0"/>
          <w:color w:val="0D0D0D" w:themeColor="text1" w:themeTint="F2"/>
          <w:sz w:val="24"/>
          <w:szCs w:val="24"/>
        </w:rPr>
        <w:t>, Vol.7, 1948, Roma, p. 1945).</w:t>
      </w:r>
    </w:p>
    <w:p w14:paraId="0D9765ED" w14:textId="77777777" w:rsidR="00581ACD" w:rsidRDefault="00581ACD" w:rsidP="00484F9B">
      <w:pPr>
        <w:keepNext/>
        <w:spacing w:after="0" w:line="360" w:lineRule="auto"/>
        <w:ind w:left="680" w:right="340"/>
        <w:jc w:val="both"/>
      </w:pPr>
      <w:r w:rsidRPr="001B4B85">
        <w:rPr>
          <w:noProof/>
          <w:lang w:eastAsia="it-IT"/>
        </w:rPr>
        <w:lastRenderedPageBreak/>
        <w:drawing>
          <wp:inline distT="0" distB="0" distL="0" distR="0" wp14:anchorId="3E032E5A" wp14:editId="1B16044B">
            <wp:extent cx="5333057" cy="5724940"/>
            <wp:effectExtent l="0" t="0" r="1270" b="9525"/>
            <wp:docPr id="12" name="Immagine 12" descr="C:\Users\HP\Desktop\cartine\giappone p. 361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cartine\giappone p. 361 v.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7456" cy="5729662"/>
                    </a:xfrm>
                    <a:prstGeom prst="rect">
                      <a:avLst/>
                    </a:prstGeom>
                    <a:noFill/>
                    <a:ln>
                      <a:noFill/>
                    </a:ln>
                  </pic:spPr>
                </pic:pic>
              </a:graphicData>
            </a:graphic>
          </wp:inline>
        </w:drawing>
      </w:r>
    </w:p>
    <w:p w14:paraId="042DFE3B"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Nella Figura 12 si vedono i confini delle circoscrizioni ecclesiastiche del Giappone, (Enciclopedia cattolica, Vol. 6, Roma, p.361).</w:t>
      </w:r>
    </w:p>
    <w:p w14:paraId="737EDBB2" w14:textId="77777777" w:rsidR="00581ACD" w:rsidRDefault="00581ACD" w:rsidP="00484F9B">
      <w:pPr>
        <w:spacing w:after="0" w:line="360" w:lineRule="auto"/>
        <w:ind w:left="680" w:right="340"/>
        <w:jc w:val="both"/>
      </w:pPr>
    </w:p>
    <w:p w14:paraId="64BF39B1" w14:textId="77777777" w:rsidR="00581ACD" w:rsidRDefault="00581ACD" w:rsidP="00484F9B">
      <w:pPr>
        <w:keepNext/>
        <w:spacing w:after="0" w:line="360" w:lineRule="auto"/>
        <w:ind w:left="680" w:right="340"/>
        <w:jc w:val="both"/>
      </w:pPr>
      <w:r w:rsidRPr="001B4B85">
        <w:rPr>
          <w:noProof/>
          <w:lang w:eastAsia="it-IT"/>
        </w:rPr>
        <w:lastRenderedPageBreak/>
        <w:drawing>
          <wp:inline distT="0" distB="0" distL="0" distR="0" wp14:anchorId="42626689" wp14:editId="54046C03">
            <wp:extent cx="5349135" cy="7092564"/>
            <wp:effectExtent l="0" t="0" r="4445" b="0"/>
            <wp:docPr id="13" name="Immagine 13" descr="C:\Users\HP\Desktop\capitoli\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capitoli\americ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55529" cy="7101041"/>
                    </a:xfrm>
                    <a:prstGeom prst="rect">
                      <a:avLst/>
                    </a:prstGeom>
                    <a:noFill/>
                    <a:ln>
                      <a:noFill/>
                    </a:ln>
                  </pic:spPr>
                </pic:pic>
              </a:graphicData>
            </a:graphic>
          </wp:inline>
        </w:drawing>
      </w:r>
    </w:p>
    <w:p w14:paraId="17152939"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1B4B85">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13 si vede la concentrazione di cattolici (rappresentata dalle aree colorate) nell’America meridionale, (Enciclopedia cattolica, Vol.1, 1948, Roma, p. 1200).</w:t>
      </w:r>
    </w:p>
    <w:p w14:paraId="21DB3518" w14:textId="77777777" w:rsidR="00581ACD" w:rsidRDefault="00581ACD" w:rsidP="00484F9B">
      <w:pPr>
        <w:spacing w:after="0" w:line="360" w:lineRule="auto"/>
        <w:ind w:left="680" w:right="340"/>
        <w:jc w:val="both"/>
      </w:pPr>
    </w:p>
    <w:p w14:paraId="719094D6" w14:textId="77777777" w:rsidR="00581ACD" w:rsidRDefault="00581ACD" w:rsidP="00484F9B">
      <w:pPr>
        <w:spacing w:after="0" w:line="360" w:lineRule="auto"/>
        <w:ind w:left="680" w:right="340"/>
        <w:jc w:val="both"/>
      </w:pPr>
    </w:p>
    <w:p w14:paraId="52AABBA5" w14:textId="77777777" w:rsidR="00581ACD" w:rsidRDefault="00581ACD" w:rsidP="00484F9B">
      <w:pPr>
        <w:spacing w:after="0" w:line="360" w:lineRule="auto"/>
        <w:ind w:left="680" w:right="340"/>
        <w:jc w:val="both"/>
      </w:pPr>
    </w:p>
    <w:p w14:paraId="7AED83FA" w14:textId="77777777" w:rsidR="00581ACD" w:rsidRDefault="00581ACD" w:rsidP="00484F9B">
      <w:pPr>
        <w:spacing w:after="0" w:line="360" w:lineRule="auto"/>
        <w:ind w:left="680" w:right="340"/>
        <w:jc w:val="both"/>
      </w:pPr>
    </w:p>
    <w:p w14:paraId="04ED0243" w14:textId="77777777" w:rsidR="00581ACD" w:rsidRDefault="00581ACD" w:rsidP="00484F9B">
      <w:pPr>
        <w:spacing w:after="0" w:line="360" w:lineRule="auto"/>
        <w:ind w:left="680" w:right="340"/>
        <w:jc w:val="both"/>
      </w:pPr>
    </w:p>
    <w:p w14:paraId="137C824F" w14:textId="77777777" w:rsidR="00581ACD" w:rsidRDefault="00581ACD" w:rsidP="00484F9B">
      <w:pPr>
        <w:keepNext/>
        <w:spacing w:after="0" w:line="360" w:lineRule="auto"/>
        <w:ind w:left="680" w:right="340"/>
        <w:jc w:val="both"/>
      </w:pPr>
      <w:r w:rsidRPr="008E3064">
        <w:rPr>
          <w:noProof/>
          <w:lang w:eastAsia="it-IT"/>
        </w:rPr>
        <w:lastRenderedPageBreak/>
        <w:drawing>
          <wp:inline distT="0" distB="0" distL="0" distR="0" wp14:anchorId="5FAF1095" wp14:editId="5A1C090E">
            <wp:extent cx="4867639" cy="6257114"/>
            <wp:effectExtent l="0" t="8890" r="635" b="635"/>
            <wp:docPr id="14" name="Immagine 14" descr="C:\Users\HP\Desktop\cartine\oce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cartine\oceani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4899952" cy="6298651"/>
                    </a:xfrm>
                    <a:prstGeom prst="rect">
                      <a:avLst/>
                    </a:prstGeom>
                    <a:noFill/>
                    <a:ln>
                      <a:noFill/>
                    </a:ln>
                  </pic:spPr>
                </pic:pic>
              </a:graphicData>
            </a:graphic>
          </wp:inline>
        </w:drawing>
      </w:r>
    </w:p>
    <w:p w14:paraId="2A9FCC7E"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8E3064">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14 si vedono i confini delle circoscrizioni ecclesiastiche in Australia e nelle isole vicine che si affacciano sul Pacifico, (</w:t>
      </w:r>
      <w:r w:rsidRPr="008E3064">
        <w:rPr>
          <w:rFonts w:ascii="Times New Roman" w:hAnsi="Times New Roman" w:cs="Times New Roman"/>
          <w:color w:val="0D0D0D" w:themeColor="text1" w:themeTint="F2"/>
          <w:sz w:val="24"/>
          <w:szCs w:val="24"/>
        </w:rPr>
        <w:t>Enciclopedia cattolica</w:t>
      </w:r>
      <w:r>
        <w:rPr>
          <w:rFonts w:ascii="Times New Roman" w:hAnsi="Times New Roman" w:cs="Times New Roman"/>
          <w:i w:val="0"/>
          <w:color w:val="0D0D0D" w:themeColor="text1" w:themeTint="F2"/>
          <w:sz w:val="24"/>
          <w:szCs w:val="24"/>
        </w:rPr>
        <w:t>, Vol.7, 1948, Roma, p. 48).</w:t>
      </w:r>
    </w:p>
    <w:p w14:paraId="4F74D5AA" w14:textId="77777777" w:rsidR="00581ACD" w:rsidRDefault="00581ACD" w:rsidP="00484F9B">
      <w:pPr>
        <w:spacing w:after="0" w:line="360" w:lineRule="auto"/>
        <w:ind w:left="680" w:right="340"/>
        <w:jc w:val="both"/>
      </w:pPr>
    </w:p>
    <w:p w14:paraId="5035B712" w14:textId="77777777" w:rsidR="00581ACD" w:rsidRDefault="00581ACD" w:rsidP="00484F9B">
      <w:pPr>
        <w:keepNext/>
        <w:spacing w:after="0" w:line="360" w:lineRule="auto"/>
        <w:ind w:left="680" w:right="340"/>
        <w:jc w:val="both"/>
      </w:pPr>
      <w:r w:rsidRPr="008E3064">
        <w:rPr>
          <w:noProof/>
          <w:lang w:eastAsia="it-IT"/>
        </w:rPr>
        <w:lastRenderedPageBreak/>
        <w:drawing>
          <wp:inline distT="0" distB="0" distL="0" distR="0" wp14:anchorId="501994F1" wp14:editId="0073D000">
            <wp:extent cx="5759669" cy="4046587"/>
            <wp:effectExtent l="0" t="0" r="0" b="0"/>
            <wp:docPr id="15" name="Immagine 15" descr="C:\Users\HP\Desktop\cartine\oce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cartine\oceania.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1490" cy="4054892"/>
                    </a:xfrm>
                    <a:prstGeom prst="rect">
                      <a:avLst/>
                    </a:prstGeom>
                    <a:noFill/>
                    <a:ln>
                      <a:noFill/>
                    </a:ln>
                  </pic:spPr>
                </pic:pic>
              </a:graphicData>
            </a:graphic>
          </wp:inline>
        </w:drawing>
      </w:r>
    </w:p>
    <w:p w14:paraId="37BCFEFD" w14:textId="77777777" w:rsidR="00581ACD" w:rsidRPr="008E3064"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w:t>
      </w:r>
      <w:r w:rsidRPr="008E3064">
        <w:rPr>
          <w:rFonts w:ascii="Times New Roman" w:hAnsi="Times New Roman" w:cs="Times New Roman"/>
          <w:i w:val="0"/>
          <w:color w:val="0D0D0D" w:themeColor="text1" w:themeTint="F2"/>
          <w:sz w:val="24"/>
          <w:szCs w:val="24"/>
        </w:rPr>
        <w:t xml:space="preserve">Figura </w:t>
      </w:r>
      <w:r>
        <w:rPr>
          <w:rFonts w:ascii="Times New Roman" w:hAnsi="Times New Roman" w:cs="Times New Roman"/>
          <w:i w:val="0"/>
          <w:color w:val="0D0D0D" w:themeColor="text1" w:themeTint="F2"/>
          <w:sz w:val="24"/>
          <w:szCs w:val="24"/>
        </w:rPr>
        <w:t>15 si vedono i confini delle circoscrizioni ecclesiastiche (rappresentati dalle linee in rilievo) nella Nuova Guine, (</w:t>
      </w:r>
      <w:r w:rsidRPr="00436E2D">
        <w:rPr>
          <w:rFonts w:ascii="Times New Roman" w:hAnsi="Times New Roman" w:cs="Times New Roman"/>
          <w:color w:val="0D0D0D" w:themeColor="text1" w:themeTint="F2"/>
          <w:sz w:val="24"/>
          <w:szCs w:val="24"/>
        </w:rPr>
        <w:t>Atlante universale della storia della chiesa</w:t>
      </w:r>
      <w:r w:rsidRPr="00436E2D">
        <w:rPr>
          <w:rFonts w:ascii="Times New Roman" w:hAnsi="Times New Roman" w:cs="Times New Roman"/>
          <w:i w:val="0"/>
          <w:color w:val="0D0D0D" w:themeColor="text1" w:themeTint="F2"/>
          <w:sz w:val="24"/>
          <w:szCs w:val="24"/>
        </w:rPr>
        <w:t>, a cura di J.Martin, 1991, p</w:t>
      </w:r>
      <w:r>
        <w:rPr>
          <w:rFonts w:ascii="Times New Roman" w:hAnsi="Times New Roman" w:cs="Times New Roman"/>
          <w:i w:val="0"/>
          <w:color w:val="0D0D0D" w:themeColor="text1" w:themeTint="F2"/>
          <w:sz w:val="24"/>
          <w:szCs w:val="24"/>
        </w:rPr>
        <w:t>.145).</w:t>
      </w:r>
    </w:p>
    <w:p w14:paraId="688EF464" w14:textId="77777777" w:rsidR="00581ACD" w:rsidRDefault="00581ACD" w:rsidP="00484F9B">
      <w:pPr>
        <w:keepNext/>
        <w:spacing w:after="0" w:line="360" w:lineRule="auto"/>
        <w:ind w:left="680" w:right="340"/>
        <w:jc w:val="both"/>
      </w:pPr>
      <w:r w:rsidRPr="00960E35">
        <w:rPr>
          <w:noProof/>
          <w:lang w:eastAsia="it-IT"/>
        </w:rPr>
        <w:lastRenderedPageBreak/>
        <w:drawing>
          <wp:inline distT="0" distB="0" distL="0" distR="0" wp14:anchorId="6E9225EC" wp14:editId="77C5C03F">
            <wp:extent cx="4912659" cy="5700216"/>
            <wp:effectExtent l="0" t="0" r="2540" b="0"/>
            <wp:docPr id="16" name="Immagine 16" descr="C:\Users\HP\Desktop\irlanda enciclopedia cattolica vol 7 p.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rlanda enciclopedia cattolica vol 7 p. 20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6832" cy="5705058"/>
                    </a:xfrm>
                    <a:prstGeom prst="rect">
                      <a:avLst/>
                    </a:prstGeom>
                    <a:noFill/>
                    <a:ln>
                      <a:noFill/>
                    </a:ln>
                  </pic:spPr>
                </pic:pic>
              </a:graphicData>
            </a:graphic>
          </wp:inline>
        </w:drawing>
      </w:r>
    </w:p>
    <w:p w14:paraId="4F42A147" w14:textId="77777777" w:rsidR="00581ACD" w:rsidRPr="00960E35" w:rsidRDefault="00581ACD" w:rsidP="00484F9B">
      <w:pPr>
        <w:pStyle w:val="Didascalia"/>
        <w:spacing w:after="0" w:line="360" w:lineRule="auto"/>
        <w:ind w:left="680" w:right="340"/>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Nella Figura 16 si vedono i confini delle diocesi e dei monasteri (rappresentanti dai pallini neri) nel territorio dell’Irlanda (</w:t>
      </w:r>
      <w:r w:rsidRPr="00960E35">
        <w:rPr>
          <w:rFonts w:ascii="Times New Roman" w:hAnsi="Times New Roman" w:cs="Times New Roman"/>
          <w:color w:val="auto"/>
          <w:sz w:val="24"/>
          <w:szCs w:val="24"/>
        </w:rPr>
        <w:t>Enciclopedia cattolica</w:t>
      </w:r>
      <w:r>
        <w:rPr>
          <w:rFonts w:ascii="Times New Roman" w:hAnsi="Times New Roman" w:cs="Times New Roman"/>
          <w:i w:val="0"/>
          <w:color w:val="auto"/>
          <w:sz w:val="24"/>
          <w:szCs w:val="24"/>
        </w:rPr>
        <w:t>, Vol.7, 1948, Roma p.200).</w:t>
      </w:r>
    </w:p>
    <w:p w14:paraId="4A3211C9" w14:textId="77777777" w:rsidR="00581ACD" w:rsidRDefault="00581ACD" w:rsidP="00484F9B">
      <w:pPr>
        <w:spacing w:after="0" w:line="360" w:lineRule="auto"/>
        <w:ind w:left="680" w:right="340"/>
        <w:jc w:val="both"/>
      </w:pPr>
    </w:p>
    <w:p w14:paraId="7DE1228F" w14:textId="77777777" w:rsidR="00581ACD" w:rsidRDefault="00581ACD" w:rsidP="00484F9B">
      <w:pPr>
        <w:spacing w:after="0" w:line="360" w:lineRule="auto"/>
        <w:ind w:left="680" w:right="340"/>
        <w:jc w:val="both"/>
      </w:pPr>
    </w:p>
    <w:p w14:paraId="40F7C049" w14:textId="77777777" w:rsidR="00581ACD" w:rsidRDefault="00581ACD" w:rsidP="00484F9B">
      <w:pPr>
        <w:keepNext/>
        <w:spacing w:after="0" w:line="360" w:lineRule="auto"/>
        <w:ind w:left="680" w:right="340"/>
        <w:jc w:val="both"/>
      </w:pPr>
      <w:r w:rsidRPr="00CB3A06">
        <w:rPr>
          <w:noProof/>
          <w:lang w:eastAsia="it-IT"/>
        </w:rPr>
        <w:lastRenderedPageBreak/>
        <w:drawing>
          <wp:inline distT="0" distB="0" distL="0" distR="0" wp14:anchorId="536F45D1" wp14:editId="6ED63352">
            <wp:extent cx="5821680" cy="3854511"/>
            <wp:effectExtent l="0" t="0" r="7620" b="0"/>
            <wp:docPr id="17" name="Immagine 17" descr="C:\Users\HP\Desktop\capitoli\cartine\gerarc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pitoli\cartine\gerarchia.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5994" cy="3857367"/>
                    </a:xfrm>
                    <a:prstGeom prst="rect">
                      <a:avLst/>
                    </a:prstGeom>
                    <a:noFill/>
                    <a:ln>
                      <a:noFill/>
                    </a:ln>
                  </pic:spPr>
                </pic:pic>
              </a:graphicData>
            </a:graphic>
          </wp:inline>
        </w:drawing>
      </w:r>
    </w:p>
    <w:p w14:paraId="7B987F91" w14:textId="77777777" w:rsidR="00581ACD" w:rsidRDefault="00581ACD" w:rsidP="00484F9B">
      <w:pPr>
        <w:pStyle w:val="Didascalia"/>
        <w:spacing w:after="0" w:line="360" w:lineRule="auto"/>
        <w:ind w:left="680" w:right="340"/>
        <w:jc w:val="both"/>
        <w:rPr>
          <w:rFonts w:ascii="Times New Roman" w:hAnsi="Times New Roman" w:cs="Times New Roman"/>
          <w:i w:val="0"/>
          <w:color w:val="0D0D0D" w:themeColor="text1" w:themeTint="F2"/>
          <w:sz w:val="24"/>
          <w:szCs w:val="24"/>
        </w:rPr>
      </w:pPr>
      <w:r>
        <w:rPr>
          <w:rFonts w:ascii="Times New Roman" w:hAnsi="Times New Roman" w:cs="Times New Roman"/>
          <w:i w:val="0"/>
          <w:color w:val="0D0D0D" w:themeColor="text1" w:themeTint="F2"/>
          <w:sz w:val="24"/>
          <w:szCs w:val="24"/>
        </w:rPr>
        <w:t xml:space="preserve">Nella Figura 17 si vede l’organizzazione missionaria della Chiesa nel </w:t>
      </w:r>
      <w:r w:rsidRPr="00CB3A06">
        <w:rPr>
          <w:rFonts w:ascii="Times New Roman" w:hAnsi="Times New Roman" w:cs="Times New Roman"/>
          <w:color w:val="0D0D0D" w:themeColor="text1" w:themeTint="F2"/>
          <w:sz w:val="24"/>
          <w:szCs w:val="24"/>
        </w:rPr>
        <w:t xml:space="preserve">1925 </w:t>
      </w:r>
      <w:r w:rsidRPr="00CB3A06">
        <w:rPr>
          <w:rFonts w:ascii="Times New Roman" w:hAnsi="Times New Roman" w:cs="Times New Roman"/>
          <w:i w:val="0"/>
          <w:color w:val="0D0D0D" w:themeColor="text1" w:themeTint="F2"/>
          <w:sz w:val="24"/>
          <w:szCs w:val="24"/>
        </w:rPr>
        <w:t xml:space="preserve">(B.Arens, </w:t>
      </w:r>
      <w:r w:rsidRPr="00CB3A06">
        <w:rPr>
          <w:rFonts w:ascii="Times New Roman" w:hAnsi="Times New Roman" w:cs="Times New Roman"/>
          <w:color w:val="0D0D0D" w:themeColor="text1" w:themeTint="F2"/>
          <w:sz w:val="24"/>
          <w:szCs w:val="24"/>
        </w:rPr>
        <w:t>Manuel des</w:t>
      </w:r>
      <w:r w:rsidRPr="00CB3A06">
        <w:rPr>
          <w:rFonts w:ascii="Times New Roman" w:hAnsi="Times New Roman" w:cs="Times New Roman"/>
          <w:i w:val="0"/>
          <w:color w:val="0D0D0D" w:themeColor="text1" w:themeTint="F2"/>
          <w:sz w:val="24"/>
          <w:szCs w:val="24"/>
        </w:rPr>
        <w:t xml:space="preserve"> </w:t>
      </w:r>
      <w:r w:rsidRPr="00CB3A06">
        <w:rPr>
          <w:rFonts w:ascii="Times New Roman" w:hAnsi="Times New Roman" w:cs="Times New Roman"/>
          <w:color w:val="0D0D0D" w:themeColor="text1" w:themeTint="F2"/>
          <w:sz w:val="24"/>
          <w:szCs w:val="24"/>
        </w:rPr>
        <w:t>Missions Catholiques</w:t>
      </w:r>
      <w:r w:rsidRPr="00CB3A06">
        <w:rPr>
          <w:rFonts w:ascii="Times New Roman" w:hAnsi="Times New Roman" w:cs="Times New Roman"/>
          <w:i w:val="0"/>
          <w:color w:val="0D0D0D" w:themeColor="text1" w:themeTint="F2"/>
          <w:sz w:val="24"/>
          <w:szCs w:val="24"/>
        </w:rPr>
        <w:t>, 1925, p.30).</w:t>
      </w:r>
    </w:p>
    <w:p w14:paraId="2462CFB8" w14:textId="77777777" w:rsidR="00581ACD" w:rsidRDefault="00581ACD" w:rsidP="00484F9B">
      <w:pPr>
        <w:spacing w:after="0" w:line="360" w:lineRule="auto"/>
        <w:ind w:left="680" w:right="340"/>
        <w:jc w:val="both"/>
      </w:pPr>
    </w:p>
    <w:p w14:paraId="7DC78B00" w14:textId="77777777" w:rsidR="00581ACD" w:rsidRPr="00246FD6" w:rsidRDefault="00581ACD" w:rsidP="00484F9B">
      <w:pPr>
        <w:spacing w:after="0" w:line="360" w:lineRule="auto"/>
        <w:ind w:left="680" w:right="340"/>
        <w:jc w:val="both"/>
      </w:pPr>
    </w:p>
    <w:p w14:paraId="6B2C71F0"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p>
    <w:p w14:paraId="231BF69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02D059E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0E14976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4700362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6E29BBA6"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p>
    <w:p w14:paraId="5210AE76"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p>
    <w:p w14:paraId="6501D914"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12F1C9E8"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60DB8380" w14:textId="77777777" w:rsidR="00B3403A" w:rsidRPr="0096104B" w:rsidRDefault="00B3403A" w:rsidP="00484F9B">
      <w:pPr>
        <w:spacing w:after="0" w:line="360" w:lineRule="auto"/>
        <w:ind w:left="680" w:right="340"/>
        <w:jc w:val="both"/>
        <w:rPr>
          <w:rFonts w:ascii="Times New Roman" w:hAnsi="Times New Roman" w:cs="Times New Roman"/>
          <w:b/>
          <w:i/>
          <w:sz w:val="28"/>
          <w:szCs w:val="28"/>
          <w:u w:val="single"/>
        </w:rPr>
      </w:pPr>
    </w:p>
    <w:p w14:paraId="6050A482"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p>
    <w:p w14:paraId="10C3F55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48A86DA3"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0082EE4B"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39FC7230"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24B56518"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p>
    <w:p w14:paraId="5DF41DDD"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p>
    <w:p w14:paraId="792A8072"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6E8E9B75" w14:textId="77777777" w:rsidR="00B3403A" w:rsidRPr="0096104B" w:rsidRDefault="00B3403A" w:rsidP="00484F9B">
      <w:pPr>
        <w:spacing w:after="0" w:line="360" w:lineRule="auto"/>
        <w:ind w:left="680" w:right="340"/>
        <w:jc w:val="both"/>
        <w:rPr>
          <w:rFonts w:ascii="Times New Roman" w:hAnsi="Times New Roman" w:cs="Times New Roman"/>
          <w:i/>
          <w:sz w:val="28"/>
          <w:szCs w:val="28"/>
        </w:rPr>
      </w:pPr>
    </w:p>
    <w:p w14:paraId="6FEED60E"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3896CF59" w14:textId="77777777" w:rsidR="00B3403A" w:rsidRPr="0096104B" w:rsidRDefault="00B3403A" w:rsidP="00484F9B">
      <w:pPr>
        <w:spacing w:after="0" w:line="360" w:lineRule="auto"/>
        <w:ind w:left="680" w:right="340"/>
        <w:jc w:val="both"/>
        <w:rPr>
          <w:rFonts w:ascii="Times New Roman" w:hAnsi="Times New Roman" w:cs="Times New Roman"/>
          <w:i/>
          <w:color w:val="000000"/>
          <w:sz w:val="28"/>
          <w:szCs w:val="28"/>
          <w:shd w:val="clear" w:color="auto" w:fill="FFFFFF"/>
        </w:rPr>
      </w:pPr>
    </w:p>
    <w:p w14:paraId="0C9D5157" w14:textId="77777777" w:rsidR="00B3403A" w:rsidRPr="0096104B" w:rsidRDefault="00B3403A" w:rsidP="00484F9B">
      <w:pPr>
        <w:spacing w:after="0" w:line="360" w:lineRule="auto"/>
        <w:ind w:left="680" w:right="340"/>
        <w:jc w:val="both"/>
        <w:rPr>
          <w:rFonts w:ascii="Times New Roman" w:hAnsi="Times New Roman" w:cs="Times New Roman"/>
          <w:i/>
          <w:color w:val="000000"/>
          <w:sz w:val="28"/>
          <w:szCs w:val="28"/>
          <w:shd w:val="clear" w:color="auto" w:fill="FFFFFF"/>
        </w:rPr>
      </w:pPr>
    </w:p>
    <w:p w14:paraId="0A463F70" w14:textId="77777777" w:rsidR="00B3403A" w:rsidRPr="0096104B" w:rsidRDefault="00B3403A" w:rsidP="00484F9B">
      <w:pPr>
        <w:spacing w:after="0" w:line="360" w:lineRule="auto"/>
        <w:ind w:left="680" w:right="340"/>
        <w:jc w:val="both"/>
        <w:rPr>
          <w:rFonts w:ascii="Times New Roman" w:hAnsi="Times New Roman" w:cs="Times New Roman"/>
          <w:i/>
          <w:color w:val="000000"/>
          <w:sz w:val="28"/>
          <w:szCs w:val="28"/>
          <w:shd w:val="clear" w:color="auto" w:fill="FFFFFF"/>
        </w:rPr>
      </w:pPr>
    </w:p>
    <w:p w14:paraId="43FC7471" w14:textId="77777777" w:rsidR="00B3403A" w:rsidRPr="0096104B" w:rsidRDefault="00B3403A" w:rsidP="00484F9B">
      <w:pPr>
        <w:spacing w:after="0" w:line="360" w:lineRule="auto"/>
        <w:ind w:left="680" w:right="340"/>
        <w:jc w:val="both"/>
        <w:rPr>
          <w:rFonts w:ascii="Times New Roman" w:hAnsi="Times New Roman" w:cs="Times New Roman"/>
          <w:i/>
          <w:color w:val="000000"/>
          <w:sz w:val="28"/>
          <w:szCs w:val="28"/>
          <w:shd w:val="clear" w:color="auto" w:fill="FFFFFF"/>
        </w:rPr>
      </w:pPr>
    </w:p>
    <w:p w14:paraId="470BFB33" w14:textId="77777777" w:rsidR="00B3403A" w:rsidRPr="0096104B" w:rsidRDefault="00B3403A" w:rsidP="00484F9B">
      <w:pPr>
        <w:spacing w:after="0" w:line="360" w:lineRule="auto"/>
        <w:ind w:left="680" w:right="340"/>
        <w:jc w:val="both"/>
        <w:rPr>
          <w:rFonts w:ascii="Times New Roman" w:hAnsi="Times New Roman" w:cs="Times New Roman"/>
          <w:i/>
          <w:color w:val="000000"/>
          <w:sz w:val="28"/>
          <w:szCs w:val="28"/>
          <w:shd w:val="clear" w:color="auto" w:fill="FFFFFF"/>
        </w:rPr>
      </w:pPr>
    </w:p>
    <w:p w14:paraId="31B0BFCD" w14:textId="77777777" w:rsidR="00B3403A" w:rsidRPr="0096104B" w:rsidRDefault="00B3403A" w:rsidP="00484F9B">
      <w:pPr>
        <w:spacing w:after="0" w:line="360" w:lineRule="auto"/>
        <w:ind w:left="680" w:right="340"/>
        <w:jc w:val="both"/>
        <w:rPr>
          <w:rFonts w:ascii="Times New Roman" w:hAnsi="Times New Roman" w:cs="Times New Roman"/>
          <w:i/>
          <w:color w:val="000000"/>
          <w:sz w:val="28"/>
          <w:szCs w:val="28"/>
          <w:shd w:val="clear" w:color="auto" w:fill="FFFFFF"/>
        </w:rPr>
      </w:pPr>
    </w:p>
    <w:p w14:paraId="64BAE101" w14:textId="77777777" w:rsidR="00B3403A" w:rsidRPr="0096104B" w:rsidRDefault="00B3403A" w:rsidP="00484F9B">
      <w:pPr>
        <w:spacing w:after="0" w:line="360" w:lineRule="auto"/>
        <w:ind w:left="680" w:right="340"/>
        <w:jc w:val="both"/>
        <w:rPr>
          <w:rFonts w:ascii="Times New Roman" w:hAnsi="Times New Roman" w:cs="Times New Roman"/>
          <w:i/>
          <w:color w:val="000000"/>
          <w:sz w:val="28"/>
          <w:szCs w:val="28"/>
          <w:shd w:val="clear" w:color="auto" w:fill="FFFFFF"/>
        </w:rPr>
      </w:pPr>
    </w:p>
    <w:p w14:paraId="7056D2C7" w14:textId="77777777" w:rsidR="00B3403A" w:rsidRPr="0096104B" w:rsidRDefault="00B3403A" w:rsidP="00484F9B">
      <w:pPr>
        <w:spacing w:after="0" w:line="360" w:lineRule="auto"/>
        <w:ind w:left="680" w:right="340"/>
        <w:jc w:val="both"/>
        <w:rPr>
          <w:rFonts w:ascii="Times New Roman" w:hAnsi="Times New Roman" w:cs="Times New Roman"/>
          <w:i/>
          <w:color w:val="000000"/>
          <w:sz w:val="28"/>
          <w:szCs w:val="28"/>
          <w:shd w:val="clear" w:color="auto" w:fill="FFFFFF"/>
        </w:rPr>
      </w:pPr>
    </w:p>
    <w:p w14:paraId="4DE12051" w14:textId="77777777" w:rsidR="00B3403A" w:rsidRPr="0096104B" w:rsidRDefault="00B3403A" w:rsidP="00484F9B">
      <w:pPr>
        <w:spacing w:after="0" w:line="360" w:lineRule="auto"/>
        <w:ind w:left="680" w:right="340"/>
        <w:jc w:val="both"/>
        <w:rPr>
          <w:rFonts w:ascii="Times New Roman" w:hAnsi="Times New Roman" w:cs="Times New Roman"/>
          <w:i/>
          <w:color w:val="000000"/>
          <w:sz w:val="28"/>
          <w:szCs w:val="28"/>
          <w:shd w:val="clear" w:color="auto" w:fill="FFFFFF"/>
        </w:rPr>
      </w:pPr>
    </w:p>
    <w:p w14:paraId="50A19F5D" w14:textId="77777777" w:rsidR="00B3403A" w:rsidRPr="0096104B" w:rsidRDefault="00B3403A" w:rsidP="00484F9B">
      <w:pPr>
        <w:spacing w:after="0" w:line="360" w:lineRule="auto"/>
        <w:ind w:left="680" w:right="340"/>
        <w:jc w:val="both"/>
        <w:rPr>
          <w:rFonts w:ascii="Times New Roman" w:hAnsi="Times New Roman" w:cs="Times New Roman"/>
          <w:sz w:val="28"/>
          <w:szCs w:val="28"/>
        </w:rPr>
      </w:pPr>
    </w:p>
    <w:p w14:paraId="636B87C1" w14:textId="77777777" w:rsidR="00B3403A" w:rsidRPr="00383122" w:rsidRDefault="00B3403A" w:rsidP="00484F9B">
      <w:pPr>
        <w:spacing w:after="0" w:line="360" w:lineRule="auto"/>
        <w:ind w:left="680" w:right="340"/>
        <w:jc w:val="both"/>
        <w:rPr>
          <w:rFonts w:ascii="Times New Roman" w:hAnsi="Times New Roman" w:cs="Times New Roman"/>
          <w:color w:val="000000" w:themeColor="text1"/>
          <w:sz w:val="28"/>
          <w:szCs w:val="28"/>
        </w:rPr>
      </w:pPr>
    </w:p>
    <w:p w14:paraId="2F43D034" w14:textId="77777777" w:rsidR="00F24444" w:rsidRPr="00383122" w:rsidRDefault="00F24444" w:rsidP="00484F9B">
      <w:pPr>
        <w:tabs>
          <w:tab w:val="left" w:pos="6361"/>
        </w:tabs>
        <w:spacing w:after="0" w:line="360" w:lineRule="auto"/>
        <w:ind w:left="680" w:right="340"/>
        <w:jc w:val="both"/>
        <w:rPr>
          <w:rFonts w:ascii="Times New Roman" w:hAnsi="Times New Roman" w:cs="Times New Roman"/>
          <w:color w:val="000000" w:themeColor="text1"/>
          <w:sz w:val="28"/>
          <w:szCs w:val="28"/>
        </w:rPr>
      </w:pPr>
    </w:p>
    <w:p w14:paraId="5797339B" w14:textId="77777777" w:rsidR="003A4808" w:rsidRPr="00383122" w:rsidRDefault="003A4808" w:rsidP="00484F9B">
      <w:pPr>
        <w:spacing w:after="0" w:line="360" w:lineRule="auto"/>
        <w:ind w:left="680" w:right="340"/>
        <w:jc w:val="both"/>
        <w:rPr>
          <w:rFonts w:ascii="Times New Roman" w:hAnsi="Times New Roman" w:cs="Times New Roman"/>
          <w:color w:val="000000" w:themeColor="text1"/>
          <w:sz w:val="28"/>
          <w:szCs w:val="28"/>
        </w:rPr>
      </w:pPr>
    </w:p>
    <w:sectPr w:rsidR="003A4808" w:rsidRPr="00383122">
      <w:footerReference w:type="default" r:id="rId7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C69DE" w14:textId="77777777" w:rsidR="007E4F5A" w:rsidRDefault="007E4F5A" w:rsidP="00F24444">
      <w:pPr>
        <w:spacing w:after="0" w:line="240" w:lineRule="auto"/>
      </w:pPr>
      <w:r>
        <w:separator/>
      </w:r>
    </w:p>
  </w:endnote>
  <w:endnote w:type="continuationSeparator" w:id="0">
    <w:p w14:paraId="7BDD3C52" w14:textId="77777777" w:rsidR="007E4F5A" w:rsidRDefault="007E4F5A" w:rsidP="00F2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386572"/>
      <w:docPartObj>
        <w:docPartGallery w:val="Page Numbers (Bottom of Page)"/>
        <w:docPartUnique/>
      </w:docPartObj>
    </w:sdtPr>
    <w:sdtEndPr/>
    <w:sdtContent>
      <w:p w14:paraId="24CEE738" w14:textId="09AC172D" w:rsidR="00F202D0" w:rsidRDefault="00F202D0">
        <w:pPr>
          <w:pStyle w:val="Pidipagina"/>
          <w:jc w:val="center"/>
        </w:pPr>
        <w:r>
          <w:fldChar w:fldCharType="begin"/>
        </w:r>
        <w:r>
          <w:instrText>PAGE   \* MERGEFORMAT</w:instrText>
        </w:r>
        <w:r>
          <w:fldChar w:fldCharType="separate"/>
        </w:r>
        <w:r w:rsidR="0024328D">
          <w:rPr>
            <w:noProof/>
          </w:rPr>
          <w:t>2</w:t>
        </w:r>
        <w:r>
          <w:fldChar w:fldCharType="end"/>
        </w:r>
      </w:p>
    </w:sdtContent>
  </w:sdt>
  <w:p w14:paraId="3089248A" w14:textId="77777777" w:rsidR="00F202D0" w:rsidRDefault="00F202D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60D50" w14:textId="77777777" w:rsidR="007E4F5A" w:rsidRDefault="007E4F5A" w:rsidP="00F24444">
      <w:pPr>
        <w:spacing w:after="0" w:line="240" w:lineRule="auto"/>
      </w:pPr>
      <w:r>
        <w:separator/>
      </w:r>
    </w:p>
  </w:footnote>
  <w:footnote w:type="continuationSeparator" w:id="0">
    <w:p w14:paraId="4D66E76F" w14:textId="77777777" w:rsidR="007E4F5A" w:rsidRDefault="007E4F5A" w:rsidP="00F24444">
      <w:pPr>
        <w:spacing w:after="0" w:line="240" w:lineRule="auto"/>
      </w:pPr>
      <w:r>
        <w:continuationSeparator/>
      </w:r>
    </w:p>
  </w:footnote>
  <w:footnote w:id="1">
    <w:p w14:paraId="4A4954F2" w14:textId="77777777" w:rsidR="00F202D0" w:rsidRPr="00452E48" w:rsidRDefault="00F202D0">
      <w:pPr>
        <w:pStyle w:val="Testonotaapidipagina"/>
        <w:rPr>
          <w:rFonts w:ascii="Times New Roman" w:hAnsi="Times New Roman" w:cs="Times New Roman"/>
          <w:sz w:val="24"/>
          <w:szCs w:val="24"/>
        </w:rPr>
      </w:pPr>
      <w:r>
        <w:rPr>
          <w:rStyle w:val="Rimandonotaapidipagina"/>
        </w:rPr>
        <w:footnoteRef/>
      </w:r>
      <w:r>
        <w:t xml:space="preserve"> </w:t>
      </w:r>
      <w:r w:rsidRPr="00452E48">
        <w:rPr>
          <w:rFonts w:ascii="Times New Roman" w:hAnsi="Times New Roman" w:cs="Times New Roman"/>
          <w:sz w:val="24"/>
          <w:szCs w:val="24"/>
        </w:rPr>
        <w:t xml:space="preserve">P. Grossi, </w:t>
      </w:r>
      <w:r w:rsidRPr="00452E48">
        <w:rPr>
          <w:rFonts w:ascii="Times New Roman" w:hAnsi="Times New Roman" w:cs="Times New Roman"/>
          <w:i/>
          <w:sz w:val="24"/>
          <w:szCs w:val="24"/>
        </w:rPr>
        <w:t>Diritto canonico e cultura giuridica</w:t>
      </w:r>
      <w:r w:rsidRPr="00452E48">
        <w:rPr>
          <w:rFonts w:ascii="Times New Roman" w:hAnsi="Times New Roman" w:cs="Times New Roman"/>
          <w:sz w:val="24"/>
          <w:szCs w:val="24"/>
        </w:rPr>
        <w:t xml:space="preserve">, in </w:t>
      </w:r>
      <w:r w:rsidRPr="00452E48">
        <w:rPr>
          <w:rFonts w:ascii="Times New Roman" w:hAnsi="Times New Roman" w:cs="Times New Roman"/>
          <w:i/>
          <w:sz w:val="24"/>
          <w:szCs w:val="24"/>
        </w:rPr>
        <w:t>Quaderni fiorentini</w:t>
      </w:r>
      <w:r w:rsidRPr="00452E48">
        <w:rPr>
          <w:rFonts w:ascii="Times New Roman" w:hAnsi="Times New Roman" w:cs="Times New Roman"/>
          <w:sz w:val="24"/>
          <w:szCs w:val="24"/>
        </w:rPr>
        <w:t>, 32, 2003, p. 377.</w:t>
      </w:r>
    </w:p>
  </w:footnote>
  <w:footnote w:id="2">
    <w:p w14:paraId="7A4CAE30" w14:textId="77777777" w:rsidR="00F202D0" w:rsidRPr="00E43232" w:rsidRDefault="00F202D0">
      <w:pPr>
        <w:pStyle w:val="Testonotaapidipagina"/>
        <w:rPr>
          <w:rFonts w:ascii="Times New Roman" w:hAnsi="Times New Roman" w:cs="Times New Roman"/>
          <w:sz w:val="24"/>
          <w:szCs w:val="24"/>
        </w:rPr>
      </w:pPr>
      <w:r>
        <w:rPr>
          <w:rStyle w:val="Rimandonotaapidipagina"/>
        </w:rPr>
        <w:footnoteRef/>
      </w:r>
      <w:r>
        <w:t xml:space="preserve"> </w:t>
      </w:r>
      <w:r w:rsidRPr="00E43232">
        <w:rPr>
          <w:rFonts w:ascii="Times New Roman" w:hAnsi="Times New Roman" w:cs="Times New Roman"/>
          <w:sz w:val="24"/>
          <w:szCs w:val="24"/>
        </w:rPr>
        <w:t xml:space="preserve">A.M. Ippolito, </w:t>
      </w:r>
      <w:r w:rsidRPr="00E43232">
        <w:rPr>
          <w:rFonts w:ascii="Times New Roman" w:hAnsi="Times New Roman" w:cs="Times New Roman"/>
          <w:i/>
          <w:sz w:val="24"/>
          <w:szCs w:val="24"/>
        </w:rPr>
        <w:t>Missioni cristiane</w:t>
      </w:r>
      <w:r w:rsidRPr="00E43232">
        <w:rPr>
          <w:rFonts w:ascii="Times New Roman" w:hAnsi="Times New Roman" w:cs="Times New Roman"/>
          <w:sz w:val="24"/>
          <w:szCs w:val="24"/>
        </w:rPr>
        <w:t xml:space="preserve">, in </w:t>
      </w:r>
      <w:r w:rsidRPr="00E43232">
        <w:rPr>
          <w:rFonts w:ascii="Times New Roman" w:hAnsi="Times New Roman" w:cs="Times New Roman"/>
          <w:i/>
          <w:sz w:val="24"/>
          <w:szCs w:val="24"/>
        </w:rPr>
        <w:t>Enciclopedia italiana</w:t>
      </w:r>
      <w:r w:rsidRPr="00E43232">
        <w:rPr>
          <w:rFonts w:ascii="Times New Roman" w:hAnsi="Times New Roman" w:cs="Times New Roman"/>
          <w:sz w:val="24"/>
          <w:szCs w:val="24"/>
        </w:rPr>
        <w:t xml:space="preserve">, Roma 2006, cit., </w:t>
      </w:r>
      <w:r w:rsidRPr="00E43232">
        <w:rPr>
          <w:rFonts w:ascii="Times New Roman" w:hAnsi="Times New Roman" w:cs="Times New Roman"/>
          <w:i/>
          <w:sz w:val="24"/>
          <w:szCs w:val="24"/>
        </w:rPr>
        <w:t>passim</w:t>
      </w:r>
      <w:r w:rsidRPr="00E43232">
        <w:rPr>
          <w:rFonts w:ascii="Times New Roman" w:hAnsi="Times New Roman" w:cs="Times New Roman"/>
          <w:sz w:val="24"/>
          <w:szCs w:val="24"/>
        </w:rPr>
        <w:t>.</w:t>
      </w:r>
    </w:p>
  </w:footnote>
  <w:footnote w:id="3">
    <w:p w14:paraId="6AC36551" w14:textId="77777777" w:rsidR="00F202D0" w:rsidRPr="00F41CF4" w:rsidRDefault="00F202D0">
      <w:pPr>
        <w:pStyle w:val="Testonotaapidipagina"/>
        <w:rPr>
          <w:rFonts w:ascii="Times New Roman" w:hAnsi="Times New Roman" w:cs="Times New Roman"/>
          <w:sz w:val="24"/>
          <w:szCs w:val="24"/>
        </w:rPr>
      </w:pPr>
      <w:r>
        <w:rPr>
          <w:rStyle w:val="Rimandonotaapidipagina"/>
        </w:rPr>
        <w:footnoteRef/>
      </w:r>
      <w:r>
        <w:t xml:space="preserve"> </w:t>
      </w:r>
      <w:r w:rsidRPr="00F41CF4">
        <w:rPr>
          <w:rFonts w:ascii="Times New Roman" w:hAnsi="Times New Roman" w:cs="Times New Roman"/>
          <w:sz w:val="24"/>
          <w:szCs w:val="24"/>
        </w:rPr>
        <w:t>C.</w:t>
      </w:r>
      <w:r>
        <w:rPr>
          <w:rFonts w:ascii="Times New Roman" w:hAnsi="Times New Roman" w:cs="Times New Roman"/>
          <w:sz w:val="24"/>
          <w:szCs w:val="24"/>
        </w:rPr>
        <w:t xml:space="preserve"> </w:t>
      </w:r>
      <w:r w:rsidRPr="00F41CF4">
        <w:rPr>
          <w:rFonts w:ascii="Times New Roman" w:hAnsi="Times New Roman" w:cs="Times New Roman"/>
          <w:sz w:val="24"/>
          <w:szCs w:val="24"/>
        </w:rPr>
        <w:t xml:space="preserve">Fantappiè, </w:t>
      </w:r>
      <w:r w:rsidRPr="00F41CF4">
        <w:rPr>
          <w:rFonts w:ascii="Times New Roman" w:hAnsi="Times New Roman" w:cs="Times New Roman"/>
          <w:i/>
          <w:sz w:val="24"/>
          <w:szCs w:val="24"/>
        </w:rPr>
        <w:t>Per un cambio di paradigma</w:t>
      </w:r>
      <w:r>
        <w:rPr>
          <w:rFonts w:ascii="Times New Roman" w:hAnsi="Times New Roman" w:cs="Times New Roman"/>
          <w:i/>
          <w:sz w:val="24"/>
          <w:szCs w:val="24"/>
        </w:rPr>
        <w:t>: Diritto canonico, teologia e riforme nella Chiesa</w:t>
      </w:r>
      <w:r w:rsidRPr="00F41CF4">
        <w:rPr>
          <w:rFonts w:ascii="Times New Roman" w:hAnsi="Times New Roman" w:cs="Times New Roman"/>
          <w:sz w:val="24"/>
          <w:szCs w:val="24"/>
        </w:rPr>
        <w:t>, Bologna, 2019, p. 27.</w:t>
      </w:r>
    </w:p>
  </w:footnote>
  <w:footnote w:id="4">
    <w:p w14:paraId="6512B442" w14:textId="77777777" w:rsidR="00F202D0" w:rsidRDefault="00F202D0">
      <w:pPr>
        <w:pStyle w:val="Testonotaapidipagina"/>
      </w:pPr>
      <w:r>
        <w:rPr>
          <w:rStyle w:val="Rimandonotaapidipagina"/>
        </w:rPr>
        <w:footnoteRef/>
      </w:r>
      <w:r>
        <w:t xml:space="preserve"> </w:t>
      </w:r>
      <w:r w:rsidRPr="00F41CF4">
        <w:rPr>
          <w:rFonts w:ascii="Times New Roman" w:hAnsi="Times New Roman" w:cs="Times New Roman"/>
          <w:i/>
          <w:sz w:val="24"/>
          <w:szCs w:val="24"/>
        </w:rPr>
        <w:t>Ibidem.</w:t>
      </w:r>
    </w:p>
  </w:footnote>
  <w:footnote w:id="5">
    <w:p w14:paraId="199A2E08"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Lexicon totius latinatis</w:t>
      </w:r>
      <w:r w:rsidRPr="00F64FF8">
        <w:rPr>
          <w:rFonts w:ascii="Times New Roman" w:hAnsi="Times New Roman" w:cs="Times New Roman"/>
          <w:sz w:val="24"/>
          <w:szCs w:val="24"/>
        </w:rPr>
        <w:t xml:space="preserve">, tomo III, s.v. </w:t>
      </w:r>
      <w:r w:rsidRPr="00F64FF8">
        <w:rPr>
          <w:rFonts w:ascii="Times New Roman" w:hAnsi="Times New Roman" w:cs="Times New Roman"/>
          <w:i/>
          <w:sz w:val="24"/>
          <w:szCs w:val="24"/>
        </w:rPr>
        <w:t>Missio</w:t>
      </w:r>
      <w:r w:rsidRPr="00F64FF8">
        <w:rPr>
          <w:rFonts w:ascii="Times New Roman" w:hAnsi="Times New Roman" w:cs="Times New Roman"/>
          <w:sz w:val="24"/>
          <w:szCs w:val="24"/>
        </w:rPr>
        <w:t>, Patavii 1871, rist 1940.</w:t>
      </w:r>
    </w:p>
  </w:footnote>
  <w:footnote w:id="6">
    <w:p w14:paraId="4AE4AB84" w14:textId="77777777" w:rsidR="00F202D0" w:rsidRPr="00196FD4" w:rsidRDefault="00F202D0" w:rsidP="00383122">
      <w:pPr>
        <w:pStyle w:val="Testonotaapidipagina"/>
        <w:spacing w:line="360" w:lineRule="auto"/>
        <w:jc w:val="both"/>
        <w:rPr>
          <w:sz w:val="24"/>
          <w:szCs w:val="24"/>
        </w:rPr>
      </w:pPr>
      <w:r w:rsidRPr="00F64FF8">
        <w:rPr>
          <w:rStyle w:val="Rimandonotaapidipagina"/>
          <w:sz w:val="24"/>
          <w:szCs w:val="24"/>
        </w:rPr>
        <w:footnoteRef/>
      </w:r>
      <w:r w:rsidRPr="00196FD4">
        <w:rPr>
          <w:sz w:val="24"/>
          <w:szCs w:val="24"/>
        </w:rPr>
        <w:t xml:space="preserve"> </w:t>
      </w:r>
      <w:r w:rsidRPr="00196FD4">
        <w:rPr>
          <w:rFonts w:ascii="Times New Roman" w:hAnsi="Times New Roman" w:cs="Times New Roman"/>
          <w:sz w:val="24"/>
          <w:szCs w:val="24"/>
        </w:rPr>
        <w:t>Gv 10,36, Lc 4,18</w:t>
      </w:r>
      <w:r w:rsidRPr="00196FD4">
        <w:rPr>
          <w:sz w:val="24"/>
          <w:szCs w:val="24"/>
        </w:rPr>
        <w:t>.</w:t>
      </w:r>
    </w:p>
  </w:footnote>
  <w:footnote w:id="7">
    <w:p w14:paraId="4194D326" w14:textId="77777777" w:rsidR="00F202D0" w:rsidRPr="00196FD4" w:rsidRDefault="00F202D0">
      <w:pPr>
        <w:pStyle w:val="Testonotaapidipagina"/>
        <w:rPr>
          <w:sz w:val="24"/>
          <w:szCs w:val="24"/>
        </w:rPr>
      </w:pPr>
      <w:r w:rsidRPr="00F64FF8">
        <w:rPr>
          <w:rStyle w:val="Rimandonotaapidipagina"/>
          <w:sz w:val="24"/>
          <w:szCs w:val="24"/>
        </w:rPr>
        <w:footnoteRef/>
      </w:r>
      <w:r w:rsidRPr="00196FD4">
        <w:rPr>
          <w:sz w:val="24"/>
          <w:szCs w:val="24"/>
        </w:rPr>
        <w:t xml:space="preserve"> </w:t>
      </w:r>
      <w:r w:rsidRPr="00196FD4">
        <w:rPr>
          <w:rFonts w:ascii="Times New Roman" w:hAnsi="Times New Roman" w:cs="Times New Roman"/>
          <w:sz w:val="24"/>
          <w:szCs w:val="24"/>
        </w:rPr>
        <w:t>Gv 20,21; cf 17,18.</w:t>
      </w:r>
    </w:p>
  </w:footnote>
  <w:footnote w:id="8">
    <w:p w14:paraId="05753DBD" w14:textId="77777777" w:rsidR="00F202D0" w:rsidRPr="00A363A6" w:rsidRDefault="00F202D0" w:rsidP="00383122">
      <w:pPr>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Juan E. Bifet</w:t>
      </w:r>
      <w:r w:rsidRPr="00F64FF8">
        <w:rPr>
          <w:sz w:val="24"/>
          <w:szCs w:val="24"/>
        </w:rPr>
        <w:t xml:space="preserve">, </w:t>
      </w:r>
      <w:r w:rsidRPr="00F64FF8">
        <w:rPr>
          <w:rFonts w:ascii="Times New Roman" w:hAnsi="Times New Roman" w:cs="Times New Roman"/>
          <w:i/>
          <w:sz w:val="24"/>
          <w:szCs w:val="24"/>
        </w:rPr>
        <w:t>Missione</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Dizionario di evangelizzazione</w:t>
      </w:r>
      <w:r w:rsidRPr="00F64FF8">
        <w:rPr>
          <w:rFonts w:ascii="Times New Roman" w:hAnsi="Times New Roman" w:cs="Times New Roman"/>
          <w:sz w:val="24"/>
          <w:szCs w:val="24"/>
        </w:rPr>
        <w:t>, Napoli, 2005, p</w:t>
      </w:r>
      <w:r>
        <w:rPr>
          <w:rFonts w:ascii="Times New Roman" w:hAnsi="Times New Roman" w:cs="Times New Roman"/>
          <w:sz w:val="24"/>
          <w:szCs w:val="24"/>
        </w:rPr>
        <w:t>.</w:t>
      </w:r>
      <w:r w:rsidRPr="00F64FF8">
        <w:rPr>
          <w:rFonts w:ascii="Times New Roman" w:hAnsi="Times New Roman" w:cs="Times New Roman"/>
          <w:sz w:val="24"/>
          <w:szCs w:val="24"/>
        </w:rPr>
        <w:t xml:space="preserve"> 548.</w:t>
      </w:r>
    </w:p>
  </w:footnote>
  <w:footnote w:id="9">
    <w:p w14:paraId="7DCE2278" w14:textId="77777777" w:rsidR="00F202D0" w:rsidRPr="00F64FF8" w:rsidRDefault="00F202D0">
      <w:pPr>
        <w:pStyle w:val="Testonotaapidipagina"/>
        <w:rPr>
          <w:i/>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Maria Teresa Dolso, </w:t>
      </w:r>
      <w:r w:rsidRPr="00F64FF8">
        <w:rPr>
          <w:rFonts w:ascii="Times New Roman" w:hAnsi="Times New Roman" w:cs="Times New Roman"/>
          <w:i/>
          <w:sz w:val="24"/>
          <w:szCs w:val="24"/>
        </w:rPr>
        <w:t>L’impatto degli ordini mendicanti nella storia del basso medioevo</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Quaderni di storia religiosa medievale,</w:t>
      </w:r>
      <w:r w:rsidRPr="00F64FF8">
        <w:rPr>
          <w:rFonts w:ascii="Times New Roman" w:hAnsi="Times New Roman" w:cs="Times New Roman"/>
          <w:sz w:val="24"/>
          <w:szCs w:val="24"/>
        </w:rPr>
        <w:t xml:space="preserve"> Fascicolo 2, luglio-dicembre 2019, p</w:t>
      </w:r>
      <w:r>
        <w:rPr>
          <w:rFonts w:ascii="Times New Roman" w:hAnsi="Times New Roman" w:cs="Times New Roman"/>
          <w:sz w:val="24"/>
          <w:szCs w:val="24"/>
        </w:rPr>
        <w:t>.</w:t>
      </w:r>
      <w:r w:rsidRPr="00F64FF8">
        <w:rPr>
          <w:rFonts w:ascii="Times New Roman" w:hAnsi="Times New Roman" w:cs="Times New Roman"/>
          <w:sz w:val="24"/>
          <w:szCs w:val="24"/>
        </w:rPr>
        <w:t xml:space="preserve"> 1.</w:t>
      </w:r>
    </w:p>
  </w:footnote>
  <w:footnote w:id="10">
    <w:p w14:paraId="680D593E"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 G. Castellani, </w:t>
      </w:r>
      <w:r w:rsidRPr="00F64FF8">
        <w:rPr>
          <w:rFonts w:ascii="Times New Roman" w:hAnsi="Times New Roman" w:cs="Times New Roman"/>
          <w:i/>
          <w:sz w:val="24"/>
          <w:szCs w:val="24"/>
        </w:rPr>
        <w:t>Compagnia di Gesù</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Enciclopedia italiana</w:t>
      </w:r>
      <w:r w:rsidRPr="00F64FF8">
        <w:rPr>
          <w:rFonts w:ascii="Times New Roman" w:hAnsi="Times New Roman" w:cs="Times New Roman"/>
          <w:sz w:val="24"/>
          <w:szCs w:val="24"/>
        </w:rPr>
        <w:t xml:space="preserve">, 1931, cit </w:t>
      </w:r>
      <w:r w:rsidRPr="00F64FF8">
        <w:rPr>
          <w:rFonts w:ascii="Times New Roman" w:hAnsi="Times New Roman" w:cs="Times New Roman"/>
          <w:i/>
          <w:sz w:val="24"/>
          <w:szCs w:val="24"/>
        </w:rPr>
        <w:t>passim.</w:t>
      </w:r>
    </w:p>
  </w:footnote>
  <w:footnote w:id="11">
    <w:p w14:paraId="63257EE8"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A. Boscaro, </w:t>
      </w:r>
      <w:r w:rsidRPr="00F64FF8">
        <w:rPr>
          <w:rFonts w:ascii="Times New Roman" w:hAnsi="Times New Roman" w:cs="Times New Roman"/>
          <w:i/>
          <w:sz w:val="24"/>
          <w:szCs w:val="24"/>
        </w:rPr>
        <w:t xml:space="preserve">Ventura e sventura dei gesuiti in </w:t>
      </w:r>
      <w:r>
        <w:rPr>
          <w:rFonts w:ascii="Times New Roman" w:hAnsi="Times New Roman" w:cs="Times New Roman"/>
          <w:i/>
          <w:sz w:val="24"/>
          <w:szCs w:val="24"/>
        </w:rPr>
        <w:t>G</w:t>
      </w:r>
      <w:r w:rsidRPr="00F64FF8">
        <w:rPr>
          <w:rFonts w:ascii="Times New Roman" w:hAnsi="Times New Roman" w:cs="Times New Roman"/>
          <w:i/>
          <w:sz w:val="24"/>
          <w:szCs w:val="24"/>
        </w:rPr>
        <w:t>iappone</w:t>
      </w:r>
      <w:r>
        <w:rPr>
          <w:rFonts w:ascii="Times New Roman" w:hAnsi="Times New Roman" w:cs="Times New Roman"/>
          <w:sz w:val="24"/>
          <w:szCs w:val="24"/>
        </w:rPr>
        <w:t xml:space="preserve"> (1549-1639), </w:t>
      </w:r>
      <w:r w:rsidRPr="00F64FF8">
        <w:rPr>
          <w:rFonts w:ascii="Times New Roman" w:hAnsi="Times New Roman" w:cs="Times New Roman"/>
          <w:sz w:val="24"/>
          <w:szCs w:val="24"/>
        </w:rPr>
        <w:t xml:space="preserve">Venezia, 2008, </w:t>
      </w:r>
      <w:r>
        <w:rPr>
          <w:rFonts w:ascii="Times New Roman" w:hAnsi="Times New Roman" w:cs="Times New Roman"/>
          <w:sz w:val="24"/>
          <w:szCs w:val="24"/>
        </w:rPr>
        <w:t>p</w:t>
      </w:r>
      <w:r w:rsidRPr="00F64FF8">
        <w:rPr>
          <w:rFonts w:ascii="Times New Roman" w:hAnsi="Times New Roman" w:cs="Times New Roman"/>
          <w:sz w:val="24"/>
          <w:szCs w:val="24"/>
        </w:rPr>
        <w:t>p</w:t>
      </w:r>
      <w:r>
        <w:rPr>
          <w:rFonts w:ascii="Times New Roman" w:hAnsi="Times New Roman" w:cs="Times New Roman"/>
          <w:sz w:val="24"/>
          <w:szCs w:val="24"/>
        </w:rPr>
        <w:t>.</w:t>
      </w:r>
      <w:r w:rsidRPr="00F64FF8">
        <w:rPr>
          <w:rFonts w:ascii="Times New Roman" w:hAnsi="Times New Roman" w:cs="Times New Roman"/>
          <w:sz w:val="24"/>
          <w:szCs w:val="24"/>
        </w:rPr>
        <w:t xml:space="preserve"> 44-45.</w:t>
      </w:r>
    </w:p>
    <w:p w14:paraId="30826CE3" w14:textId="77777777" w:rsidR="00F202D0" w:rsidRPr="00F64FF8" w:rsidRDefault="00F202D0">
      <w:pPr>
        <w:pStyle w:val="Testonotaapidipagina"/>
        <w:rPr>
          <w:rFonts w:ascii="Times New Roman" w:hAnsi="Times New Roman" w:cs="Times New Roman"/>
          <w:sz w:val="24"/>
          <w:szCs w:val="24"/>
        </w:rPr>
      </w:pPr>
      <w:r w:rsidRPr="00F64FF8">
        <w:rPr>
          <w:rFonts w:ascii="Times New Roman" w:hAnsi="Times New Roman" w:cs="Times New Roman"/>
          <w:sz w:val="24"/>
          <w:szCs w:val="24"/>
        </w:rPr>
        <w:t>Questo perché i giapponesi non comprendevano le motivazioni che spingessero gli europei a lasciare un territorio così ricco e fiorente, alla volta di un viaggio così lungo e pericoloso.</w:t>
      </w:r>
    </w:p>
  </w:footnote>
  <w:footnote w:id="12">
    <w:p w14:paraId="16981BCE"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S. Pavone, </w:t>
      </w:r>
      <w:r w:rsidRPr="00F64FF8">
        <w:rPr>
          <w:rFonts w:ascii="Times New Roman" w:hAnsi="Times New Roman" w:cs="Times New Roman"/>
          <w:i/>
          <w:sz w:val="24"/>
          <w:szCs w:val="24"/>
        </w:rPr>
        <w:t>I gesuiti dalle origini alla soppressione</w:t>
      </w:r>
      <w:r w:rsidRPr="00F64FF8">
        <w:rPr>
          <w:rFonts w:ascii="Times New Roman" w:hAnsi="Times New Roman" w:cs="Times New Roman"/>
          <w:sz w:val="24"/>
          <w:szCs w:val="24"/>
        </w:rPr>
        <w:t>, Bari, Laterza, 2004, p</w:t>
      </w:r>
      <w:r>
        <w:rPr>
          <w:rFonts w:ascii="Times New Roman" w:hAnsi="Times New Roman" w:cs="Times New Roman"/>
          <w:sz w:val="24"/>
          <w:szCs w:val="24"/>
        </w:rPr>
        <w:t>.</w:t>
      </w:r>
      <w:r w:rsidRPr="00F64FF8">
        <w:rPr>
          <w:rFonts w:ascii="Times New Roman" w:hAnsi="Times New Roman" w:cs="Times New Roman"/>
          <w:sz w:val="24"/>
          <w:szCs w:val="24"/>
        </w:rPr>
        <w:t xml:space="preserve"> 67.</w:t>
      </w:r>
    </w:p>
  </w:footnote>
  <w:footnote w:id="13">
    <w:p w14:paraId="646F716B"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B. Mondin, </w:t>
      </w:r>
      <w:r w:rsidRPr="00F64FF8">
        <w:rPr>
          <w:rFonts w:ascii="Times New Roman" w:hAnsi="Times New Roman" w:cs="Times New Roman"/>
          <w:i/>
          <w:sz w:val="24"/>
          <w:szCs w:val="24"/>
        </w:rPr>
        <w:t>Ad gentes</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Dizionario storico e teologico delle missioni</w:t>
      </w:r>
      <w:r w:rsidRPr="00F64FF8">
        <w:rPr>
          <w:rFonts w:ascii="Times New Roman" w:hAnsi="Times New Roman" w:cs="Times New Roman"/>
          <w:sz w:val="24"/>
          <w:szCs w:val="24"/>
        </w:rPr>
        <w:t xml:space="preserve">, Città Vaticano, 2001, </w:t>
      </w:r>
      <w:r>
        <w:rPr>
          <w:rFonts w:ascii="Times New Roman" w:hAnsi="Times New Roman" w:cs="Times New Roman"/>
          <w:sz w:val="24"/>
          <w:szCs w:val="24"/>
        </w:rPr>
        <w:t>p</w:t>
      </w:r>
      <w:r w:rsidRPr="00F64FF8">
        <w:rPr>
          <w:rFonts w:ascii="Times New Roman" w:hAnsi="Times New Roman" w:cs="Times New Roman"/>
          <w:sz w:val="24"/>
          <w:szCs w:val="24"/>
        </w:rPr>
        <w:t>p</w:t>
      </w:r>
      <w:r>
        <w:rPr>
          <w:rFonts w:ascii="Times New Roman" w:hAnsi="Times New Roman" w:cs="Times New Roman"/>
          <w:sz w:val="24"/>
          <w:szCs w:val="24"/>
        </w:rPr>
        <w:t>.</w:t>
      </w:r>
      <w:r w:rsidRPr="00F64FF8">
        <w:rPr>
          <w:rFonts w:ascii="Times New Roman" w:hAnsi="Times New Roman" w:cs="Times New Roman"/>
          <w:sz w:val="24"/>
          <w:szCs w:val="24"/>
        </w:rPr>
        <w:t xml:space="preserve"> 26-27.</w:t>
      </w:r>
    </w:p>
  </w:footnote>
  <w:footnote w:id="14">
    <w:p w14:paraId="225F0FEE"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J. Metzler, </w:t>
      </w:r>
      <w:r w:rsidRPr="00F64FF8">
        <w:rPr>
          <w:rFonts w:ascii="Times New Roman" w:hAnsi="Times New Roman" w:cs="Times New Roman"/>
          <w:i/>
          <w:sz w:val="24"/>
          <w:szCs w:val="24"/>
        </w:rPr>
        <w:t>La Santa sede e le missioni. La politica missionaria della Chiesa nei secoli XIX e XX</w:t>
      </w:r>
      <w:r w:rsidRPr="00F64FF8">
        <w:rPr>
          <w:rFonts w:ascii="Times New Roman" w:hAnsi="Times New Roman" w:cs="Times New Roman"/>
          <w:sz w:val="24"/>
          <w:szCs w:val="24"/>
        </w:rPr>
        <w:t>, San Paolo, Milano, 2002, p</w:t>
      </w:r>
      <w:r>
        <w:rPr>
          <w:rFonts w:ascii="Times New Roman" w:hAnsi="Times New Roman" w:cs="Times New Roman"/>
          <w:sz w:val="24"/>
          <w:szCs w:val="24"/>
        </w:rPr>
        <w:t>.</w:t>
      </w:r>
      <w:r w:rsidRPr="00F64FF8">
        <w:rPr>
          <w:rFonts w:ascii="Times New Roman" w:hAnsi="Times New Roman" w:cs="Times New Roman"/>
          <w:sz w:val="24"/>
          <w:szCs w:val="24"/>
        </w:rPr>
        <w:t xml:space="preserve"> 22.</w:t>
      </w:r>
    </w:p>
  </w:footnote>
  <w:footnote w:id="15">
    <w:p w14:paraId="33F2F32E" w14:textId="77777777" w:rsidR="00F202D0" w:rsidRPr="00F64FF8" w:rsidRDefault="00F202D0">
      <w:pPr>
        <w:pStyle w:val="Testonotaapidipagina"/>
        <w:rPr>
          <w:rFonts w:ascii="Times New Roman" w:hAnsi="Times New Roman" w:cs="Times New Roman"/>
          <w:i/>
          <w:sz w:val="24"/>
          <w:szCs w:val="24"/>
          <w:lang w:val="en-US"/>
        </w:rPr>
      </w:pPr>
      <w:r w:rsidRPr="00F64FF8">
        <w:rPr>
          <w:rStyle w:val="Rimandonotaapidipagina"/>
          <w:rFonts w:ascii="Times New Roman" w:hAnsi="Times New Roman" w:cs="Times New Roman"/>
          <w:i/>
          <w:sz w:val="24"/>
          <w:szCs w:val="24"/>
        </w:rPr>
        <w:footnoteRef/>
      </w:r>
      <w:r w:rsidRPr="00F64FF8">
        <w:rPr>
          <w:rFonts w:ascii="Times New Roman" w:hAnsi="Times New Roman" w:cs="Times New Roman"/>
          <w:i/>
          <w:sz w:val="24"/>
          <w:szCs w:val="24"/>
          <w:lang w:val="en-US"/>
        </w:rPr>
        <w:t xml:space="preserve"> Ibidem.</w:t>
      </w:r>
    </w:p>
  </w:footnote>
  <w:footnote w:id="16">
    <w:p w14:paraId="0A67FDC3" w14:textId="77777777" w:rsidR="00F202D0" w:rsidRPr="00F64FF8" w:rsidRDefault="00F202D0">
      <w:pPr>
        <w:pStyle w:val="Testonotaapidipagina"/>
        <w:rPr>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sz w:val="24"/>
          <w:szCs w:val="24"/>
          <w:lang w:val="en-US"/>
        </w:rPr>
        <w:t xml:space="preserve">Benedetto XV, </w:t>
      </w:r>
      <w:r w:rsidRPr="00F64FF8">
        <w:rPr>
          <w:rFonts w:ascii="Times New Roman" w:hAnsi="Times New Roman" w:cs="Times New Roman"/>
          <w:i/>
          <w:sz w:val="24"/>
          <w:szCs w:val="24"/>
          <w:lang w:val="en-US"/>
        </w:rPr>
        <w:t>Maximum Illud</w:t>
      </w:r>
      <w:r w:rsidRPr="00F64FF8">
        <w:rPr>
          <w:rFonts w:ascii="Times New Roman" w:hAnsi="Times New Roman" w:cs="Times New Roman"/>
          <w:sz w:val="24"/>
          <w:szCs w:val="24"/>
          <w:lang w:val="en-US"/>
        </w:rPr>
        <w:t>, 1919.</w:t>
      </w:r>
    </w:p>
  </w:footnote>
  <w:footnote w:id="17">
    <w:p w14:paraId="527ED158"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Ibidem</w:t>
      </w:r>
      <w:r w:rsidRPr="00F64FF8">
        <w:rPr>
          <w:rFonts w:ascii="Times New Roman" w:hAnsi="Times New Roman" w:cs="Times New Roman"/>
          <w:sz w:val="24"/>
          <w:szCs w:val="24"/>
        </w:rPr>
        <w:t>.</w:t>
      </w:r>
    </w:p>
  </w:footnote>
  <w:footnote w:id="18">
    <w:p w14:paraId="6631FCF3"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G.</w:t>
      </w:r>
      <w:r>
        <w:rPr>
          <w:rFonts w:ascii="Times New Roman" w:hAnsi="Times New Roman" w:cs="Times New Roman"/>
          <w:sz w:val="24"/>
          <w:szCs w:val="24"/>
        </w:rPr>
        <w:t xml:space="preserve"> </w:t>
      </w:r>
      <w:r w:rsidRPr="00F64FF8">
        <w:rPr>
          <w:rFonts w:ascii="Times New Roman" w:hAnsi="Times New Roman" w:cs="Times New Roman"/>
          <w:sz w:val="24"/>
          <w:szCs w:val="24"/>
        </w:rPr>
        <w:t xml:space="preserve">Ferrari, </w:t>
      </w:r>
      <w:r w:rsidRPr="00F64FF8">
        <w:rPr>
          <w:rFonts w:ascii="Times New Roman" w:hAnsi="Times New Roman" w:cs="Times New Roman"/>
          <w:i/>
          <w:sz w:val="24"/>
          <w:szCs w:val="24"/>
        </w:rPr>
        <w:t>A cent’anni dalla “Maximum illud” di Benedetto XV</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Settimananews</w:t>
      </w:r>
      <w:r w:rsidRPr="00F64FF8">
        <w:rPr>
          <w:rFonts w:ascii="Times New Roman" w:hAnsi="Times New Roman" w:cs="Times New Roman"/>
          <w:sz w:val="24"/>
          <w:szCs w:val="24"/>
        </w:rPr>
        <w:t>, 3 dicembre 2019.</w:t>
      </w:r>
    </w:p>
  </w:footnote>
  <w:footnote w:id="19">
    <w:p w14:paraId="26C1EA45"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rFonts w:ascii="Times New Roman" w:hAnsi="Times New Roman" w:cs="Times New Roman"/>
          <w:sz w:val="24"/>
          <w:szCs w:val="24"/>
        </w:rPr>
        <w:t xml:space="preserve"> </w:t>
      </w:r>
      <w:r w:rsidRPr="00610643">
        <w:rPr>
          <w:rFonts w:ascii="Times New Roman" w:hAnsi="Times New Roman" w:cs="Times New Roman"/>
          <w:i/>
          <w:sz w:val="24"/>
          <w:szCs w:val="24"/>
        </w:rPr>
        <w:t>Codex iuris canonici</w:t>
      </w:r>
      <w:r w:rsidRPr="00F64FF8">
        <w:rPr>
          <w:rFonts w:ascii="Times New Roman" w:hAnsi="Times New Roman" w:cs="Times New Roman"/>
          <w:sz w:val="24"/>
          <w:szCs w:val="24"/>
        </w:rPr>
        <w:t xml:space="preserve"> 1917, can 1349.</w:t>
      </w:r>
    </w:p>
  </w:footnote>
  <w:footnote w:id="20">
    <w:p w14:paraId="7845136F"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Pr>
          <w:rFonts w:ascii="Times New Roman" w:hAnsi="Times New Roman" w:cs="Times New Roman"/>
          <w:sz w:val="24"/>
          <w:szCs w:val="24"/>
        </w:rPr>
        <w:t>S</w:t>
      </w:r>
      <w:r w:rsidRPr="00F64FF8">
        <w:rPr>
          <w:rFonts w:ascii="Times New Roman" w:hAnsi="Times New Roman" w:cs="Times New Roman"/>
          <w:sz w:val="24"/>
          <w:szCs w:val="24"/>
        </w:rPr>
        <w:t xml:space="preserve">.Paventi, </w:t>
      </w:r>
      <w:r w:rsidRPr="00F64FF8">
        <w:rPr>
          <w:rFonts w:ascii="Times New Roman" w:hAnsi="Times New Roman" w:cs="Times New Roman"/>
          <w:i/>
          <w:sz w:val="24"/>
          <w:szCs w:val="24"/>
        </w:rPr>
        <w:t>La Chiesa missionaria dottrinale. Manuale di missionologia</w:t>
      </w:r>
      <w:r w:rsidRPr="00F64FF8">
        <w:rPr>
          <w:rFonts w:ascii="Times New Roman" w:hAnsi="Times New Roman" w:cs="Times New Roman"/>
          <w:sz w:val="24"/>
          <w:szCs w:val="24"/>
        </w:rPr>
        <w:t>, Roma, 1949, p</w:t>
      </w:r>
      <w:r>
        <w:rPr>
          <w:rFonts w:ascii="Times New Roman" w:hAnsi="Times New Roman" w:cs="Times New Roman"/>
          <w:sz w:val="24"/>
          <w:szCs w:val="24"/>
        </w:rPr>
        <w:t>.</w:t>
      </w:r>
      <w:r w:rsidRPr="00F64FF8">
        <w:rPr>
          <w:rFonts w:ascii="Times New Roman" w:hAnsi="Times New Roman" w:cs="Times New Roman"/>
          <w:sz w:val="24"/>
          <w:szCs w:val="24"/>
        </w:rPr>
        <w:t xml:space="preserve"> 20.</w:t>
      </w:r>
    </w:p>
  </w:footnote>
  <w:footnote w:id="21">
    <w:p w14:paraId="0D077646" w14:textId="77777777" w:rsidR="00F202D0" w:rsidRPr="00F64FF8" w:rsidRDefault="00F202D0" w:rsidP="00383122">
      <w:pPr>
        <w:rPr>
          <w:sz w:val="24"/>
          <w:szCs w:val="24"/>
        </w:rPr>
      </w:pPr>
      <w:r w:rsidRPr="00F64FF8">
        <w:rPr>
          <w:rStyle w:val="Rimandonotaapidipagina"/>
          <w:rFonts w:ascii="Times New Roman" w:hAnsi="Times New Roman" w:cs="Times New Roman"/>
          <w:sz w:val="24"/>
          <w:szCs w:val="24"/>
        </w:rPr>
        <w:footnoteRef/>
      </w:r>
      <w:r>
        <w:rPr>
          <w:rFonts w:ascii="Times New Roman" w:hAnsi="Times New Roman" w:cs="Times New Roman"/>
          <w:sz w:val="24"/>
          <w:szCs w:val="24"/>
        </w:rPr>
        <w:t xml:space="preserve"> S</w:t>
      </w:r>
      <w:r w:rsidRPr="00F64FF8">
        <w:rPr>
          <w:rFonts w:ascii="Times New Roman" w:hAnsi="Times New Roman" w:cs="Times New Roman"/>
          <w:sz w:val="24"/>
          <w:szCs w:val="24"/>
        </w:rPr>
        <w:t xml:space="preserve">.Paventi, </w:t>
      </w:r>
      <w:r w:rsidRPr="00F64FF8">
        <w:rPr>
          <w:rFonts w:ascii="Times New Roman" w:hAnsi="Times New Roman" w:cs="Times New Roman"/>
          <w:i/>
          <w:color w:val="201F1E"/>
          <w:sz w:val="24"/>
          <w:szCs w:val="24"/>
          <w:shd w:val="clear" w:color="auto" w:fill="FFFFFF"/>
        </w:rPr>
        <w:t>Breviarium iuris missionalis</w:t>
      </w:r>
      <w:r w:rsidRPr="00F64FF8">
        <w:rPr>
          <w:rFonts w:ascii="Times New Roman" w:hAnsi="Times New Roman" w:cs="Times New Roman"/>
          <w:color w:val="201F1E"/>
          <w:sz w:val="24"/>
          <w:szCs w:val="24"/>
          <w:shd w:val="clear" w:color="auto" w:fill="FFFFFF"/>
        </w:rPr>
        <w:t>, Roma, 1960, p</w:t>
      </w:r>
      <w:r>
        <w:rPr>
          <w:rFonts w:ascii="Times New Roman" w:hAnsi="Times New Roman" w:cs="Times New Roman"/>
          <w:color w:val="201F1E"/>
          <w:sz w:val="24"/>
          <w:szCs w:val="24"/>
          <w:shd w:val="clear" w:color="auto" w:fill="FFFFFF"/>
        </w:rPr>
        <w:t>.</w:t>
      </w:r>
      <w:r w:rsidRPr="00F64FF8">
        <w:rPr>
          <w:rFonts w:ascii="Times New Roman" w:hAnsi="Times New Roman" w:cs="Times New Roman"/>
          <w:color w:val="201F1E"/>
          <w:sz w:val="24"/>
          <w:szCs w:val="24"/>
          <w:shd w:val="clear" w:color="auto" w:fill="FFFFFF"/>
        </w:rPr>
        <w:t xml:space="preserve"> 11.</w:t>
      </w:r>
    </w:p>
  </w:footnote>
  <w:footnote w:id="22">
    <w:p w14:paraId="72511319"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Pr>
          <w:rFonts w:ascii="Times New Roman" w:hAnsi="Times New Roman" w:cs="Times New Roman"/>
          <w:sz w:val="24"/>
          <w:szCs w:val="24"/>
        </w:rPr>
        <w:t>S</w:t>
      </w:r>
      <w:r w:rsidRPr="00F64FF8">
        <w:rPr>
          <w:rFonts w:ascii="Times New Roman" w:hAnsi="Times New Roman" w:cs="Times New Roman"/>
          <w:sz w:val="24"/>
          <w:szCs w:val="24"/>
        </w:rPr>
        <w:t>.</w:t>
      </w:r>
      <w:r>
        <w:rPr>
          <w:rFonts w:ascii="Times New Roman" w:hAnsi="Times New Roman" w:cs="Times New Roman"/>
          <w:sz w:val="24"/>
          <w:szCs w:val="24"/>
        </w:rPr>
        <w:t xml:space="preserve"> </w:t>
      </w:r>
      <w:r w:rsidRPr="00F64FF8">
        <w:rPr>
          <w:rFonts w:ascii="Times New Roman" w:hAnsi="Times New Roman" w:cs="Times New Roman"/>
          <w:sz w:val="24"/>
          <w:szCs w:val="24"/>
        </w:rPr>
        <w:t xml:space="preserve">Paventi, </w:t>
      </w:r>
      <w:r w:rsidRPr="00F64FF8">
        <w:rPr>
          <w:rFonts w:ascii="Times New Roman" w:hAnsi="Times New Roman" w:cs="Times New Roman"/>
          <w:i/>
          <w:sz w:val="24"/>
          <w:szCs w:val="24"/>
        </w:rPr>
        <w:t>La Chiesa missionaria dottrinale</w:t>
      </w:r>
      <w:r w:rsidRPr="00F64FF8">
        <w:rPr>
          <w:rFonts w:ascii="Times New Roman" w:hAnsi="Times New Roman" w:cs="Times New Roman"/>
          <w:sz w:val="24"/>
          <w:szCs w:val="24"/>
        </w:rPr>
        <w:t>,</w:t>
      </w:r>
      <w:r>
        <w:rPr>
          <w:rFonts w:ascii="Times New Roman" w:hAnsi="Times New Roman" w:cs="Times New Roman"/>
          <w:sz w:val="24"/>
          <w:szCs w:val="24"/>
        </w:rPr>
        <w:t xml:space="preserve"> </w:t>
      </w:r>
      <w:r w:rsidRPr="00F64FF8">
        <w:rPr>
          <w:rFonts w:ascii="Times New Roman" w:hAnsi="Times New Roman" w:cs="Times New Roman"/>
          <w:sz w:val="24"/>
          <w:szCs w:val="24"/>
        </w:rPr>
        <w:t>cit.,</w:t>
      </w:r>
      <w:r>
        <w:rPr>
          <w:rFonts w:ascii="Times New Roman" w:hAnsi="Times New Roman" w:cs="Times New Roman"/>
          <w:sz w:val="24"/>
          <w:szCs w:val="24"/>
        </w:rPr>
        <w:t xml:space="preserve"> </w:t>
      </w:r>
      <w:r w:rsidRPr="00F64FF8">
        <w:rPr>
          <w:rFonts w:ascii="Times New Roman" w:hAnsi="Times New Roman" w:cs="Times New Roman"/>
          <w:sz w:val="24"/>
          <w:szCs w:val="24"/>
        </w:rPr>
        <w:t>pp</w:t>
      </w:r>
      <w:r>
        <w:rPr>
          <w:rFonts w:ascii="Times New Roman" w:hAnsi="Times New Roman" w:cs="Times New Roman"/>
          <w:sz w:val="24"/>
          <w:szCs w:val="24"/>
        </w:rPr>
        <w:t>.</w:t>
      </w:r>
      <w:r w:rsidRPr="00F64FF8">
        <w:rPr>
          <w:rFonts w:ascii="Times New Roman" w:hAnsi="Times New Roman" w:cs="Times New Roman"/>
          <w:sz w:val="24"/>
          <w:szCs w:val="24"/>
        </w:rPr>
        <w:t xml:space="preserve"> 26-27.</w:t>
      </w:r>
    </w:p>
  </w:footnote>
  <w:footnote w:id="23">
    <w:p w14:paraId="2B56A4B6" w14:textId="77777777" w:rsidR="00F202D0" w:rsidRPr="00F64FF8" w:rsidRDefault="00F202D0">
      <w:pPr>
        <w:pStyle w:val="Testonotaapidipagina"/>
        <w:rPr>
          <w:rFonts w:ascii="Times New Roman" w:hAnsi="Times New Roman" w:cs="Times New Roman"/>
          <w:i/>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Ibidem.</w:t>
      </w:r>
    </w:p>
  </w:footnote>
  <w:footnote w:id="24">
    <w:p w14:paraId="35F9B30F" w14:textId="77777777" w:rsidR="00F202D0" w:rsidRPr="00F64FF8" w:rsidRDefault="00F202D0">
      <w:pPr>
        <w:pStyle w:val="Testonotaapidipagina"/>
        <w:rPr>
          <w:sz w:val="24"/>
          <w:szCs w:val="24"/>
        </w:rPr>
      </w:pPr>
      <w:r w:rsidRPr="00F64FF8">
        <w:rPr>
          <w:rStyle w:val="Rimandonotaapidipagina"/>
          <w:rFonts w:ascii="Times New Roman" w:hAnsi="Times New Roman" w:cs="Times New Roman"/>
          <w:i/>
          <w:sz w:val="24"/>
          <w:szCs w:val="24"/>
        </w:rPr>
        <w:footnoteRef/>
      </w:r>
      <w:r w:rsidRPr="00F64FF8">
        <w:rPr>
          <w:rFonts w:ascii="Times New Roman" w:hAnsi="Times New Roman" w:cs="Times New Roman"/>
          <w:i/>
          <w:sz w:val="24"/>
          <w:szCs w:val="24"/>
        </w:rPr>
        <w:t xml:space="preserve"> Ibidem.</w:t>
      </w:r>
    </w:p>
  </w:footnote>
  <w:footnote w:id="25">
    <w:p w14:paraId="4757113A" w14:textId="77777777" w:rsidR="00F202D0" w:rsidRPr="00F64FF8" w:rsidRDefault="00F202D0" w:rsidP="00383122">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rFonts w:ascii="Times New Roman" w:hAnsi="Times New Roman" w:cs="Times New Roman"/>
          <w:sz w:val="24"/>
          <w:szCs w:val="24"/>
        </w:rPr>
        <w:t>Pio XII,</w:t>
      </w:r>
      <w:r w:rsidRPr="00F64FF8">
        <w:rPr>
          <w:sz w:val="24"/>
          <w:szCs w:val="24"/>
        </w:rPr>
        <w:t xml:space="preserve"> </w:t>
      </w:r>
      <w:r w:rsidRPr="00F64FF8">
        <w:rPr>
          <w:rFonts w:ascii="Times New Roman" w:hAnsi="Times New Roman" w:cs="Times New Roman"/>
          <w:i/>
          <w:sz w:val="24"/>
          <w:szCs w:val="24"/>
        </w:rPr>
        <w:t>Mystici Corporis Christi</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Discorsi e Radiomessaggi di sua Santità Pio XII</w:t>
      </w:r>
      <w:r w:rsidRPr="00F64FF8">
        <w:rPr>
          <w:rFonts w:ascii="Times New Roman" w:hAnsi="Times New Roman" w:cs="Times New Roman"/>
          <w:sz w:val="24"/>
          <w:szCs w:val="24"/>
        </w:rPr>
        <w:t>, V, 2 marzo 1943 - 1° marzo 1944, Tipografia Poliglotta Vaticana, pp. 267-324.</w:t>
      </w:r>
    </w:p>
  </w:footnote>
  <w:footnote w:id="26">
    <w:p w14:paraId="723CC28C" w14:textId="77777777" w:rsidR="00F202D0"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 xml:space="preserve">La Congregazione per l’Evangelizzazione dei Popoli (De Propaganda Fide), </w:t>
      </w:r>
      <w:r w:rsidRPr="00F64FF8">
        <w:rPr>
          <w:rFonts w:ascii="Times New Roman" w:hAnsi="Times New Roman" w:cs="Times New Roman"/>
          <w:sz w:val="24"/>
          <w:szCs w:val="24"/>
        </w:rPr>
        <w:t xml:space="preserve">in </w:t>
      </w:r>
      <w:r w:rsidRPr="00F64FF8">
        <w:rPr>
          <w:rFonts w:ascii="Times New Roman" w:hAnsi="Times New Roman" w:cs="Times New Roman"/>
          <w:i/>
          <w:sz w:val="24"/>
          <w:szCs w:val="24"/>
        </w:rPr>
        <w:t xml:space="preserve">Archivio storico di Propaganda fide </w:t>
      </w:r>
      <w:hyperlink r:id="rId1" w:history="1">
        <w:r w:rsidRPr="00F24444">
          <w:rPr>
            <w:rStyle w:val="Collegamentoipertestuale"/>
            <w:rFonts w:ascii="Times New Roman" w:hAnsi="Times New Roman" w:cs="Times New Roman"/>
            <w:color w:val="000000" w:themeColor="text1"/>
            <w:sz w:val="24"/>
            <w:szCs w:val="24"/>
          </w:rPr>
          <w:t>http://www.archiviostoricopropaganda.va/content/archiviostoricopropagandafide/it/la-congregazione/congregazione.html</w:t>
        </w:r>
      </w:hyperlink>
      <w:r w:rsidRPr="00F24444">
        <w:rPr>
          <w:rFonts w:ascii="Times New Roman" w:hAnsi="Times New Roman" w:cs="Times New Roman"/>
          <w:color w:val="000000" w:themeColor="text1"/>
          <w:sz w:val="24"/>
          <w:szCs w:val="24"/>
        </w:rPr>
        <w:t xml:space="preserve"> </w:t>
      </w:r>
    </w:p>
    <w:p w14:paraId="200064F4" w14:textId="77777777" w:rsidR="00F202D0" w:rsidRPr="00F64FF8" w:rsidRDefault="00F202D0">
      <w:pPr>
        <w:pStyle w:val="Testonotaapidipagina"/>
        <w:rPr>
          <w:sz w:val="24"/>
          <w:szCs w:val="24"/>
        </w:rPr>
      </w:pPr>
      <w:r>
        <w:rPr>
          <w:rFonts w:ascii="Times New Roman" w:hAnsi="Times New Roman" w:cs="Times New Roman"/>
          <w:sz w:val="24"/>
          <w:szCs w:val="24"/>
        </w:rPr>
        <w:t>Consultato il 20/05/22.</w:t>
      </w:r>
    </w:p>
  </w:footnote>
  <w:footnote w:id="27">
    <w:p w14:paraId="4A2DB44A"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J.</w:t>
      </w:r>
      <w:r>
        <w:rPr>
          <w:rFonts w:ascii="Times New Roman" w:hAnsi="Times New Roman" w:cs="Times New Roman"/>
          <w:sz w:val="24"/>
          <w:szCs w:val="24"/>
        </w:rPr>
        <w:t xml:space="preserve"> </w:t>
      </w:r>
      <w:r w:rsidRPr="00F64FF8">
        <w:rPr>
          <w:rFonts w:ascii="Times New Roman" w:hAnsi="Times New Roman" w:cs="Times New Roman"/>
          <w:sz w:val="24"/>
          <w:szCs w:val="24"/>
        </w:rPr>
        <w:t>Metzler,</w:t>
      </w:r>
      <w:r w:rsidRPr="00F64FF8">
        <w:rPr>
          <w:sz w:val="24"/>
          <w:szCs w:val="24"/>
        </w:rPr>
        <w:t xml:space="preserve"> </w:t>
      </w:r>
      <w:r w:rsidRPr="00F64FF8">
        <w:rPr>
          <w:rFonts w:ascii="Times New Roman" w:hAnsi="Times New Roman" w:cs="Times New Roman"/>
          <w:i/>
          <w:sz w:val="24"/>
          <w:szCs w:val="24"/>
        </w:rPr>
        <w:t>La Congregazione «de Propaganda Fide» e lo sviluppo delle missioni cattoliche (ss. XVIII al XX),</w:t>
      </w:r>
      <w:r w:rsidRPr="00F64FF8">
        <w:rPr>
          <w:rFonts w:ascii="Times New Roman" w:hAnsi="Times New Roman" w:cs="Times New Roman"/>
          <w:sz w:val="24"/>
          <w:szCs w:val="24"/>
        </w:rPr>
        <w:t xml:space="preserve">in </w:t>
      </w:r>
      <w:r w:rsidRPr="00F64FF8">
        <w:rPr>
          <w:rFonts w:ascii="Times New Roman" w:hAnsi="Times New Roman" w:cs="Times New Roman"/>
          <w:i/>
          <w:sz w:val="24"/>
          <w:szCs w:val="24"/>
        </w:rPr>
        <w:t>Anuario de historia de la Iglesia</w:t>
      </w:r>
      <w:r w:rsidRPr="00F64FF8">
        <w:rPr>
          <w:rFonts w:ascii="Times New Roman" w:hAnsi="Times New Roman" w:cs="Times New Roman"/>
          <w:sz w:val="24"/>
          <w:szCs w:val="24"/>
        </w:rPr>
        <w:t>, 2009, p</w:t>
      </w:r>
      <w:r>
        <w:rPr>
          <w:rFonts w:ascii="Times New Roman" w:hAnsi="Times New Roman" w:cs="Times New Roman"/>
          <w:sz w:val="24"/>
          <w:szCs w:val="24"/>
        </w:rPr>
        <w:t>.</w:t>
      </w:r>
      <w:r w:rsidRPr="00F64FF8">
        <w:rPr>
          <w:rFonts w:ascii="Times New Roman" w:hAnsi="Times New Roman" w:cs="Times New Roman"/>
          <w:sz w:val="24"/>
          <w:szCs w:val="24"/>
        </w:rPr>
        <w:t>146</w:t>
      </w:r>
      <w:r w:rsidRPr="00A363A6">
        <w:rPr>
          <w:rFonts w:ascii="Times New Roman" w:hAnsi="Times New Roman" w:cs="Times New Roman"/>
          <w:sz w:val="24"/>
          <w:szCs w:val="24"/>
        </w:rPr>
        <w:t>.</w:t>
      </w:r>
    </w:p>
  </w:footnote>
  <w:footnote w:id="28">
    <w:p w14:paraId="566A57F1"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rFonts w:ascii="Times New Roman" w:hAnsi="Times New Roman" w:cs="Times New Roman"/>
          <w:sz w:val="24"/>
          <w:szCs w:val="24"/>
        </w:rPr>
        <w:t>P.</w:t>
      </w:r>
      <w:r>
        <w:rPr>
          <w:rFonts w:ascii="Times New Roman" w:hAnsi="Times New Roman" w:cs="Times New Roman"/>
          <w:sz w:val="24"/>
          <w:szCs w:val="24"/>
        </w:rPr>
        <w:t xml:space="preserve"> </w:t>
      </w:r>
      <w:r w:rsidRPr="00F64FF8">
        <w:rPr>
          <w:rFonts w:ascii="Times New Roman" w:hAnsi="Times New Roman" w:cs="Times New Roman"/>
          <w:sz w:val="24"/>
          <w:szCs w:val="24"/>
        </w:rPr>
        <w:t xml:space="preserve">Vismara, </w:t>
      </w:r>
      <w:r w:rsidRPr="00F64FF8">
        <w:rPr>
          <w:rFonts w:ascii="Times New Roman" w:hAnsi="Times New Roman" w:cs="Times New Roman"/>
          <w:i/>
          <w:sz w:val="24"/>
          <w:szCs w:val="24"/>
        </w:rPr>
        <w:t>Il cattolicesimo dalla riforma cattolica all’assolutismo</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Storia del cristianesimo (l’età moderna)</w:t>
      </w:r>
      <w:r w:rsidRPr="00F64FF8">
        <w:rPr>
          <w:rFonts w:ascii="Times New Roman" w:hAnsi="Times New Roman" w:cs="Times New Roman"/>
          <w:sz w:val="24"/>
          <w:szCs w:val="24"/>
        </w:rPr>
        <w:t>, a cura di G.</w:t>
      </w:r>
      <w:r>
        <w:rPr>
          <w:rFonts w:ascii="Times New Roman" w:hAnsi="Times New Roman" w:cs="Times New Roman"/>
          <w:sz w:val="24"/>
          <w:szCs w:val="24"/>
        </w:rPr>
        <w:t xml:space="preserve"> </w:t>
      </w:r>
      <w:r w:rsidRPr="00F64FF8">
        <w:rPr>
          <w:rFonts w:ascii="Times New Roman" w:hAnsi="Times New Roman" w:cs="Times New Roman"/>
          <w:sz w:val="24"/>
          <w:szCs w:val="24"/>
        </w:rPr>
        <w:t>Filoramo e D. Menozzi, Bari, Laterza, 1997, pp</w:t>
      </w:r>
      <w:r>
        <w:rPr>
          <w:rFonts w:ascii="Times New Roman" w:hAnsi="Times New Roman" w:cs="Times New Roman"/>
          <w:sz w:val="24"/>
          <w:szCs w:val="24"/>
        </w:rPr>
        <w:t>.</w:t>
      </w:r>
      <w:r w:rsidRPr="00F64FF8">
        <w:rPr>
          <w:rFonts w:ascii="Times New Roman" w:hAnsi="Times New Roman" w:cs="Times New Roman"/>
          <w:sz w:val="24"/>
          <w:szCs w:val="24"/>
        </w:rPr>
        <w:t xml:space="preserve"> 196-197.</w:t>
      </w:r>
    </w:p>
  </w:footnote>
  <w:footnote w:id="29">
    <w:p w14:paraId="48BCA951" w14:textId="77777777" w:rsidR="00F202D0" w:rsidRPr="00F64FF8" w:rsidRDefault="00F202D0">
      <w:pPr>
        <w:pStyle w:val="Testonotaapidipagina"/>
        <w:rPr>
          <w:rFonts w:ascii="Times New Roman" w:hAnsi="Times New Roman" w:cs="Times New Roman"/>
          <w:i/>
          <w:sz w:val="24"/>
          <w:szCs w:val="24"/>
        </w:rPr>
      </w:pPr>
      <w:r w:rsidRPr="00F64FF8">
        <w:rPr>
          <w:rStyle w:val="Rimandonotaapidipagina"/>
          <w:rFonts w:ascii="Times New Roman" w:hAnsi="Times New Roman" w:cs="Times New Roman"/>
          <w:sz w:val="24"/>
          <w:szCs w:val="24"/>
        </w:rPr>
        <w:footnoteRef/>
      </w:r>
      <w:r w:rsidRPr="00F64FF8">
        <w:rPr>
          <w:rFonts w:ascii="Times New Roman" w:hAnsi="Times New Roman" w:cs="Times New Roman"/>
          <w:sz w:val="24"/>
          <w:szCs w:val="24"/>
        </w:rPr>
        <w:t xml:space="preserve"> </w:t>
      </w:r>
      <w:r w:rsidRPr="00F64FF8">
        <w:rPr>
          <w:rFonts w:ascii="Times New Roman" w:hAnsi="Times New Roman" w:cs="Times New Roman"/>
          <w:i/>
          <w:sz w:val="24"/>
          <w:szCs w:val="24"/>
        </w:rPr>
        <w:t>Ibidem.</w:t>
      </w:r>
    </w:p>
  </w:footnote>
  <w:footnote w:id="30">
    <w:p w14:paraId="08B8706E" w14:textId="77777777" w:rsidR="00F202D0" w:rsidRPr="00F64FF8" w:rsidRDefault="00F202D0">
      <w:pPr>
        <w:pStyle w:val="Testonotaapidipagina"/>
        <w:rPr>
          <w:rFonts w:ascii="Times New Roman" w:hAnsi="Times New Roman" w:cs="Times New Roman"/>
          <w:i/>
          <w:sz w:val="24"/>
          <w:szCs w:val="24"/>
        </w:rPr>
      </w:pPr>
      <w:r w:rsidRPr="00F64FF8">
        <w:rPr>
          <w:rStyle w:val="Rimandonotaapidipagina"/>
          <w:rFonts w:ascii="Times New Roman" w:hAnsi="Times New Roman" w:cs="Times New Roman"/>
          <w:i/>
          <w:sz w:val="24"/>
          <w:szCs w:val="24"/>
        </w:rPr>
        <w:footnoteRef/>
      </w:r>
      <w:r w:rsidRPr="00F64FF8">
        <w:rPr>
          <w:rFonts w:ascii="Times New Roman" w:hAnsi="Times New Roman" w:cs="Times New Roman"/>
          <w:i/>
          <w:sz w:val="24"/>
          <w:szCs w:val="24"/>
        </w:rPr>
        <w:t xml:space="preserve"> Ibidem.</w:t>
      </w:r>
    </w:p>
  </w:footnote>
  <w:footnote w:id="31">
    <w:p w14:paraId="26BDE3EF"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B. Mondin, </w:t>
      </w:r>
      <w:r w:rsidRPr="00F64FF8">
        <w:rPr>
          <w:rFonts w:ascii="Times New Roman" w:hAnsi="Times New Roman" w:cs="Times New Roman"/>
          <w:i/>
          <w:sz w:val="24"/>
          <w:szCs w:val="24"/>
        </w:rPr>
        <w:t xml:space="preserve">Congregazione per l’Evangelizzazione dei popoli (Propaganda fide), </w:t>
      </w:r>
      <w:r w:rsidRPr="00F64FF8">
        <w:rPr>
          <w:rFonts w:ascii="Times New Roman" w:hAnsi="Times New Roman" w:cs="Times New Roman"/>
          <w:sz w:val="24"/>
          <w:szCs w:val="24"/>
        </w:rPr>
        <w:t xml:space="preserve">in </w:t>
      </w:r>
      <w:r w:rsidRPr="00F64FF8">
        <w:rPr>
          <w:rFonts w:ascii="Times New Roman" w:hAnsi="Times New Roman" w:cs="Times New Roman"/>
          <w:i/>
          <w:sz w:val="24"/>
          <w:szCs w:val="24"/>
        </w:rPr>
        <w:t>Dizionario storico e teologico delle missioni</w:t>
      </w:r>
      <w:r w:rsidRPr="00F64FF8">
        <w:rPr>
          <w:rFonts w:ascii="Times New Roman" w:hAnsi="Times New Roman" w:cs="Times New Roman"/>
          <w:sz w:val="24"/>
          <w:szCs w:val="24"/>
        </w:rPr>
        <w:t>, Città Vaticano, 2001, p</w:t>
      </w:r>
      <w:r>
        <w:rPr>
          <w:rFonts w:ascii="Times New Roman" w:hAnsi="Times New Roman" w:cs="Times New Roman"/>
          <w:sz w:val="24"/>
          <w:szCs w:val="24"/>
        </w:rPr>
        <w:t>.</w:t>
      </w:r>
      <w:r w:rsidRPr="00F64FF8">
        <w:rPr>
          <w:rFonts w:ascii="Times New Roman" w:hAnsi="Times New Roman" w:cs="Times New Roman"/>
          <w:sz w:val="24"/>
          <w:szCs w:val="24"/>
        </w:rPr>
        <w:t xml:space="preserve"> 122.</w:t>
      </w:r>
    </w:p>
  </w:footnote>
  <w:footnote w:id="32">
    <w:p w14:paraId="5DDE1599"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J.</w:t>
      </w:r>
      <w:r>
        <w:rPr>
          <w:rFonts w:ascii="Times New Roman" w:hAnsi="Times New Roman" w:cs="Times New Roman"/>
          <w:sz w:val="24"/>
          <w:szCs w:val="24"/>
        </w:rPr>
        <w:t xml:space="preserve"> </w:t>
      </w:r>
      <w:r w:rsidRPr="00F64FF8">
        <w:rPr>
          <w:rFonts w:ascii="Times New Roman" w:hAnsi="Times New Roman" w:cs="Times New Roman"/>
          <w:sz w:val="24"/>
          <w:szCs w:val="24"/>
        </w:rPr>
        <w:t xml:space="preserve">Metzler, </w:t>
      </w:r>
      <w:r w:rsidRPr="00F64FF8">
        <w:rPr>
          <w:rFonts w:ascii="Times New Roman" w:hAnsi="Times New Roman" w:cs="Times New Roman"/>
          <w:i/>
          <w:sz w:val="24"/>
          <w:szCs w:val="24"/>
        </w:rPr>
        <w:t>La Santa sede e le missioni</w:t>
      </w:r>
      <w:r>
        <w:rPr>
          <w:rFonts w:ascii="Times New Roman" w:hAnsi="Times New Roman" w:cs="Times New Roman"/>
          <w:i/>
          <w:sz w:val="24"/>
          <w:szCs w:val="24"/>
        </w:rPr>
        <w:t xml:space="preserve">, </w:t>
      </w:r>
      <w:r w:rsidRPr="00F64FF8">
        <w:rPr>
          <w:rFonts w:ascii="Times New Roman" w:hAnsi="Times New Roman" w:cs="Times New Roman"/>
          <w:sz w:val="24"/>
          <w:szCs w:val="24"/>
        </w:rPr>
        <w:t>cit.,</w:t>
      </w:r>
      <w:r>
        <w:rPr>
          <w:rFonts w:ascii="Times New Roman" w:hAnsi="Times New Roman" w:cs="Times New Roman"/>
          <w:sz w:val="24"/>
          <w:szCs w:val="24"/>
        </w:rPr>
        <w:t xml:space="preserve"> </w:t>
      </w:r>
      <w:r w:rsidRPr="00F64FF8">
        <w:rPr>
          <w:rFonts w:ascii="Times New Roman" w:hAnsi="Times New Roman" w:cs="Times New Roman"/>
          <w:sz w:val="24"/>
          <w:szCs w:val="24"/>
        </w:rPr>
        <w:t>p</w:t>
      </w:r>
      <w:r>
        <w:rPr>
          <w:rFonts w:ascii="Times New Roman" w:hAnsi="Times New Roman" w:cs="Times New Roman"/>
          <w:sz w:val="24"/>
          <w:szCs w:val="24"/>
        </w:rPr>
        <w:t>.</w:t>
      </w:r>
      <w:r w:rsidRPr="00F64FF8">
        <w:rPr>
          <w:rFonts w:ascii="Times New Roman" w:hAnsi="Times New Roman" w:cs="Times New Roman"/>
          <w:sz w:val="24"/>
          <w:szCs w:val="24"/>
        </w:rPr>
        <w:t xml:space="preserve"> 25.</w:t>
      </w:r>
    </w:p>
  </w:footnote>
  <w:footnote w:id="33">
    <w:p w14:paraId="2BEF7D41" w14:textId="137ABF50"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J.</w:t>
      </w:r>
      <w:r>
        <w:rPr>
          <w:rFonts w:ascii="Times New Roman" w:hAnsi="Times New Roman" w:cs="Times New Roman"/>
          <w:sz w:val="24"/>
          <w:szCs w:val="24"/>
        </w:rPr>
        <w:t xml:space="preserve"> </w:t>
      </w:r>
      <w:r w:rsidRPr="00F64FF8">
        <w:rPr>
          <w:rFonts w:ascii="Times New Roman" w:hAnsi="Times New Roman" w:cs="Times New Roman"/>
          <w:sz w:val="24"/>
          <w:szCs w:val="24"/>
        </w:rPr>
        <w:t>Metzler,</w:t>
      </w:r>
      <w:r w:rsidRPr="00F64FF8">
        <w:rPr>
          <w:sz w:val="24"/>
          <w:szCs w:val="24"/>
        </w:rPr>
        <w:t xml:space="preserve"> </w:t>
      </w:r>
      <w:r w:rsidRPr="00F64FF8">
        <w:rPr>
          <w:rFonts w:ascii="Times New Roman" w:hAnsi="Times New Roman" w:cs="Times New Roman"/>
          <w:i/>
          <w:sz w:val="24"/>
          <w:szCs w:val="24"/>
        </w:rPr>
        <w:t>La Congregazione «de Propaganda Fide» e lo sviluppo delle missioni cattoliche (ss. XVIII al XX),</w:t>
      </w:r>
      <w:r>
        <w:rPr>
          <w:rFonts w:ascii="Times New Roman" w:hAnsi="Times New Roman" w:cs="Times New Roman"/>
          <w:i/>
          <w:sz w:val="24"/>
          <w:szCs w:val="24"/>
        </w:rPr>
        <w:t xml:space="preserve"> </w:t>
      </w:r>
      <w:r w:rsidRPr="00F64FF8">
        <w:rPr>
          <w:rFonts w:ascii="Times New Roman" w:hAnsi="Times New Roman" w:cs="Times New Roman"/>
          <w:sz w:val="24"/>
          <w:szCs w:val="24"/>
        </w:rPr>
        <w:t>cit.,p</w:t>
      </w:r>
      <w:r>
        <w:rPr>
          <w:rFonts w:ascii="Times New Roman" w:hAnsi="Times New Roman" w:cs="Times New Roman"/>
          <w:sz w:val="24"/>
          <w:szCs w:val="24"/>
        </w:rPr>
        <w:t>.</w:t>
      </w:r>
      <w:r w:rsidRPr="00F64FF8">
        <w:rPr>
          <w:rFonts w:ascii="Times New Roman" w:hAnsi="Times New Roman" w:cs="Times New Roman"/>
          <w:sz w:val="24"/>
          <w:szCs w:val="24"/>
        </w:rPr>
        <w:t xml:space="preserve"> 149.</w:t>
      </w:r>
    </w:p>
  </w:footnote>
  <w:footnote w:id="34">
    <w:p w14:paraId="1DA4E4F5"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Ibidem,</w:t>
      </w:r>
      <w:r w:rsidRPr="00F64FF8">
        <w:rPr>
          <w:rFonts w:ascii="Times New Roman" w:hAnsi="Times New Roman" w:cs="Times New Roman"/>
          <w:sz w:val="24"/>
          <w:szCs w:val="24"/>
        </w:rPr>
        <w:t xml:space="preserve"> p</w:t>
      </w:r>
      <w:r>
        <w:rPr>
          <w:rFonts w:ascii="Times New Roman" w:hAnsi="Times New Roman" w:cs="Times New Roman"/>
          <w:sz w:val="24"/>
          <w:szCs w:val="24"/>
        </w:rPr>
        <w:t>.</w:t>
      </w:r>
      <w:r w:rsidRPr="00F64FF8">
        <w:rPr>
          <w:rFonts w:ascii="Times New Roman" w:hAnsi="Times New Roman" w:cs="Times New Roman"/>
          <w:sz w:val="24"/>
          <w:szCs w:val="24"/>
        </w:rPr>
        <w:t xml:space="preserve"> 27</w:t>
      </w:r>
      <w:r w:rsidRPr="00F64FF8">
        <w:rPr>
          <w:sz w:val="24"/>
          <w:szCs w:val="24"/>
        </w:rPr>
        <w:t>.</w:t>
      </w:r>
    </w:p>
  </w:footnote>
  <w:footnote w:id="35">
    <w:p w14:paraId="59F04346" w14:textId="77777777" w:rsidR="00F202D0" w:rsidRPr="00F64FF8" w:rsidRDefault="00F202D0">
      <w:pPr>
        <w:pStyle w:val="Testonotaapidipagina"/>
        <w:rPr>
          <w:rFonts w:ascii="Times New Roman" w:hAnsi="Times New Roman" w:cs="Times New Roman"/>
          <w:i/>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 xml:space="preserve"> </w:t>
      </w:r>
      <w:hyperlink r:id="rId2" w:history="1">
        <w:r w:rsidRPr="00F24444">
          <w:rPr>
            <w:rStyle w:val="Collegamentoipertestuale"/>
            <w:rFonts w:ascii="Times New Roman" w:hAnsi="Times New Roman" w:cs="Times New Roman"/>
            <w:i/>
            <w:color w:val="000000" w:themeColor="text1"/>
            <w:sz w:val="24"/>
            <w:szCs w:val="24"/>
          </w:rPr>
          <w:t>http://www.villaschiari.it/insegnamenti/02_12.pdf</w:t>
        </w:r>
      </w:hyperlink>
      <w:r w:rsidRPr="00F24444">
        <w:rPr>
          <w:rFonts w:ascii="Times New Roman" w:hAnsi="Times New Roman" w:cs="Times New Roman"/>
          <w:i/>
          <w:color w:val="000000" w:themeColor="text1"/>
          <w:sz w:val="24"/>
          <w:szCs w:val="24"/>
        </w:rPr>
        <w:t xml:space="preserve"> </w:t>
      </w:r>
      <w:r w:rsidRPr="00F64FF8">
        <w:rPr>
          <w:rFonts w:ascii="Times New Roman" w:hAnsi="Times New Roman" w:cs="Times New Roman"/>
          <w:i/>
          <w:sz w:val="24"/>
          <w:szCs w:val="24"/>
        </w:rPr>
        <w:t xml:space="preserve"> </w:t>
      </w:r>
      <w:r w:rsidRPr="00F64FF8">
        <w:rPr>
          <w:rFonts w:ascii="Times New Roman" w:hAnsi="Times New Roman" w:cs="Times New Roman"/>
          <w:sz w:val="24"/>
          <w:szCs w:val="24"/>
        </w:rPr>
        <w:t xml:space="preserve">consultato il </w:t>
      </w:r>
      <w:r>
        <w:rPr>
          <w:rFonts w:ascii="Times New Roman" w:hAnsi="Times New Roman" w:cs="Times New Roman"/>
          <w:sz w:val="24"/>
          <w:szCs w:val="24"/>
        </w:rPr>
        <w:t>31/05/2022</w:t>
      </w:r>
    </w:p>
    <w:p w14:paraId="7151BE13" w14:textId="77777777" w:rsidR="00F202D0" w:rsidRPr="00F64FF8" w:rsidRDefault="00F202D0">
      <w:pPr>
        <w:pStyle w:val="Testonotaapidipagina"/>
        <w:rPr>
          <w:rFonts w:ascii="Times New Roman" w:hAnsi="Times New Roman" w:cs="Times New Roman"/>
          <w:sz w:val="24"/>
          <w:szCs w:val="24"/>
        </w:rPr>
      </w:pPr>
    </w:p>
  </w:footnote>
  <w:footnote w:id="36">
    <w:p w14:paraId="67F5E373"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J.</w:t>
      </w:r>
      <w:r>
        <w:rPr>
          <w:rFonts w:ascii="Times New Roman" w:hAnsi="Times New Roman" w:cs="Times New Roman"/>
          <w:sz w:val="24"/>
          <w:szCs w:val="24"/>
        </w:rPr>
        <w:t xml:space="preserve"> </w:t>
      </w:r>
      <w:r w:rsidRPr="00F64FF8">
        <w:rPr>
          <w:rFonts w:ascii="Times New Roman" w:hAnsi="Times New Roman" w:cs="Times New Roman"/>
          <w:sz w:val="24"/>
          <w:szCs w:val="24"/>
        </w:rPr>
        <w:t xml:space="preserve">Metzler, </w:t>
      </w:r>
      <w:r w:rsidRPr="00F64FF8">
        <w:rPr>
          <w:rFonts w:ascii="Times New Roman" w:hAnsi="Times New Roman" w:cs="Times New Roman"/>
          <w:i/>
          <w:sz w:val="24"/>
          <w:szCs w:val="24"/>
        </w:rPr>
        <w:t>La Santa sede e le missioni</w:t>
      </w:r>
      <w:r>
        <w:rPr>
          <w:rFonts w:ascii="Times New Roman" w:hAnsi="Times New Roman" w:cs="Times New Roman"/>
          <w:i/>
          <w:sz w:val="24"/>
          <w:szCs w:val="24"/>
        </w:rPr>
        <w:t>,</w:t>
      </w:r>
      <w:r w:rsidRPr="00F64FF8">
        <w:rPr>
          <w:rFonts w:ascii="Times New Roman" w:hAnsi="Times New Roman" w:cs="Times New Roman"/>
          <w:i/>
          <w:sz w:val="24"/>
          <w:szCs w:val="24"/>
        </w:rPr>
        <w:t xml:space="preserve"> </w:t>
      </w:r>
      <w:r w:rsidRPr="00F64FF8">
        <w:rPr>
          <w:rFonts w:ascii="Times New Roman" w:hAnsi="Times New Roman" w:cs="Times New Roman"/>
          <w:sz w:val="24"/>
          <w:szCs w:val="24"/>
        </w:rPr>
        <w:t>cit.,</w:t>
      </w:r>
      <w:r>
        <w:rPr>
          <w:rFonts w:ascii="Times New Roman" w:hAnsi="Times New Roman" w:cs="Times New Roman"/>
          <w:sz w:val="24"/>
          <w:szCs w:val="24"/>
        </w:rPr>
        <w:t xml:space="preserve"> </w:t>
      </w:r>
      <w:r w:rsidRPr="00F64FF8">
        <w:rPr>
          <w:rFonts w:ascii="Times New Roman" w:hAnsi="Times New Roman" w:cs="Times New Roman"/>
          <w:sz w:val="24"/>
          <w:szCs w:val="24"/>
        </w:rPr>
        <w:t>p</w:t>
      </w:r>
      <w:r>
        <w:rPr>
          <w:rFonts w:ascii="Times New Roman" w:hAnsi="Times New Roman" w:cs="Times New Roman"/>
          <w:sz w:val="24"/>
          <w:szCs w:val="24"/>
        </w:rPr>
        <w:t>.</w:t>
      </w:r>
      <w:r w:rsidRPr="00F64FF8">
        <w:rPr>
          <w:rFonts w:ascii="Times New Roman" w:hAnsi="Times New Roman" w:cs="Times New Roman"/>
          <w:sz w:val="24"/>
          <w:szCs w:val="24"/>
        </w:rPr>
        <w:t xml:space="preserve"> 47.</w:t>
      </w:r>
    </w:p>
  </w:footnote>
  <w:footnote w:id="37">
    <w:p w14:paraId="5F23990E" w14:textId="77777777" w:rsidR="00F202D0" w:rsidRPr="00F64FF8" w:rsidRDefault="00F202D0">
      <w:pPr>
        <w:pStyle w:val="Testonotaapidipagina"/>
        <w:rPr>
          <w:rFonts w:ascii="Times New Roman" w:hAnsi="Times New Roman" w:cs="Times New Roman"/>
          <w:i/>
          <w:sz w:val="24"/>
          <w:szCs w:val="24"/>
        </w:rPr>
      </w:pPr>
      <w:r w:rsidRPr="00F64FF8">
        <w:rPr>
          <w:rStyle w:val="Rimandonotaapidipagina"/>
          <w:i/>
          <w:sz w:val="24"/>
          <w:szCs w:val="24"/>
        </w:rPr>
        <w:footnoteRef/>
      </w:r>
      <w:r w:rsidRPr="00F64FF8">
        <w:rPr>
          <w:i/>
          <w:sz w:val="24"/>
          <w:szCs w:val="24"/>
        </w:rPr>
        <w:t xml:space="preserve"> </w:t>
      </w:r>
      <w:r w:rsidRPr="00F64FF8">
        <w:rPr>
          <w:rFonts w:ascii="Times New Roman" w:hAnsi="Times New Roman" w:cs="Times New Roman"/>
          <w:i/>
          <w:sz w:val="24"/>
          <w:szCs w:val="24"/>
        </w:rPr>
        <w:t>Ibidem.</w:t>
      </w:r>
    </w:p>
  </w:footnote>
  <w:footnote w:id="38">
    <w:p w14:paraId="73B38599"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i/>
          <w:sz w:val="24"/>
          <w:szCs w:val="24"/>
        </w:rPr>
        <w:footnoteRef/>
      </w:r>
      <w:r w:rsidRPr="00F64FF8">
        <w:rPr>
          <w:i/>
          <w:sz w:val="24"/>
          <w:szCs w:val="24"/>
        </w:rPr>
        <w:t xml:space="preserve"> </w:t>
      </w:r>
      <w:r w:rsidRPr="00F64FF8">
        <w:rPr>
          <w:rFonts w:ascii="Times New Roman" w:hAnsi="Times New Roman" w:cs="Times New Roman"/>
          <w:i/>
          <w:sz w:val="24"/>
          <w:szCs w:val="24"/>
        </w:rPr>
        <w:t>Ibidem.</w:t>
      </w:r>
    </w:p>
  </w:footnote>
  <w:footnote w:id="39">
    <w:p w14:paraId="491944C7"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rFonts w:ascii="Times New Roman" w:hAnsi="Times New Roman" w:cs="Times New Roman"/>
          <w:sz w:val="24"/>
          <w:szCs w:val="24"/>
        </w:rPr>
        <w:footnoteRef/>
      </w:r>
      <w:r w:rsidRPr="00F64FF8">
        <w:rPr>
          <w:rFonts w:ascii="Times New Roman" w:hAnsi="Times New Roman" w:cs="Times New Roman"/>
          <w:sz w:val="24"/>
          <w:szCs w:val="24"/>
        </w:rPr>
        <w:t xml:space="preserve"> D. Menozzi, </w:t>
      </w:r>
      <w:r w:rsidRPr="00F64FF8">
        <w:rPr>
          <w:rFonts w:ascii="Times New Roman" w:hAnsi="Times New Roman" w:cs="Times New Roman"/>
          <w:i/>
          <w:sz w:val="24"/>
          <w:szCs w:val="24"/>
        </w:rPr>
        <w:t>La Chiesa cattolica</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Storia del cristianesimo (l’età contemporanea)</w:t>
      </w:r>
      <w:r w:rsidRPr="00F64FF8">
        <w:rPr>
          <w:rFonts w:ascii="Times New Roman" w:hAnsi="Times New Roman" w:cs="Times New Roman"/>
          <w:sz w:val="24"/>
          <w:szCs w:val="24"/>
        </w:rPr>
        <w:t>, a cura di G.</w:t>
      </w:r>
      <w:r>
        <w:rPr>
          <w:rFonts w:ascii="Times New Roman" w:hAnsi="Times New Roman" w:cs="Times New Roman"/>
          <w:sz w:val="24"/>
          <w:szCs w:val="24"/>
        </w:rPr>
        <w:t xml:space="preserve"> </w:t>
      </w:r>
      <w:r w:rsidRPr="00F64FF8">
        <w:rPr>
          <w:rFonts w:ascii="Times New Roman" w:hAnsi="Times New Roman" w:cs="Times New Roman"/>
          <w:sz w:val="24"/>
          <w:szCs w:val="24"/>
        </w:rPr>
        <w:t>Filoramo e D.</w:t>
      </w:r>
      <w:r>
        <w:rPr>
          <w:rFonts w:ascii="Times New Roman" w:hAnsi="Times New Roman" w:cs="Times New Roman"/>
          <w:sz w:val="24"/>
          <w:szCs w:val="24"/>
        </w:rPr>
        <w:t xml:space="preserve"> </w:t>
      </w:r>
      <w:r w:rsidRPr="00F64FF8">
        <w:rPr>
          <w:rFonts w:ascii="Times New Roman" w:hAnsi="Times New Roman" w:cs="Times New Roman"/>
          <w:sz w:val="24"/>
          <w:szCs w:val="24"/>
        </w:rPr>
        <w:t>Menozzi, Bari, 1997, pp</w:t>
      </w:r>
      <w:r>
        <w:rPr>
          <w:rFonts w:ascii="Times New Roman" w:hAnsi="Times New Roman" w:cs="Times New Roman"/>
          <w:sz w:val="24"/>
          <w:szCs w:val="24"/>
        </w:rPr>
        <w:t xml:space="preserve">. </w:t>
      </w:r>
      <w:r w:rsidRPr="00F64FF8">
        <w:rPr>
          <w:rFonts w:ascii="Times New Roman" w:hAnsi="Times New Roman" w:cs="Times New Roman"/>
          <w:sz w:val="24"/>
          <w:szCs w:val="24"/>
        </w:rPr>
        <w:t>177-178.</w:t>
      </w:r>
    </w:p>
  </w:footnote>
  <w:footnote w:id="40">
    <w:p w14:paraId="69706C6B" w14:textId="77777777" w:rsidR="00F202D0" w:rsidRPr="00F64FF8" w:rsidRDefault="00F202D0">
      <w:pPr>
        <w:pStyle w:val="Testonotaapidipagina"/>
        <w:rPr>
          <w:rFonts w:ascii="Times New Roman" w:hAnsi="Times New Roman" w:cs="Times New Roman"/>
          <w:i/>
          <w:sz w:val="24"/>
          <w:szCs w:val="24"/>
        </w:rPr>
      </w:pPr>
      <w:r w:rsidRPr="00F64FF8">
        <w:rPr>
          <w:rStyle w:val="Rimandonotaapidipagina"/>
          <w:rFonts w:ascii="Times New Roman" w:hAnsi="Times New Roman" w:cs="Times New Roman"/>
          <w:sz w:val="24"/>
          <w:szCs w:val="24"/>
        </w:rPr>
        <w:footnoteRef/>
      </w:r>
      <w:r w:rsidRPr="00F64FF8">
        <w:rPr>
          <w:rFonts w:ascii="Times New Roman" w:hAnsi="Times New Roman" w:cs="Times New Roman"/>
          <w:sz w:val="24"/>
          <w:szCs w:val="24"/>
        </w:rPr>
        <w:t xml:space="preserve"> </w:t>
      </w:r>
      <w:r w:rsidRPr="00F64FF8">
        <w:rPr>
          <w:rFonts w:ascii="Times New Roman" w:hAnsi="Times New Roman" w:cs="Times New Roman"/>
          <w:i/>
          <w:sz w:val="24"/>
          <w:szCs w:val="24"/>
        </w:rPr>
        <w:t>Ibidem.</w:t>
      </w:r>
    </w:p>
  </w:footnote>
  <w:footnote w:id="41">
    <w:p w14:paraId="18FC34D1"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J.Metzler, </w:t>
      </w:r>
      <w:r w:rsidRPr="00F64FF8">
        <w:rPr>
          <w:rFonts w:ascii="Times New Roman" w:hAnsi="Times New Roman" w:cs="Times New Roman"/>
          <w:i/>
          <w:sz w:val="24"/>
          <w:szCs w:val="24"/>
        </w:rPr>
        <w:t>La Santa sede e le missioni</w:t>
      </w:r>
      <w:r w:rsidRPr="00F64FF8">
        <w:rPr>
          <w:rFonts w:ascii="Times New Roman" w:hAnsi="Times New Roman" w:cs="Times New Roman"/>
          <w:sz w:val="24"/>
          <w:szCs w:val="24"/>
        </w:rPr>
        <w:t>, cit.,p</w:t>
      </w:r>
      <w:r>
        <w:rPr>
          <w:rFonts w:ascii="Times New Roman" w:hAnsi="Times New Roman" w:cs="Times New Roman"/>
          <w:sz w:val="24"/>
          <w:szCs w:val="24"/>
        </w:rPr>
        <w:t>.</w:t>
      </w:r>
      <w:r w:rsidRPr="00F64FF8">
        <w:rPr>
          <w:rFonts w:ascii="Times New Roman" w:hAnsi="Times New Roman" w:cs="Times New Roman"/>
          <w:sz w:val="24"/>
          <w:szCs w:val="24"/>
        </w:rPr>
        <w:t xml:space="preserve"> 32.</w:t>
      </w:r>
    </w:p>
  </w:footnote>
  <w:footnote w:id="42">
    <w:p w14:paraId="1E82F7A4" w14:textId="77777777" w:rsidR="00F202D0" w:rsidRPr="00F64FF8" w:rsidRDefault="00F202D0" w:rsidP="00383122">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Ibidem,</w:t>
      </w:r>
      <w:r w:rsidRPr="00F64FF8">
        <w:rPr>
          <w:rFonts w:ascii="Times New Roman" w:hAnsi="Times New Roman" w:cs="Times New Roman"/>
          <w:sz w:val="24"/>
          <w:szCs w:val="24"/>
        </w:rPr>
        <w:t xml:space="preserve"> Benedetto XV nell’enciclica </w:t>
      </w:r>
      <w:r w:rsidRPr="00F64FF8">
        <w:rPr>
          <w:rFonts w:ascii="Times New Roman" w:hAnsi="Times New Roman" w:cs="Times New Roman"/>
          <w:i/>
          <w:sz w:val="24"/>
          <w:szCs w:val="24"/>
        </w:rPr>
        <w:t>Maximum illud</w:t>
      </w:r>
      <w:r w:rsidRPr="00F64FF8">
        <w:rPr>
          <w:rFonts w:ascii="Times New Roman" w:hAnsi="Times New Roman" w:cs="Times New Roman"/>
          <w:sz w:val="24"/>
          <w:szCs w:val="24"/>
        </w:rPr>
        <w:t xml:space="preserve"> (1919) sancì la subordinazione di tale Unione Missionaria a Propaganda fide.</w:t>
      </w:r>
    </w:p>
    <w:p w14:paraId="21630D85" w14:textId="77777777" w:rsidR="00F202D0" w:rsidRPr="00F64FF8" w:rsidRDefault="00F202D0">
      <w:pPr>
        <w:pStyle w:val="Testonotaapidipagina"/>
        <w:rPr>
          <w:rFonts w:ascii="Times New Roman" w:hAnsi="Times New Roman" w:cs="Times New Roman"/>
          <w:sz w:val="24"/>
          <w:szCs w:val="24"/>
        </w:rPr>
      </w:pPr>
    </w:p>
  </w:footnote>
  <w:footnote w:id="43">
    <w:p w14:paraId="700A70F8" w14:textId="77777777" w:rsidR="00F202D0" w:rsidRPr="00F64FF8" w:rsidRDefault="00F202D0" w:rsidP="00383122">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J.Metzler, </w:t>
      </w:r>
      <w:r w:rsidRPr="00F64FF8">
        <w:rPr>
          <w:rFonts w:ascii="Times New Roman" w:hAnsi="Times New Roman" w:cs="Times New Roman"/>
          <w:i/>
          <w:sz w:val="24"/>
          <w:szCs w:val="24"/>
        </w:rPr>
        <w:t>La Santa sede e le missioni</w:t>
      </w:r>
      <w:r>
        <w:rPr>
          <w:rFonts w:ascii="Times New Roman" w:hAnsi="Times New Roman" w:cs="Times New Roman"/>
          <w:i/>
          <w:sz w:val="24"/>
          <w:szCs w:val="24"/>
        </w:rPr>
        <w:t xml:space="preserve">, </w:t>
      </w:r>
      <w:r w:rsidRPr="00F64FF8">
        <w:rPr>
          <w:rFonts w:ascii="Times New Roman" w:hAnsi="Times New Roman" w:cs="Times New Roman"/>
          <w:sz w:val="24"/>
          <w:szCs w:val="24"/>
        </w:rPr>
        <w:t>cit.,</w:t>
      </w:r>
      <w:r>
        <w:rPr>
          <w:rFonts w:ascii="Times New Roman" w:hAnsi="Times New Roman" w:cs="Times New Roman"/>
          <w:sz w:val="24"/>
          <w:szCs w:val="24"/>
        </w:rPr>
        <w:t xml:space="preserve"> </w:t>
      </w:r>
      <w:r w:rsidRPr="00F64FF8">
        <w:rPr>
          <w:rFonts w:ascii="Times New Roman" w:hAnsi="Times New Roman" w:cs="Times New Roman"/>
          <w:sz w:val="24"/>
          <w:szCs w:val="24"/>
        </w:rPr>
        <w:t>p</w:t>
      </w:r>
      <w:r>
        <w:rPr>
          <w:rFonts w:ascii="Times New Roman" w:hAnsi="Times New Roman" w:cs="Times New Roman"/>
          <w:sz w:val="24"/>
          <w:szCs w:val="24"/>
        </w:rPr>
        <w:t>. 39; S</w:t>
      </w:r>
      <w:r w:rsidRPr="00F64FF8">
        <w:rPr>
          <w:rFonts w:ascii="Times New Roman" w:hAnsi="Times New Roman" w:cs="Times New Roman"/>
          <w:sz w:val="24"/>
          <w:szCs w:val="24"/>
        </w:rPr>
        <w:t xml:space="preserve">.Paventi, </w:t>
      </w:r>
      <w:r w:rsidRPr="00F64FF8">
        <w:rPr>
          <w:rFonts w:ascii="Times New Roman" w:hAnsi="Times New Roman" w:cs="Times New Roman"/>
          <w:i/>
          <w:sz w:val="24"/>
          <w:szCs w:val="24"/>
        </w:rPr>
        <w:t>La Chiesa missionaria dottrinale</w:t>
      </w:r>
      <w:r w:rsidRPr="00F64FF8">
        <w:rPr>
          <w:rFonts w:ascii="Times New Roman" w:hAnsi="Times New Roman" w:cs="Times New Roman"/>
          <w:sz w:val="24"/>
          <w:szCs w:val="24"/>
        </w:rPr>
        <w:t>, cit., p</w:t>
      </w:r>
      <w:r>
        <w:rPr>
          <w:rFonts w:ascii="Times New Roman" w:hAnsi="Times New Roman" w:cs="Times New Roman"/>
          <w:sz w:val="24"/>
          <w:szCs w:val="24"/>
        </w:rPr>
        <w:t>.</w:t>
      </w:r>
      <w:r w:rsidRPr="00F64FF8">
        <w:rPr>
          <w:rFonts w:ascii="Times New Roman" w:hAnsi="Times New Roman" w:cs="Times New Roman"/>
          <w:sz w:val="24"/>
          <w:szCs w:val="24"/>
        </w:rPr>
        <w:t xml:space="preserve"> 75</w:t>
      </w:r>
      <w:r>
        <w:rPr>
          <w:rFonts w:ascii="Times New Roman" w:hAnsi="Times New Roman" w:cs="Times New Roman"/>
          <w:sz w:val="24"/>
          <w:szCs w:val="24"/>
        </w:rPr>
        <w:t>.</w:t>
      </w:r>
    </w:p>
  </w:footnote>
  <w:footnote w:id="44">
    <w:p w14:paraId="5B9CC923" w14:textId="77777777" w:rsidR="00F202D0" w:rsidRPr="00F64FF8" w:rsidRDefault="00F202D0">
      <w:pPr>
        <w:pStyle w:val="Testonotaapidipagina"/>
        <w:rPr>
          <w:rFonts w:ascii="Times New Roman" w:hAnsi="Times New Roman" w:cs="Times New Roman"/>
          <w:i/>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Ibidem.</w:t>
      </w:r>
    </w:p>
  </w:footnote>
  <w:footnote w:id="45">
    <w:p w14:paraId="28DD250C" w14:textId="77777777" w:rsidR="00F202D0" w:rsidRPr="00F64FF8" w:rsidRDefault="00F202D0">
      <w:pPr>
        <w:pStyle w:val="Testonotaapidipagina"/>
        <w:rPr>
          <w:sz w:val="24"/>
          <w:szCs w:val="24"/>
        </w:rPr>
      </w:pPr>
      <w:r w:rsidRPr="00F64FF8">
        <w:rPr>
          <w:rStyle w:val="Rimandonotaapidipagina"/>
          <w:i/>
          <w:sz w:val="24"/>
          <w:szCs w:val="24"/>
        </w:rPr>
        <w:footnoteRef/>
      </w:r>
      <w:r w:rsidRPr="00F64FF8">
        <w:rPr>
          <w:i/>
          <w:sz w:val="24"/>
          <w:szCs w:val="24"/>
        </w:rPr>
        <w:t xml:space="preserve"> </w:t>
      </w:r>
      <w:r w:rsidRPr="00F64FF8">
        <w:rPr>
          <w:rFonts w:ascii="Times New Roman" w:hAnsi="Times New Roman" w:cs="Times New Roman"/>
          <w:i/>
          <w:sz w:val="24"/>
          <w:szCs w:val="24"/>
        </w:rPr>
        <w:t>Ibidem.</w:t>
      </w:r>
    </w:p>
  </w:footnote>
  <w:footnote w:id="46">
    <w:p w14:paraId="46E31553"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Pio X, </w:t>
      </w:r>
      <w:r w:rsidRPr="00F64FF8">
        <w:rPr>
          <w:rFonts w:ascii="Times New Roman" w:hAnsi="Times New Roman" w:cs="Times New Roman"/>
          <w:i/>
          <w:sz w:val="24"/>
          <w:szCs w:val="24"/>
        </w:rPr>
        <w:t>Sapienti Consilio</w:t>
      </w:r>
      <w:r>
        <w:rPr>
          <w:rFonts w:ascii="Times New Roman" w:hAnsi="Times New Roman" w:cs="Times New Roman"/>
          <w:sz w:val="24"/>
          <w:szCs w:val="24"/>
        </w:rPr>
        <w:t xml:space="preserve">, </w:t>
      </w:r>
      <w:r w:rsidRPr="00610643">
        <w:rPr>
          <w:rFonts w:ascii="Times New Roman" w:hAnsi="Times New Roman" w:cs="Times New Roman"/>
          <w:i/>
          <w:sz w:val="24"/>
          <w:szCs w:val="24"/>
        </w:rPr>
        <w:t>Constitutio apostolica</w:t>
      </w:r>
      <w:r w:rsidRPr="00F64FF8">
        <w:rPr>
          <w:rFonts w:ascii="Times New Roman" w:hAnsi="Times New Roman" w:cs="Times New Roman"/>
          <w:sz w:val="24"/>
          <w:szCs w:val="24"/>
        </w:rPr>
        <w:t>, 29 maggio 1908.</w:t>
      </w:r>
    </w:p>
  </w:footnote>
  <w:footnote w:id="47">
    <w:p w14:paraId="10B5F46F"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Ibidem</w:t>
      </w:r>
      <w:r w:rsidRPr="00F64FF8">
        <w:rPr>
          <w:rFonts w:ascii="Times New Roman" w:hAnsi="Times New Roman" w:cs="Times New Roman"/>
          <w:sz w:val="24"/>
          <w:szCs w:val="24"/>
        </w:rPr>
        <w:t>.</w:t>
      </w:r>
    </w:p>
  </w:footnote>
  <w:footnote w:id="48">
    <w:p w14:paraId="2F6F13A7" w14:textId="3CD82706" w:rsidR="00F202D0" w:rsidRPr="00F64FF8" w:rsidRDefault="00F202D0" w:rsidP="00383122">
      <w:pPr>
        <w:spacing w:line="360" w:lineRule="auto"/>
        <w:jc w:val="both"/>
        <w:rPr>
          <w:rFonts w:ascii="Times New Roman" w:hAnsi="Times New Roman" w:cs="Times New Roman"/>
          <w:color w:val="000000"/>
          <w:sz w:val="24"/>
          <w:szCs w:val="24"/>
          <w:shd w:val="clear" w:color="auto" w:fill="FFFFFF"/>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Con tale espressione si intende un missionario nominato direttamente da Propaganda fide e che da essa riceve facoltà e privilegi</w:t>
      </w:r>
      <w:r w:rsidRPr="00F64FF8">
        <w:rPr>
          <w:sz w:val="24"/>
          <w:szCs w:val="24"/>
        </w:rPr>
        <w:t xml:space="preserve"> (</w:t>
      </w:r>
      <w:r w:rsidRPr="00610643">
        <w:rPr>
          <w:rFonts w:ascii="Times New Roman" w:hAnsi="Times New Roman" w:cs="Times New Roman"/>
          <w:sz w:val="24"/>
          <w:szCs w:val="24"/>
        </w:rPr>
        <w:t>S.</w:t>
      </w:r>
      <w:r>
        <w:rPr>
          <w:rFonts w:ascii="Times New Roman" w:hAnsi="Times New Roman" w:cs="Times New Roman"/>
          <w:sz w:val="24"/>
          <w:szCs w:val="24"/>
        </w:rPr>
        <w:t xml:space="preserve"> </w:t>
      </w:r>
      <w:r w:rsidRPr="00610643">
        <w:rPr>
          <w:rFonts w:ascii="Times New Roman" w:hAnsi="Times New Roman" w:cs="Times New Roman"/>
          <w:sz w:val="24"/>
          <w:szCs w:val="24"/>
        </w:rPr>
        <w:t>Paventi</w:t>
      </w:r>
      <w:r>
        <w:rPr>
          <w:sz w:val="24"/>
          <w:szCs w:val="24"/>
        </w:rPr>
        <w:t xml:space="preserve">, </w:t>
      </w:r>
      <w:r w:rsidRPr="00F64FF8">
        <w:rPr>
          <w:rFonts w:ascii="Times New Roman" w:hAnsi="Times New Roman" w:cs="Times New Roman"/>
          <w:i/>
          <w:sz w:val="24"/>
          <w:szCs w:val="24"/>
        </w:rPr>
        <w:t>Missionario</w:t>
      </w:r>
      <w:r w:rsidRPr="00F64FF8">
        <w:rPr>
          <w:rFonts w:ascii="Times New Roman" w:hAnsi="Times New Roman" w:cs="Times New Roman"/>
          <w:sz w:val="24"/>
          <w:szCs w:val="24"/>
        </w:rPr>
        <w:t xml:space="preserve"> in </w:t>
      </w:r>
      <w:r w:rsidRPr="00F64FF8">
        <w:rPr>
          <w:rFonts w:ascii="Times New Roman" w:hAnsi="Times New Roman" w:cs="Times New Roman"/>
          <w:i/>
          <w:color w:val="000000"/>
          <w:sz w:val="24"/>
          <w:szCs w:val="24"/>
          <w:shd w:val="clear" w:color="auto" w:fill="FFFFFF"/>
        </w:rPr>
        <w:t>Enciclopedia cattolica</w:t>
      </w:r>
      <w:r w:rsidRPr="00F64FF8">
        <w:rPr>
          <w:rFonts w:ascii="Times New Roman" w:hAnsi="Times New Roman" w:cs="Times New Roman"/>
          <w:color w:val="000000"/>
          <w:sz w:val="24"/>
          <w:szCs w:val="24"/>
          <w:shd w:val="clear" w:color="auto" w:fill="FFFFFF"/>
        </w:rPr>
        <w:t>, volume XIII, 1952, Roma, p. 1107).</w:t>
      </w:r>
    </w:p>
  </w:footnote>
  <w:footnote w:id="49">
    <w:p w14:paraId="5351B287"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S.C.S Officii, </w:t>
      </w:r>
      <w:r w:rsidRPr="00F64FF8">
        <w:rPr>
          <w:rFonts w:ascii="Times New Roman" w:hAnsi="Times New Roman" w:cs="Times New Roman"/>
          <w:i/>
          <w:sz w:val="24"/>
          <w:szCs w:val="24"/>
        </w:rPr>
        <w:t>Decretum</w:t>
      </w:r>
      <w:r w:rsidRPr="00F64FF8">
        <w:rPr>
          <w:rFonts w:ascii="Times New Roman" w:hAnsi="Times New Roman" w:cs="Times New Roman"/>
          <w:sz w:val="24"/>
          <w:szCs w:val="24"/>
        </w:rPr>
        <w:t>, 21 aprile 1909 in AAS 1909, p</w:t>
      </w:r>
      <w:r>
        <w:rPr>
          <w:rFonts w:ascii="Times New Roman" w:hAnsi="Times New Roman" w:cs="Times New Roman"/>
          <w:sz w:val="24"/>
          <w:szCs w:val="24"/>
        </w:rPr>
        <w:t>.</w:t>
      </w:r>
      <w:r w:rsidRPr="00F64FF8">
        <w:rPr>
          <w:rFonts w:ascii="Times New Roman" w:hAnsi="Times New Roman" w:cs="Times New Roman"/>
          <w:sz w:val="24"/>
          <w:szCs w:val="24"/>
        </w:rPr>
        <w:t xml:space="preserve"> 465.</w:t>
      </w:r>
    </w:p>
  </w:footnote>
  <w:footnote w:id="50">
    <w:p w14:paraId="003ABC1D"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610643">
        <w:rPr>
          <w:rFonts w:ascii="Times New Roman" w:hAnsi="Times New Roman" w:cs="Times New Roman"/>
          <w:i/>
          <w:sz w:val="24"/>
          <w:szCs w:val="24"/>
        </w:rPr>
        <w:t>Codex iuris canonici</w:t>
      </w:r>
      <w:r w:rsidRPr="00F64FF8">
        <w:rPr>
          <w:rFonts w:ascii="Times New Roman" w:hAnsi="Times New Roman" w:cs="Times New Roman"/>
          <w:sz w:val="24"/>
          <w:szCs w:val="24"/>
        </w:rPr>
        <w:t xml:space="preserve"> 1917, can.257.</w:t>
      </w:r>
    </w:p>
  </w:footnote>
  <w:footnote w:id="51">
    <w:p w14:paraId="684F5A8E"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J.Metzler, </w:t>
      </w:r>
      <w:r w:rsidRPr="00F64FF8">
        <w:rPr>
          <w:rFonts w:ascii="Times New Roman" w:hAnsi="Times New Roman" w:cs="Times New Roman"/>
          <w:i/>
          <w:sz w:val="24"/>
          <w:szCs w:val="24"/>
        </w:rPr>
        <w:t>La Santa sede e le missioni</w:t>
      </w:r>
      <w:r w:rsidRPr="00F64FF8">
        <w:rPr>
          <w:rFonts w:ascii="Times New Roman" w:hAnsi="Times New Roman" w:cs="Times New Roman"/>
          <w:sz w:val="24"/>
          <w:szCs w:val="24"/>
        </w:rPr>
        <w:t>, cit.,</w:t>
      </w:r>
      <w:r>
        <w:rPr>
          <w:rFonts w:ascii="Times New Roman" w:hAnsi="Times New Roman" w:cs="Times New Roman"/>
          <w:sz w:val="24"/>
          <w:szCs w:val="24"/>
        </w:rPr>
        <w:t xml:space="preserve"> </w:t>
      </w:r>
      <w:r w:rsidRPr="00F64FF8">
        <w:rPr>
          <w:rFonts w:ascii="Times New Roman" w:hAnsi="Times New Roman" w:cs="Times New Roman"/>
          <w:sz w:val="24"/>
          <w:szCs w:val="24"/>
        </w:rPr>
        <w:t>p</w:t>
      </w:r>
      <w:r>
        <w:rPr>
          <w:rFonts w:ascii="Times New Roman" w:hAnsi="Times New Roman" w:cs="Times New Roman"/>
          <w:sz w:val="24"/>
          <w:szCs w:val="24"/>
        </w:rPr>
        <w:t>.</w:t>
      </w:r>
      <w:r w:rsidRPr="00F64FF8">
        <w:rPr>
          <w:rFonts w:ascii="Times New Roman" w:hAnsi="Times New Roman" w:cs="Times New Roman"/>
          <w:sz w:val="24"/>
          <w:szCs w:val="24"/>
        </w:rPr>
        <w:t xml:space="preserve"> 198.</w:t>
      </w:r>
    </w:p>
  </w:footnote>
  <w:footnote w:id="52">
    <w:p w14:paraId="4751F85E" w14:textId="77777777" w:rsidR="00F202D0" w:rsidRPr="00F64FF8" w:rsidRDefault="00F202D0">
      <w:pPr>
        <w:pStyle w:val="Testonotaapidipagina"/>
        <w:rPr>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Ibidem.</w:t>
      </w:r>
    </w:p>
  </w:footnote>
  <w:footnote w:id="53">
    <w:p w14:paraId="2EB1FCE6" w14:textId="77777777" w:rsidR="00F202D0" w:rsidRPr="00F64FF8" w:rsidRDefault="00F202D0">
      <w:pPr>
        <w:pStyle w:val="Testonotaapidipagina"/>
        <w:rPr>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Ibidem.</w:t>
      </w:r>
    </w:p>
  </w:footnote>
  <w:footnote w:id="54">
    <w:p w14:paraId="7D3FD9B8" w14:textId="77777777" w:rsidR="00F202D0" w:rsidRPr="00F64FF8" w:rsidRDefault="00F202D0">
      <w:pPr>
        <w:pStyle w:val="Testonotaapidipagina"/>
        <w:rPr>
          <w:rFonts w:ascii="Times New Roman" w:hAnsi="Times New Roman" w:cs="Times New Roman"/>
          <w:i/>
          <w:sz w:val="24"/>
          <w:szCs w:val="24"/>
          <w:lang w:val="en-US"/>
        </w:rPr>
      </w:pPr>
      <w:r w:rsidRPr="00F64FF8">
        <w:rPr>
          <w:rStyle w:val="Rimandonotaapidipagina"/>
          <w:rFonts w:ascii="Times New Roman" w:hAnsi="Times New Roman" w:cs="Times New Roman"/>
          <w:i/>
          <w:sz w:val="24"/>
          <w:szCs w:val="24"/>
        </w:rPr>
        <w:footnoteRef/>
      </w:r>
      <w:r w:rsidRPr="00F64FF8">
        <w:rPr>
          <w:rFonts w:ascii="Times New Roman" w:hAnsi="Times New Roman" w:cs="Times New Roman"/>
          <w:i/>
          <w:sz w:val="24"/>
          <w:szCs w:val="24"/>
          <w:lang w:val="en-US"/>
        </w:rPr>
        <w:t xml:space="preserve"> Ibidem.</w:t>
      </w:r>
    </w:p>
  </w:footnote>
  <w:footnote w:id="55">
    <w:p w14:paraId="159063B4" w14:textId="77777777" w:rsidR="00F202D0" w:rsidRPr="00F64FF8" w:rsidRDefault="00F202D0">
      <w:pPr>
        <w:pStyle w:val="Testonotaapidipagina"/>
        <w:rPr>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Ibidem.</w:t>
      </w:r>
    </w:p>
  </w:footnote>
  <w:footnote w:id="56">
    <w:p w14:paraId="5F4DAD9B" w14:textId="77777777" w:rsidR="00F202D0" w:rsidRPr="00F64FF8" w:rsidRDefault="00F202D0">
      <w:pPr>
        <w:pStyle w:val="Testonotaapidipagina"/>
        <w:rPr>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Ibidem.</w:t>
      </w:r>
    </w:p>
  </w:footnote>
  <w:footnote w:id="57">
    <w:p w14:paraId="4209FC82"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Ibidem.</w:t>
      </w:r>
    </w:p>
    <w:p w14:paraId="1428E1F8" w14:textId="77777777" w:rsidR="00F202D0" w:rsidRPr="00F64FF8" w:rsidRDefault="00F202D0">
      <w:pPr>
        <w:pStyle w:val="Testonotaapidipagina"/>
        <w:rPr>
          <w:sz w:val="24"/>
          <w:szCs w:val="24"/>
        </w:rPr>
      </w:pPr>
    </w:p>
  </w:footnote>
  <w:footnote w:id="58">
    <w:p w14:paraId="7F71994B"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610643">
        <w:rPr>
          <w:rFonts w:ascii="Times New Roman" w:hAnsi="Times New Roman" w:cs="Times New Roman"/>
          <w:i/>
          <w:sz w:val="24"/>
          <w:szCs w:val="24"/>
        </w:rPr>
        <w:t>Codex iuris canonici</w:t>
      </w:r>
      <w:r w:rsidRPr="00F64FF8">
        <w:rPr>
          <w:rFonts w:ascii="Times New Roman" w:hAnsi="Times New Roman" w:cs="Times New Roman"/>
          <w:sz w:val="24"/>
          <w:szCs w:val="24"/>
        </w:rPr>
        <w:t xml:space="preserve"> 1917, can. 252 cit. </w:t>
      </w:r>
      <w:r w:rsidRPr="00F64FF8">
        <w:rPr>
          <w:rFonts w:ascii="Times New Roman" w:hAnsi="Times New Roman" w:cs="Times New Roman"/>
          <w:i/>
          <w:sz w:val="24"/>
          <w:szCs w:val="24"/>
        </w:rPr>
        <w:t>passim.</w:t>
      </w:r>
    </w:p>
  </w:footnote>
  <w:footnote w:id="59">
    <w:p w14:paraId="4412C6E9"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Pr>
          <w:rFonts w:ascii="Times New Roman" w:hAnsi="Times New Roman" w:cs="Times New Roman"/>
          <w:sz w:val="24"/>
          <w:szCs w:val="24"/>
        </w:rPr>
        <w:t>S</w:t>
      </w:r>
      <w:r w:rsidRPr="00F64FF8">
        <w:rPr>
          <w:rFonts w:ascii="Times New Roman" w:hAnsi="Times New Roman" w:cs="Times New Roman"/>
          <w:sz w:val="24"/>
          <w:szCs w:val="24"/>
        </w:rPr>
        <w:t xml:space="preserve">.Paventi, </w:t>
      </w:r>
      <w:r w:rsidRPr="00F64FF8">
        <w:rPr>
          <w:rFonts w:ascii="Times New Roman" w:hAnsi="Times New Roman" w:cs="Times New Roman"/>
          <w:i/>
          <w:sz w:val="24"/>
          <w:szCs w:val="24"/>
        </w:rPr>
        <w:t>La Chiesa missionaria dottrinale</w:t>
      </w:r>
      <w:r>
        <w:rPr>
          <w:rFonts w:ascii="Times New Roman" w:hAnsi="Times New Roman" w:cs="Times New Roman"/>
          <w:i/>
          <w:sz w:val="24"/>
          <w:szCs w:val="24"/>
        </w:rPr>
        <w:t>,</w:t>
      </w:r>
      <w:r w:rsidRPr="00F64FF8">
        <w:rPr>
          <w:rFonts w:ascii="Times New Roman" w:hAnsi="Times New Roman" w:cs="Times New Roman"/>
          <w:sz w:val="24"/>
          <w:szCs w:val="24"/>
        </w:rPr>
        <w:t xml:space="preserve"> cit., p</w:t>
      </w:r>
      <w:r>
        <w:rPr>
          <w:rFonts w:ascii="Times New Roman" w:hAnsi="Times New Roman" w:cs="Times New Roman"/>
          <w:sz w:val="24"/>
          <w:szCs w:val="24"/>
        </w:rPr>
        <w:t>.</w:t>
      </w:r>
      <w:r w:rsidRPr="00F64FF8">
        <w:rPr>
          <w:rFonts w:ascii="Times New Roman" w:hAnsi="Times New Roman" w:cs="Times New Roman"/>
          <w:sz w:val="24"/>
          <w:szCs w:val="24"/>
        </w:rPr>
        <w:t xml:space="preserve"> 257.</w:t>
      </w:r>
    </w:p>
  </w:footnote>
  <w:footnote w:id="60">
    <w:p w14:paraId="1F65AB71"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cstheme="minorHAnsi"/>
          <w:sz w:val="24"/>
          <w:szCs w:val="24"/>
        </w:rPr>
        <w:t>«</w:t>
      </w:r>
      <w:r w:rsidRPr="00F64FF8">
        <w:rPr>
          <w:rFonts w:ascii="Times New Roman" w:hAnsi="Times New Roman" w:cs="Times New Roman"/>
          <w:sz w:val="24"/>
          <w:szCs w:val="24"/>
        </w:rPr>
        <w:t xml:space="preserve">Già dai primi anni di Propaganda la dizione “apostolico” venne applicata anche alle cariche più elevate del clero missionario: il prefetto apostolico è il superiore della missione e il vicario apostolico è il vescovo missionario nominato da Roma». G.Pizzoruso, </w:t>
      </w:r>
      <w:r w:rsidRPr="00F64FF8">
        <w:rPr>
          <w:rFonts w:ascii="Times New Roman" w:hAnsi="Times New Roman" w:cs="Times New Roman"/>
          <w:i/>
          <w:sz w:val="24"/>
          <w:szCs w:val="24"/>
        </w:rPr>
        <w:t xml:space="preserve">La Congregazione romana “de propaganda fide” e la duplice fedeltà dei missionari tra monarchie coloniali e universalismo pontificio (XVIII secolo), </w:t>
      </w:r>
      <w:r w:rsidRPr="00F64FF8">
        <w:rPr>
          <w:rFonts w:ascii="Times New Roman" w:hAnsi="Times New Roman" w:cs="Times New Roman"/>
          <w:sz w:val="24"/>
          <w:szCs w:val="24"/>
        </w:rPr>
        <w:t>in</w:t>
      </w:r>
      <w:r w:rsidRPr="00F64FF8">
        <w:rPr>
          <w:rFonts w:ascii="Times New Roman" w:hAnsi="Times New Roman" w:cs="Times New Roman"/>
          <w:i/>
          <w:sz w:val="24"/>
          <w:szCs w:val="24"/>
        </w:rPr>
        <w:t xml:space="preserve"> Librosdelacorte.es, Monográfico</w:t>
      </w:r>
      <w:r w:rsidRPr="00F64FF8">
        <w:rPr>
          <w:rFonts w:ascii="Times New Roman" w:hAnsi="Times New Roman" w:cs="Times New Roman"/>
          <w:sz w:val="24"/>
          <w:szCs w:val="24"/>
        </w:rPr>
        <w:t xml:space="preserve"> 1, 2014</w:t>
      </w:r>
      <w:r>
        <w:rPr>
          <w:rFonts w:ascii="Times New Roman" w:hAnsi="Times New Roman" w:cs="Times New Roman"/>
          <w:sz w:val="24"/>
          <w:szCs w:val="24"/>
        </w:rPr>
        <w:t>.</w:t>
      </w:r>
    </w:p>
  </w:footnote>
  <w:footnote w:id="61">
    <w:p w14:paraId="1A6EDCE1" w14:textId="77777777" w:rsidR="00F202D0" w:rsidRPr="00196FD4" w:rsidRDefault="00F202D0" w:rsidP="00383122">
      <w:pPr>
        <w:pStyle w:val="Testonotaapidipagina"/>
        <w:rPr>
          <w:sz w:val="24"/>
          <w:szCs w:val="24"/>
          <w:lang w:val="en-US"/>
        </w:rPr>
      </w:pPr>
      <w:r w:rsidRPr="00F64FF8">
        <w:rPr>
          <w:rStyle w:val="Rimandonotaapidipagina"/>
          <w:rFonts w:ascii="Times New Roman" w:hAnsi="Times New Roman" w:cs="Times New Roman"/>
          <w:sz w:val="24"/>
          <w:szCs w:val="24"/>
        </w:rPr>
        <w:footnoteRef/>
      </w:r>
      <w:r w:rsidRPr="00196FD4">
        <w:rPr>
          <w:rFonts w:ascii="Times New Roman" w:hAnsi="Times New Roman" w:cs="Times New Roman"/>
          <w:sz w:val="24"/>
          <w:szCs w:val="24"/>
          <w:lang w:val="en-US"/>
        </w:rPr>
        <w:t xml:space="preserve"> </w:t>
      </w:r>
      <w:r w:rsidRPr="00196FD4">
        <w:rPr>
          <w:rFonts w:ascii="Times New Roman" w:hAnsi="Times New Roman" w:cs="Times New Roman"/>
          <w:i/>
          <w:sz w:val="24"/>
          <w:szCs w:val="24"/>
          <w:lang w:val="en-US"/>
        </w:rPr>
        <w:t>Ibidem</w:t>
      </w:r>
      <w:r w:rsidRPr="00196FD4">
        <w:rPr>
          <w:rFonts w:ascii="Times New Roman" w:hAnsi="Times New Roman" w:cs="Times New Roman"/>
          <w:sz w:val="24"/>
          <w:szCs w:val="24"/>
          <w:lang w:val="en-US"/>
        </w:rPr>
        <w:t>, p. 291.</w:t>
      </w:r>
    </w:p>
  </w:footnote>
  <w:footnote w:id="62">
    <w:p w14:paraId="2A1C5A83" w14:textId="77777777" w:rsidR="00F202D0" w:rsidRPr="00196FD4" w:rsidRDefault="00F202D0" w:rsidP="00383122">
      <w:pPr>
        <w:pStyle w:val="Testonotaapidipagina"/>
        <w:rPr>
          <w:sz w:val="24"/>
          <w:szCs w:val="24"/>
          <w:lang w:val="en-US"/>
        </w:rPr>
      </w:pPr>
      <w:r w:rsidRPr="00F64FF8">
        <w:rPr>
          <w:rStyle w:val="Rimandonotaapidipagina"/>
          <w:sz w:val="24"/>
          <w:szCs w:val="24"/>
        </w:rPr>
        <w:footnoteRef/>
      </w:r>
      <w:r w:rsidRPr="00196FD4">
        <w:rPr>
          <w:sz w:val="24"/>
          <w:szCs w:val="24"/>
          <w:lang w:val="en-US"/>
        </w:rPr>
        <w:t xml:space="preserve"> </w:t>
      </w:r>
      <w:r w:rsidRPr="00196FD4">
        <w:rPr>
          <w:rFonts w:ascii="Times New Roman" w:hAnsi="Times New Roman" w:cs="Times New Roman"/>
          <w:i/>
          <w:sz w:val="24"/>
          <w:szCs w:val="24"/>
          <w:lang w:val="en-US"/>
        </w:rPr>
        <w:t>Ibidem</w:t>
      </w:r>
      <w:r w:rsidRPr="00196FD4">
        <w:rPr>
          <w:rFonts w:ascii="Times New Roman" w:hAnsi="Times New Roman" w:cs="Times New Roman"/>
          <w:sz w:val="24"/>
          <w:szCs w:val="24"/>
          <w:lang w:val="en-US"/>
        </w:rPr>
        <w:t>, pp. 292-293.</w:t>
      </w:r>
    </w:p>
  </w:footnote>
  <w:footnote w:id="63">
    <w:p w14:paraId="1CC924F7" w14:textId="77777777" w:rsidR="00F202D0" w:rsidRPr="00196FD4" w:rsidRDefault="00F202D0" w:rsidP="00383122">
      <w:pPr>
        <w:pStyle w:val="Testonotaapidipagina"/>
        <w:rPr>
          <w:sz w:val="24"/>
          <w:szCs w:val="24"/>
          <w:lang w:val="en-US"/>
        </w:rPr>
      </w:pPr>
      <w:r w:rsidRPr="00F64FF8">
        <w:rPr>
          <w:rStyle w:val="Rimandonotaapidipagina"/>
          <w:sz w:val="24"/>
          <w:szCs w:val="24"/>
        </w:rPr>
        <w:footnoteRef/>
      </w:r>
      <w:r w:rsidRPr="00196FD4">
        <w:rPr>
          <w:sz w:val="24"/>
          <w:szCs w:val="24"/>
          <w:lang w:val="en-US"/>
        </w:rPr>
        <w:t xml:space="preserve"> </w:t>
      </w:r>
      <w:r w:rsidRPr="00610643">
        <w:rPr>
          <w:rFonts w:ascii="Times New Roman" w:hAnsi="Times New Roman" w:cs="Times New Roman"/>
          <w:i/>
          <w:sz w:val="24"/>
          <w:szCs w:val="24"/>
          <w:lang w:val="en-US"/>
        </w:rPr>
        <w:t>Codex iuris canonici</w:t>
      </w:r>
      <w:r w:rsidRPr="00196FD4">
        <w:rPr>
          <w:rFonts w:ascii="Times New Roman" w:hAnsi="Times New Roman" w:cs="Times New Roman"/>
          <w:sz w:val="24"/>
          <w:szCs w:val="24"/>
          <w:lang w:val="en-US"/>
        </w:rPr>
        <w:t xml:space="preserve"> 1917, can. 252.</w:t>
      </w:r>
    </w:p>
  </w:footnote>
  <w:footnote w:id="64">
    <w:p w14:paraId="6B9BD53F" w14:textId="77777777" w:rsidR="00F202D0" w:rsidRPr="00196FD4" w:rsidRDefault="00F202D0" w:rsidP="00383122">
      <w:pPr>
        <w:pStyle w:val="Testonotaapidipagina"/>
        <w:rPr>
          <w:rFonts w:ascii="Times New Roman" w:hAnsi="Times New Roman" w:cs="Times New Roman"/>
          <w:i/>
          <w:sz w:val="24"/>
          <w:szCs w:val="24"/>
          <w:lang w:val="en-US"/>
        </w:rPr>
      </w:pPr>
      <w:r w:rsidRPr="00F64FF8">
        <w:rPr>
          <w:rStyle w:val="Rimandonotaapidipagina"/>
          <w:sz w:val="24"/>
          <w:szCs w:val="24"/>
        </w:rPr>
        <w:footnoteRef/>
      </w:r>
      <w:r w:rsidRPr="00196FD4">
        <w:rPr>
          <w:sz w:val="24"/>
          <w:szCs w:val="24"/>
          <w:lang w:val="en-US"/>
        </w:rPr>
        <w:t xml:space="preserve"> </w:t>
      </w:r>
      <w:r w:rsidRPr="00196FD4">
        <w:rPr>
          <w:rFonts w:ascii="Times New Roman" w:hAnsi="Times New Roman" w:cs="Times New Roman"/>
          <w:i/>
          <w:sz w:val="24"/>
          <w:szCs w:val="24"/>
          <w:lang w:val="en-US"/>
        </w:rPr>
        <w:t>Ibidem.</w:t>
      </w:r>
    </w:p>
  </w:footnote>
  <w:footnote w:id="65">
    <w:p w14:paraId="5450B098" w14:textId="519BA01E"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bookmarkStart w:id="3" w:name="_Hlk106459753"/>
      <w:r>
        <w:rPr>
          <w:rFonts w:ascii="Times New Roman" w:hAnsi="Times New Roman" w:cs="Times New Roman"/>
          <w:sz w:val="24"/>
          <w:szCs w:val="24"/>
        </w:rPr>
        <w:t>S</w:t>
      </w:r>
      <w:r w:rsidRPr="00F64FF8">
        <w:rPr>
          <w:rFonts w:ascii="Times New Roman" w:hAnsi="Times New Roman" w:cs="Times New Roman"/>
          <w:sz w:val="24"/>
          <w:szCs w:val="24"/>
        </w:rPr>
        <w:t>.</w:t>
      </w:r>
      <w:r>
        <w:rPr>
          <w:rFonts w:ascii="Times New Roman" w:hAnsi="Times New Roman" w:cs="Times New Roman"/>
          <w:sz w:val="24"/>
          <w:szCs w:val="24"/>
        </w:rPr>
        <w:t xml:space="preserve"> </w:t>
      </w:r>
      <w:r w:rsidRPr="00F64FF8">
        <w:rPr>
          <w:rFonts w:ascii="Times New Roman" w:hAnsi="Times New Roman" w:cs="Times New Roman"/>
          <w:sz w:val="24"/>
          <w:szCs w:val="24"/>
        </w:rPr>
        <w:t xml:space="preserve">Paventi, </w:t>
      </w:r>
      <w:r w:rsidRPr="00F64FF8">
        <w:rPr>
          <w:rFonts w:ascii="Times New Roman" w:hAnsi="Times New Roman" w:cs="Times New Roman"/>
          <w:i/>
          <w:sz w:val="24"/>
          <w:szCs w:val="24"/>
        </w:rPr>
        <w:t>La Chiesa missionaria dottrinale. Manuale di missionologia</w:t>
      </w:r>
      <w:r w:rsidRPr="00F64FF8">
        <w:rPr>
          <w:rFonts w:ascii="Times New Roman" w:hAnsi="Times New Roman" w:cs="Times New Roman"/>
          <w:sz w:val="24"/>
          <w:szCs w:val="24"/>
        </w:rPr>
        <w:t>, cit., p 270.</w:t>
      </w:r>
      <w:bookmarkEnd w:id="3"/>
    </w:p>
  </w:footnote>
  <w:footnote w:id="66">
    <w:p w14:paraId="3693A7D6"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24444">
        <w:rPr>
          <w:rFonts w:ascii="Times New Roman" w:hAnsi="Times New Roman" w:cs="Times New Roman"/>
          <w:i/>
          <w:sz w:val="24"/>
          <w:szCs w:val="24"/>
        </w:rPr>
        <w:t>Codex iuris canonici</w:t>
      </w:r>
      <w:r w:rsidRPr="00F64FF8">
        <w:rPr>
          <w:rFonts w:ascii="Times New Roman" w:hAnsi="Times New Roman" w:cs="Times New Roman"/>
          <w:sz w:val="24"/>
          <w:szCs w:val="24"/>
        </w:rPr>
        <w:t xml:space="preserve"> 1917, can. 285.</w:t>
      </w:r>
    </w:p>
  </w:footnote>
  <w:footnote w:id="67">
    <w:p w14:paraId="599A96CE"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Vedi</w:t>
      </w:r>
      <w:r w:rsidRPr="00F64FF8">
        <w:rPr>
          <w:sz w:val="24"/>
          <w:szCs w:val="24"/>
        </w:rPr>
        <w:t xml:space="preserve"> </w:t>
      </w:r>
      <w:r w:rsidRPr="00F24444">
        <w:rPr>
          <w:rFonts w:ascii="Times New Roman" w:hAnsi="Times New Roman" w:cs="Times New Roman"/>
          <w:i/>
          <w:sz w:val="24"/>
          <w:szCs w:val="24"/>
        </w:rPr>
        <w:t>Codex iuris canonici</w:t>
      </w:r>
      <w:r w:rsidRPr="00F64FF8">
        <w:rPr>
          <w:rFonts w:ascii="Times New Roman" w:hAnsi="Times New Roman" w:cs="Times New Roman"/>
          <w:sz w:val="24"/>
          <w:szCs w:val="24"/>
        </w:rPr>
        <w:t xml:space="preserve"> 1917, can 292, 432, 1594.</w:t>
      </w:r>
    </w:p>
  </w:footnote>
  <w:footnote w:id="68">
    <w:p w14:paraId="1A98436A" w14:textId="77777777" w:rsidR="00F202D0" w:rsidRPr="00F64FF8" w:rsidRDefault="00F202D0">
      <w:pPr>
        <w:pStyle w:val="Testonotaapidipagina"/>
        <w:rPr>
          <w:sz w:val="24"/>
          <w:szCs w:val="24"/>
        </w:rPr>
      </w:pPr>
      <w:r w:rsidRPr="00F64FF8">
        <w:rPr>
          <w:rStyle w:val="Rimandonotaapidipagina"/>
          <w:sz w:val="24"/>
          <w:szCs w:val="24"/>
        </w:rPr>
        <w:footnoteRef/>
      </w:r>
      <w:r w:rsidRPr="00F64FF8">
        <w:rPr>
          <w:sz w:val="24"/>
          <w:szCs w:val="24"/>
        </w:rPr>
        <w:t xml:space="preserve">  </w:t>
      </w:r>
      <w:r>
        <w:rPr>
          <w:rFonts w:ascii="Times New Roman" w:hAnsi="Times New Roman" w:cs="Times New Roman"/>
          <w:sz w:val="24"/>
          <w:szCs w:val="24"/>
        </w:rPr>
        <w:t>S</w:t>
      </w:r>
      <w:r w:rsidRPr="00F64FF8">
        <w:rPr>
          <w:rFonts w:ascii="Times New Roman" w:hAnsi="Times New Roman" w:cs="Times New Roman"/>
          <w:sz w:val="24"/>
          <w:szCs w:val="24"/>
        </w:rPr>
        <w:t xml:space="preserve">.Paventi, </w:t>
      </w:r>
      <w:r w:rsidRPr="00F64FF8">
        <w:rPr>
          <w:rFonts w:ascii="Times New Roman" w:hAnsi="Times New Roman" w:cs="Times New Roman"/>
          <w:i/>
          <w:sz w:val="24"/>
          <w:szCs w:val="24"/>
        </w:rPr>
        <w:t>La Chiesa missionaria dottrinale</w:t>
      </w:r>
      <w:r>
        <w:rPr>
          <w:rFonts w:ascii="Times New Roman" w:hAnsi="Times New Roman" w:cs="Times New Roman"/>
          <w:i/>
          <w:sz w:val="24"/>
          <w:szCs w:val="24"/>
        </w:rPr>
        <w:t xml:space="preserve">, </w:t>
      </w:r>
      <w:r w:rsidRPr="00F64FF8">
        <w:rPr>
          <w:rFonts w:ascii="Times New Roman" w:hAnsi="Times New Roman" w:cs="Times New Roman"/>
          <w:sz w:val="24"/>
          <w:szCs w:val="24"/>
        </w:rPr>
        <w:t>cit., p 277.</w:t>
      </w:r>
    </w:p>
  </w:footnote>
  <w:footnote w:id="69">
    <w:p w14:paraId="5E5F0688" w14:textId="77777777" w:rsidR="00F202D0" w:rsidRPr="00F64FF8" w:rsidRDefault="00F202D0">
      <w:pPr>
        <w:pStyle w:val="Testonotaapidipagina"/>
        <w:rPr>
          <w:i/>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Ibidem.</w:t>
      </w:r>
    </w:p>
  </w:footnote>
  <w:footnote w:id="70">
    <w:p w14:paraId="7E8A851D" w14:textId="77777777" w:rsidR="00F202D0" w:rsidRPr="00F64FF8" w:rsidRDefault="00F202D0" w:rsidP="00383122">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Metropolita</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Enciclopedia Treccani</w:t>
      </w:r>
      <w:r w:rsidRPr="00F64FF8">
        <w:rPr>
          <w:rFonts w:ascii="Times New Roman" w:hAnsi="Times New Roman" w:cs="Times New Roman"/>
          <w:sz w:val="24"/>
          <w:szCs w:val="24"/>
        </w:rPr>
        <w:t xml:space="preserve">, cit., </w:t>
      </w:r>
      <w:r w:rsidRPr="00F64FF8">
        <w:rPr>
          <w:rFonts w:ascii="Times New Roman" w:hAnsi="Times New Roman" w:cs="Times New Roman"/>
          <w:i/>
          <w:sz w:val="24"/>
          <w:szCs w:val="24"/>
        </w:rPr>
        <w:t>passim</w:t>
      </w:r>
      <w:r w:rsidRPr="00F64FF8">
        <w:rPr>
          <w:rFonts w:ascii="Times New Roman" w:hAnsi="Times New Roman" w:cs="Times New Roman"/>
          <w:sz w:val="24"/>
          <w:szCs w:val="24"/>
        </w:rPr>
        <w:t>.</w:t>
      </w:r>
    </w:p>
    <w:p w14:paraId="2321B774" w14:textId="77777777" w:rsidR="00F202D0" w:rsidRPr="00F24444" w:rsidRDefault="0024328D" w:rsidP="00383122">
      <w:pPr>
        <w:pStyle w:val="Testonotaapidipagina"/>
        <w:rPr>
          <w:rStyle w:val="Collegamentoipertestuale"/>
          <w:rFonts w:ascii="Times New Roman" w:hAnsi="Times New Roman" w:cs="Times New Roman"/>
          <w:color w:val="000000" w:themeColor="text1"/>
          <w:sz w:val="24"/>
          <w:szCs w:val="24"/>
        </w:rPr>
      </w:pPr>
      <w:hyperlink r:id="rId3" w:history="1">
        <w:r w:rsidR="00F202D0" w:rsidRPr="00F24444">
          <w:rPr>
            <w:rStyle w:val="Collegamentoipertestuale"/>
            <w:rFonts w:ascii="Times New Roman" w:hAnsi="Times New Roman" w:cs="Times New Roman"/>
            <w:color w:val="000000" w:themeColor="text1"/>
            <w:sz w:val="24"/>
            <w:szCs w:val="24"/>
          </w:rPr>
          <w:t>https://www.treccani.it/enciclopedia/metropolita/</w:t>
        </w:r>
      </w:hyperlink>
    </w:p>
    <w:p w14:paraId="5F8791D0" w14:textId="77777777" w:rsidR="00F202D0" w:rsidRPr="00F24444" w:rsidRDefault="00F202D0" w:rsidP="00383122">
      <w:pPr>
        <w:pStyle w:val="Testonotaapidipagina"/>
        <w:rPr>
          <w:rStyle w:val="Collegamentoipertestuale"/>
          <w:rFonts w:ascii="Times New Roman" w:hAnsi="Times New Roman" w:cs="Times New Roman"/>
          <w:color w:val="000000" w:themeColor="text1"/>
          <w:sz w:val="24"/>
          <w:szCs w:val="24"/>
        </w:rPr>
      </w:pPr>
      <w:r w:rsidRPr="00F24444">
        <w:rPr>
          <w:rFonts w:ascii="Times New Roman" w:hAnsi="Times New Roman" w:cs="Times New Roman"/>
          <w:color w:val="000000" w:themeColor="text1"/>
          <w:sz w:val="24"/>
          <w:szCs w:val="24"/>
        </w:rPr>
        <w:t>Consultato il 20/05/2022.</w:t>
      </w:r>
    </w:p>
    <w:p w14:paraId="6EF1CD00" w14:textId="77777777" w:rsidR="00F202D0" w:rsidRPr="00F24444" w:rsidRDefault="00F202D0" w:rsidP="00383122">
      <w:pPr>
        <w:pStyle w:val="Testonotaapidipagina"/>
        <w:rPr>
          <w:rFonts w:ascii="Times New Roman" w:hAnsi="Times New Roman" w:cs="Times New Roman"/>
          <w:color w:val="000000" w:themeColor="text1"/>
          <w:sz w:val="24"/>
          <w:szCs w:val="24"/>
        </w:rPr>
      </w:pPr>
    </w:p>
  </w:footnote>
  <w:footnote w:id="71">
    <w:p w14:paraId="4D525D2E"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Pr>
          <w:rFonts w:ascii="Times New Roman" w:hAnsi="Times New Roman" w:cs="Times New Roman"/>
          <w:sz w:val="24"/>
          <w:szCs w:val="24"/>
        </w:rPr>
        <w:t>S</w:t>
      </w:r>
      <w:r w:rsidRPr="00F64FF8">
        <w:rPr>
          <w:rFonts w:ascii="Times New Roman" w:hAnsi="Times New Roman" w:cs="Times New Roman"/>
          <w:sz w:val="24"/>
          <w:szCs w:val="24"/>
        </w:rPr>
        <w:t xml:space="preserve">.Paventi, </w:t>
      </w:r>
      <w:r w:rsidRPr="00F64FF8">
        <w:rPr>
          <w:rFonts w:ascii="Times New Roman" w:hAnsi="Times New Roman" w:cs="Times New Roman"/>
          <w:i/>
          <w:sz w:val="24"/>
          <w:szCs w:val="24"/>
        </w:rPr>
        <w:t>La Chiesa missionaria dottrinale</w:t>
      </w:r>
      <w:r w:rsidRPr="00F64FF8">
        <w:rPr>
          <w:rFonts w:ascii="Times New Roman" w:hAnsi="Times New Roman" w:cs="Times New Roman"/>
          <w:sz w:val="24"/>
          <w:szCs w:val="24"/>
        </w:rPr>
        <w:t>, cit., p 280.</w:t>
      </w:r>
    </w:p>
  </w:footnote>
  <w:footnote w:id="72">
    <w:p w14:paraId="6BCD8201" w14:textId="77777777" w:rsidR="00F202D0" w:rsidRPr="00F64FF8" w:rsidRDefault="00F202D0">
      <w:pPr>
        <w:pStyle w:val="Testonotaapidipagina"/>
        <w:rPr>
          <w:rFonts w:ascii="Times New Roman" w:hAnsi="Times New Roman" w:cs="Times New Roman"/>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Vescovi diocesani</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Edizione Simone</w:t>
      </w:r>
      <w:r w:rsidRPr="00F64FF8">
        <w:rPr>
          <w:rFonts w:ascii="Times New Roman" w:hAnsi="Times New Roman" w:cs="Times New Roman"/>
          <w:sz w:val="24"/>
          <w:szCs w:val="24"/>
        </w:rPr>
        <w:t>, cit.</w:t>
      </w:r>
      <w:r>
        <w:rPr>
          <w:rFonts w:ascii="Times New Roman" w:hAnsi="Times New Roman" w:cs="Times New Roman"/>
          <w:sz w:val="24"/>
          <w:szCs w:val="24"/>
        </w:rPr>
        <w:t>,</w:t>
      </w:r>
      <w:r w:rsidRPr="00F64FF8">
        <w:rPr>
          <w:rFonts w:ascii="Times New Roman" w:hAnsi="Times New Roman" w:cs="Times New Roman"/>
          <w:sz w:val="24"/>
          <w:szCs w:val="24"/>
        </w:rPr>
        <w:t xml:space="preserve"> </w:t>
      </w:r>
      <w:r w:rsidRPr="00F64FF8">
        <w:rPr>
          <w:rFonts w:ascii="Times New Roman" w:hAnsi="Times New Roman" w:cs="Times New Roman"/>
          <w:i/>
          <w:sz w:val="24"/>
          <w:szCs w:val="24"/>
        </w:rPr>
        <w:t>passim</w:t>
      </w:r>
      <w:r w:rsidRPr="00F64FF8">
        <w:rPr>
          <w:rFonts w:ascii="Times New Roman" w:hAnsi="Times New Roman" w:cs="Times New Roman"/>
          <w:sz w:val="24"/>
          <w:szCs w:val="24"/>
        </w:rPr>
        <w:t>.</w:t>
      </w:r>
    </w:p>
    <w:p w14:paraId="46014777" w14:textId="77777777" w:rsidR="00F202D0" w:rsidRPr="00F24444" w:rsidRDefault="0024328D">
      <w:pPr>
        <w:pStyle w:val="Testonotaapidipagina"/>
        <w:rPr>
          <w:rFonts w:ascii="Times New Roman" w:hAnsi="Times New Roman" w:cs="Times New Roman"/>
          <w:color w:val="000000" w:themeColor="text1"/>
          <w:sz w:val="24"/>
          <w:szCs w:val="24"/>
        </w:rPr>
      </w:pPr>
      <w:hyperlink r:id="rId4" w:history="1">
        <w:r w:rsidR="00F202D0" w:rsidRPr="00F24444">
          <w:rPr>
            <w:rStyle w:val="Collegamentoipertestuale"/>
            <w:rFonts w:ascii="Times New Roman" w:hAnsi="Times New Roman" w:cs="Times New Roman"/>
            <w:color w:val="000000" w:themeColor="text1"/>
            <w:sz w:val="24"/>
            <w:szCs w:val="24"/>
          </w:rPr>
          <w:t>https://dizionari.simone.it/9/vescovi-diocesani</w:t>
        </w:r>
      </w:hyperlink>
    </w:p>
    <w:p w14:paraId="3A1F77AC" w14:textId="77777777" w:rsidR="00F202D0" w:rsidRPr="00F24444" w:rsidRDefault="00F202D0">
      <w:pPr>
        <w:pStyle w:val="Testonotaapidipagina"/>
        <w:rPr>
          <w:rFonts w:ascii="Times New Roman" w:hAnsi="Times New Roman" w:cs="Times New Roman"/>
          <w:color w:val="000000" w:themeColor="text1"/>
          <w:sz w:val="24"/>
          <w:szCs w:val="24"/>
        </w:rPr>
      </w:pPr>
      <w:r w:rsidRPr="00F24444">
        <w:rPr>
          <w:rFonts w:ascii="Times New Roman" w:hAnsi="Times New Roman" w:cs="Times New Roman"/>
          <w:color w:val="000000" w:themeColor="text1"/>
          <w:sz w:val="24"/>
          <w:szCs w:val="24"/>
        </w:rPr>
        <w:t>consultato il 20/05/2022.</w:t>
      </w:r>
    </w:p>
  </w:footnote>
  <w:footnote w:id="73">
    <w:p w14:paraId="643EDA59" w14:textId="77777777" w:rsidR="00F202D0" w:rsidRPr="00F64FF8" w:rsidRDefault="00F202D0" w:rsidP="00383122">
      <w:pPr>
        <w:pStyle w:val="Testonotaapidipagina"/>
        <w:rPr>
          <w:rFonts w:ascii="Times New Roman" w:hAnsi="Times New Roman" w:cs="Times New Roman"/>
          <w:sz w:val="24"/>
          <w:szCs w:val="24"/>
        </w:rPr>
      </w:pPr>
      <w:r w:rsidRPr="00F64FF8">
        <w:rPr>
          <w:rStyle w:val="Rimandonotaapidipagina"/>
          <w:rFonts w:ascii="Times New Roman" w:hAnsi="Times New Roman" w:cs="Times New Roman"/>
          <w:sz w:val="24"/>
          <w:szCs w:val="24"/>
        </w:rPr>
        <w:footnoteRef/>
      </w:r>
      <w:r w:rsidRPr="00F64FF8">
        <w:rPr>
          <w:rFonts w:ascii="Times New Roman" w:hAnsi="Times New Roman" w:cs="Times New Roman"/>
          <w:sz w:val="24"/>
          <w:szCs w:val="24"/>
        </w:rPr>
        <w:t xml:space="preserve">  «la potestà ordinaria: è annessa ipso iure all’esercizio di un ufficio ecclesiastico determinato e si estingue con la perdita dell’ufficio stesso</w:t>
      </w:r>
      <w:r w:rsidRPr="00F64FF8">
        <w:rPr>
          <w:sz w:val="24"/>
          <w:szCs w:val="24"/>
        </w:rPr>
        <w:t xml:space="preserve">. </w:t>
      </w:r>
      <w:r w:rsidRPr="00F64FF8">
        <w:rPr>
          <w:rFonts w:ascii="Times New Roman" w:hAnsi="Times New Roman" w:cs="Times New Roman"/>
          <w:sz w:val="24"/>
          <w:szCs w:val="24"/>
        </w:rPr>
        <w:t xml:space="preserve">Tale potestà può essere propria se connaturata all’ufficio stesso ed esercitata dal titolare dell’ufficio in nome proprio, o vicaria se è esercitata da soggetto diverso dal titolare». </w:t>
      </w:r>
    </w:p>
    <w:p w14:paraId="5A4B7281" w14:textId="77777777" w:rsidR="00F202D0" w:rsidRPr="00F64FF8" w:rsidRDefault="00F202D0" w:rsidP="00383122">
      <w:pPr>
        <w:pStyle w:val="Testonotaapidipagina"/>
        <w:rPr>
          <w:rFonts w:ascii="Times New Roman" w:hAnsi="Times New Roman" w:cs="Times New Roman"/>
          <w:i/>
          <w:sz w:val="24"/>
          <w:szCs w:val="24"/>
        </w:rPr>
      </w:pPr>
      <w:r w:rsidRPr="00F64FF8">
        <w:rPr>
          <w:rFonts w:ascii="Times New Roman" w:hAnsi="Times New Roman" w:cs="Times New Roman"/>
          <w:i/>
          <w:sz w:val="24"/>
          <w:szCs w:val="24"/>
        </w:rPr>
        <w:t>(Potestà di governo</w:t>
      </w:r>
      <w:r w:rsidRPr="00F64FF8">
        <w:rPr>
          <w:rFonts w:ascii="Times New Roman" w:hAnsi="Times New Roman" w:cs="Times New Roman"/>
          <w:sz w:val="24"/>
          <w:szCs w:val="24"/>
        </w:rPr>
        <w:t xml:space="preserve">, in </w:t>
      </w:r>
      <w:r w:rsidRPr="00F64FF8">
        <w:rPr>
          <w:rFonts w:ascii="Times New Roman" w:hAnsi="Times New Roman" w:cs="Times New Roman"/>
          <w:i/>
          <w:sz w:val="24"/>
          <w:szCs w:val="24"/>
        </w:rPr>
        <w:t>Dizionari Simone).</w:t>
      </w:r>
    </w:p>
    <w:p w14:paraId="1B74A777" w14:textId="77777777" w:rsidR="00F202D0" w:rsidRPr="00F24444" w:rsidRDefault="0024328D" w:rsidP="00383122">
      <w:pPr>
        <w:pStyle w:val="Testonotaapidipagina"/>
        <w:rPr>
          <w:rFonts w:ascii="Times New Roman" w:hAnsi="Times New Roman" w:cs="Times New Roman"/>
          <w:color w:val="000000" w:themeColor="text1"/>
          <w:sz w:val="24"/>
          <w:szCs w:val="24"/>
        </w:rPr>
      </w:pPr>
      <w:hyperlink r:id="rId5" w:anchor=":~:text=La%20potest%C3%A0%20ordinaria%20a%20sua,e%20del%20suo%20vicario%20generale" w:history="1">
        <w:r w:rsidR="00F202D0" w:rsidRPr="00F24444">
          <w:rPr>
            <w:rStyle w:val="Collegamentoipertestuale"/>
            <w:rFonts w:ascii="Times New Roman" w:hAnsi="Times New Roman" w:cs="Times New Roman"/>
            <w:color w:val="000000" w:themeColor="text1"/>
            <w:sz w:val="24"/>
            <w:szCs w:val="24"/>
          </w:rPr>
          <w:t>https://dizionari.simone.it/9/potesta-di-governo#:~:text=La%20potest%C3%A0%20ordinaria%20a%20sua,e%20del%20suo%20vicario%20generale</w:t>
        </w:r>
      </w:hyperlink>
      <w:r w:rsidR="00F202D0" w:rsidRPr="00F24444">
        <w:rPr>
          <w:rFonts w:ascii="Times New Roman" w:hAnsi="Times New Roman" w:cs="Times New Roman"/>
          <w:color w:val="000000" w:themeColor="text1"/>
          <w:sz w:val="24"/>
          <w:szCs w:val="24"/>
        </w:rPr>
        <w:t>.</w:t>
      </w:r>
    </w:p>
    <w:p w14:paraId="65494995" w14:textId="77777777" w:rsidR="00F202D0" w:rsidRPr="00F64FF8" w:rsidRDefault="00F202D0" w:rsidP="00383122">
      <w:pPr>
        <w:pStyle w:val="Testonotaapidipagina"/>
        <w:rPr>
          <w:rFonts w:ascii="Times New Roman" w:hAnsi="Times New Roman" w:cs="Times New Roman"/>
          <w:sz w:val="24"/>
          <w:szCs w:val="24"/>
        </w:rPr>
      </w:pPr>
      <w:r w:rsidRPr="00F24444">
        <w:rPr>
          <w:rFonts w:ascii="Times New Roman" w:hAnsi="Times New Roman" w:cs="Times New Roman"/>
          <w:color w:val="000000" w:themeColor="text1"/>
          <w:sz w:val="24"/>
          <w:szCs w:val="24"/>
        </w:rPr>
        <w:t>Consultato il</w:t>
      </w:r>
      <w:r>
        <w:rPr>
          <w:rFonts w:ascii="Times New Roman" w:hAnsi="Times New Roman" w:cs="Times New Roman"/>
          <w:sz w:val="24"/>
          <w:szCs w:val="24"/>
        </w:rPr>
        <w:t xml:space="preserve"> 30/05/22.</w:t>
      </w:r>
    </w:p>
    <w:p w14:paraId="4798D2AA" w14:textId="77777777" w:rsidR="00F202D0" w:rsidRPr="00F64FF8" w:rsidRDefault="00F202D0" w:rsidP="00383122">
      <w:pPr>
        <w:pStyle w:val="Testonotaapidipagina"/>
        <w:rPr>
          <w:rFonts w:ascii="Times New Roman" w:hAnsi="Times New Roman" w:cs="Times New Roman"/>
          <w:sz w:val="24"/>
          <w:szCs w:val="24"/>
        </w:rPr>
      </w:pPr>
    </w:p>
  </w:footnote>
  <w:footnote w:id="74">
    <w:p w14:paraId="4CD68F0F"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 xml:space="preserve">J.Metzler, </w:t>
      </w:r>
      <w:r w:rsidRPr="00F64FF8">
        <w:rPr>
          <w:rFonts w:ascii="Times New Roman" w:hAnsi="Times New Roman" w:cs="Times New Roman"/>
          <w:i/>
          <w:sz w:val="24"/>
          <w:szCs w:val="24"/>
        </w:rPr>
        <w:t>La Santa sede e le mission</w:t>
      </w:r>
      <w:r>
        <w:rPr>
          <w:rFonts w:ascii="Times New Roman" w:hAnsi="Times New Roman" w:cs="Times New Roman"/>
          <w:i/>
          <w:sz w:val="24"/>
          <w:szCs w:val="24"/>
        </w:rPr>
        <w:t>i</w:t>
      </w:r>
      <w:r w:rsidRPr="00F64FF8">
        <w:rPr>
          <w:rFonts w:ascii="Times New Roman" w:hAnsi="Times New Roman" w:cs="Times New Roman"/>
          <w:sz w:val="24"/>
          <w:szCs w:val="24"/>
        </w:rPr>
        <w:t>, cit.,</w:t>
      </w:r>
      <w:r>
        <w:rPr>
          <w:rFonts w:ascii="Times New Roman" w:hAnsi="Times New Roman" w:cs="Times New Roman"/>
          <w:sz w:val="24"/>
          <w:szCs w:val="24"/>
        </w:rPr>
        <w:t xml:space="preserve"> </w:t>
      </w:r>
      <w:r w:rsidRPr="00F64FF8">
        <w:rPr>
          <w:rFonts w:ascii="Times New Roman" w:hAnsi="Times New Roman" w:cs="Times New Roman"/>
          <w:sz w:val="24"/>
          <w:szCs w:val="24"/>
        </w:rPr>
        <w:t>p</w:t>
      </w:r>
      <w:r>
        <w:rPr>
          <w:rFonts w:ascii="Times New Roman" w:hAnsi="Times New Roman" w:cs="Times New Roman"/>
          <w:sz w:val="24"/>
          <w:szCs w:val="24"/>
        </w:rPr>
        <w:t>.</w:t>
      </w:r>
      <w:r w:rsidRPr="00F64FF8">
        <w:rPr>
          <w:rFonts w:ascii="Times New Roman" w:hAnsi="Times New Roman" w:cs="Times New Roman"/>
          <w:sz w:val="24"/>
          <w:szCs w:val="24"/>
        </w:rPr>
        <w:t xml:space="preserve"> 238.</w:t>
      </w:r>
    </w:p>
  </w:footnote>
  <w:footnote w:id="75">
    <w:p w14:paraId="5E3B2157" w14:textId="77777777" w:rsidR="00F202D0" w:rsidRPr="00F64FF8" w:rsidRDefault="00F202D0" w:rsidP="00383122">
      <w:pPr>
        <w:pStyle w:val="Testonotaapidipagina"/>
        <w:rPr>
          <w:sz w:val="24"/>
          <w:szCs w:val="24"/>
        </w:rPr>
      </w:pPr>
      <w:r w:rsidRPr="00F64FF8">
        <w:rPr>
          <w:rStyle w:val="Rimandonotaapidipagina"/>
          <w:rFonts w:ascii="Times New Roman" w:hAnsi="Times New Roman" w:cs="Times New Roman"/>
          <w:sz w:val="24"/>
          <w:szCs w:val="24"/>
        </w:rPr>
        <w:footnoteRef/>
      </w:r>
      <w:r w:rsidRPr="00F64FF8">
        <w:rPr>
          <w:rFonts w:ascii="Times New Roman" w:hAnsi="Times New Roman" w:cs="Times New Roman"/>
          <w:sz w:val="24"/>
          <w:szCs w:val="24"/>
        </w:rPr>
        <w:t xml:space="preserve"> </w:t>
      </w:r>
      <w:r w:rsidRPr="00D013B3">
        <w:rPr>
          <w:rFonts w:ascii="Times New Roman" w:hAnsi="Times New Roman" w:cs="Times New Roman"/>
          <w:i/>
          <w:sz w:val="24"/>
          <w:szCs w:val="24"/>
        </w:rPr>
        <w:t>Ibidem,</w:t>
      </w:r>
      <w:r>
        <w:rPr>
          <w:rFonts w:ascii="Times New Roman" w:hAnsi="Times New Roman" w:cs="Times New Roman"/>
          <w:sz w:val="24"/>
          <w:szCs w:val="24"/>
        </w:rPr>
        <w:t xml:space="preserve"> </w:t>
      </w:r>
      <w:r w:rsidRPr="00F64FF8">
        <w:rPr>
          <w:rFonts w:ascii="Times New Roman" w:hAnsi="Times New Roman" w:cs="Times New Roman"/>
          <w:sz w:val="24"/>
          <w:szCs w:val="24"/>
        </w:rPr>
        <w:t>p</w:t>
      </w:r>
      <w:r>
        <w:rPr>
          <w:rFonts w:ascii="Times New Roman" w:hAnsi="Times New Roman" w:cs="Times New Roman"/>
          <w:sz w:val="24"/>
          <w:szCs w:val="24"/>
        </w:rPr>
        <w:t>.</w:t>
      </w:r>
      <w:r w:rsidRPr="00F64FF8">
        <w:rPr>
          <w:rFonts w:ascii="Times New Roman" w:hAnsi="Times New Roman" w:cs="Times New Roman"/>
          <w:sz w:val="24"/>
          <w:szCs w:val="24"/>
        </w:rPr>
        <w:t xml:space="preserve"> 241.</w:t>
      </w:r>
    </w:p>
  </w:footnote>
  <w:footnote w:id="76">
    <w:p w14:paraId="1D7B0037" w14:textId="77777777" w:rsidR="00F202D0" w:rsidRPr="00F64FF8" w:rsidRDefault="00F202D0" w:rsidP="00383122">
      <w:pPr>
        <w:pStyle w:val="Testonotaapidipagina"/>
        <w:rPr>
          <w:rFonts w:ascii="Times New Roman" w:hAnsi="Times New Roman" w:cs="Times New Roman"/>
          <w:i/>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Ibidem,</w:t>
      </w:r>
      <w:r>
        <w:rPr>
          <w:rFonts w:ascii="Times New Roman" w:hAnsi="Times New Roman" w:cs="Times New Roman"/>
          <w:i/>
          <w:sz w:val="24"/>
          <w:szCs w:val="24"/>
          <w:lang w:val="en-US"/>
        </w:rPr>
        <w:t xml:space="preserve"> </w:t>
      </w:r>
      <w:r w:rsidRPr="00F64FF8">
        <w:rPr>
          <w:rFonts w:ascii="Times New Roman" w:hAnsi="Times New Roman" w:cs="Times New Roman"/>
          <w:sz w:val="24"/>
          <w:szCs w:val="24"/>
          <w:lang w:val="en-US"/>
        </w:rPr>
        <w:t>p</w:t>
      </w:r>
      <w:r>
        <w:rPr>
          <w:rFonts w:ascii="Times New Roman" w:hAnsi="Times New Roman" w:cs="Times New Roman"/>
          <w:sz w:val="24"/>
          <w:szCs w:val="24"/>
          <w:lang w:val="en-US"/>
        </w:rPr>
        <w:t>.</w:t>
      </w:r>
      <w:r w:rsidRPr="00F64FF8">
        <w:rPr>
          <w:rFonts w:ascii="Times New Roman" w:hAnsi="Times New Roman" w:cs="Times New Roman"/>
          <w:sz w:val="24"/>
          <w:szCs w:val="24"/>
          <w:lang w:val="en-US"/>
        </w:rPr>
        <w:t xml:space="preserve"> 250</w:t>
      </w:r>
      <w:r w:rsidRPr="00F64FF8">
        <w:rPr>
          <w:rFonts w:ascii="Times New Roman" w:hAnsi="Times New Roman" w:cs="Times New Roman"/>
          <w:i/>
          <w:sz w:val="24"/>
          <w:szCs w:val="24"/>
          <w:lang w:val="en-US"/>
        </w:rPr>
        <w:t>.</w:t>
      </w:r>
    </w:p>
  </w:footnote>
  <w:footnote w:id="77">
    <w:p w14:paraId="12C41041" w14:textId="77777777" w:rsidR="00F202D0" w:rsidRPr="00F64FF8" w:rsidRDefault="00F202D0" w:rsidP="00383122">
      <w:pPr>
        <w:pStyle w:val="Testonotaapidipagina"/>
        <w:rPr>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 xml:space="preserve">Ibidem, </w:t>
      </w:r>
      <w:r w:rsidRPr="00F64FF8">
        <w:rPr>
          <w:rFonts w:ascii="Times New Roman" w:hAnsi="Times New Roman" w:cs="Times New Roman"/>
          <w:sz w:val="24"/>
          <w:szCs w:val="24"/>
          <w:lang w:val="en-US"/>
        </w:rPr>
        <w:t>p</w:t>
      </w:r>
      <w:r>
        <w:rPr>
          <w:rFonts w:ascii="Times New Roman" w:hAnsi="Times New Roman" w:cs="Times New Roman"/>
          <w:sz w:val="24"/>
          <w:szCs w:val="24"/>
          <w:lang w:val="en-US"/>
        </w:rPr>
        <w:t>.</w:t>
      </w:r>
      <w:r w:rsidRPr="00F64FF8">
        <w:rPr>
          <w:rFonts w:ascii="Times New Roman" w:hAnsi="Times New Roman" w:cs="Times New Roman"/>
          <w:sz w:val="24"/>
          <w:szCs w:val="24"/>
          <w:lang w:val="en-US"/>
        </w:rPr>
        <w:t xml:space="preserve"> 253</w:t>
      </w:r>
      <w:r w:rsidRPr="00F64FF8">
        <w:rPr>
          <w:rFonts w:ascii="Times New Roman" w:hAnsi="Times New Roman" w:cs="Times New Roman"/>
          <w:i/>
          <w:sz w:val="24"/>
          <w:szCs w:val="24"/>
          <w:lang w:val="en-US"/>
        </w:rPr>
        <w:t>.</w:t>
      </w:r>
    </w:p>
  </w:footnote>
  <w:footnote w:id="78">
    <w:p w14:paraId="06B05207" w14:textId="77777777" w:rsidR="00F202D0" w:rsidRPr="00F64FF8" w:rsidRDefault="00F202D0" w:rsidP="00383122">
      <w:pPr>
        <w:pStyle w:val="Testonotaapidipagina"/>
        <w:rPr>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 xml:space="preserve">Ibidem, </w:t>
      </w:r>
      <w:r w:rsidRPr="00F64FF8">
        <w:rPr>
          <w:rFonts w:ascii="Times New Roman" w:hAnsi="Times New Roman" w:cs="Times New Roman"/>
          <w:sz w:val="24"/>
          <w:szCs w:val="24"/>
          <w:lang w:val="en-US"/>
        </w:rPr>
        <w:t>p</w:t>
      </w:r>
      <w:r>
        <w:rPr>
          <w:rFonts w:ascii="Times New Roman" w:hAnsi="Times New Roman" w:cs="Times New Roman"/>
          <w:sz w:val="24"/>
          <w:szCs w:val="24"/>
          <w:lang w:val="en-US"/>
        </w:rPr>
        <w:t>.</w:t>
      </w:r>
      <w:r w:rsidRPr="00F64FF8">
        <w:rPr>
          <w:rFonts w:ascii="Times New Roman" w:hAnsi="Times New Roman" w:cs="Times New Roman"/>
          <w:sz w:val="24"/>
          <w:szCs w:val="24"/>
          <w:lang w:val="en-US"/>
        </w:rPr>
        <w:t xml:space="preserve"> 259.</w:t>
      </w:r>
    </w:p>
  </w:footnote>
  <w:footnote w:id="79">
    <w:p w14:paraId="354783CD"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Un nutrito contingente del cattolicesimo indiano era costituito «dai cristiani di Malabar, o cristiani di Sant’Tommaso, perché facevano risalire la loro evangelizzazione all’apostolo Tommaso». Avevano tre tipologie diverse di riti, due di tipo orientale, ossia i riti siro-malabirico e quelli siro-malankarese ed uno latino, introdotto dai portoghesi. (J.</w:t>
      </w:r>
      <w:r>
        <w:rPr>
          <w:rFonts w:ascii="Times New Roman" w:hAnsi="Times New Roman" w:cs="Times New Roman"/>
          <w:sz w:val="24"/>
          <w:szCs w:val="24"/>
        </w:rPr>
        <w:t xml:space="preserve"> </w:t>
      </w:r>
      <w:r w:rsidRPr="00F64FF8">
        <w:rPr>
          <w:rFonts w:ascii="Times New Roman" w:hAnsi="Times New Roman" w:cs="Times New Roman"/>
          <w:sz w:val="24"/>
          <w:szCs w:val="24"/>
        </w:rPr>
        <w:t xml:space="preserve">Metzler, </w:t>
      </w:r>
      <w:r w:rsidRPr="00F64FF8">
        <w:rPr>
          <w:rFonts w:ascii="Times New Roman" w:hAnsi="Times New Roman" w:cs="Times New Roman"/>
          <w:i/>
          <w:sz w:val="24"/>
          <w:szCs w:val="24"/>
        </w:rPr>
        <w:t>La Santa sede e le missioni</w:t>
      </w:r>
      <w:r w:rsidRPr="00F64FF8">
        <w:rPr>
          <w:rFonts w:ascii="Times New Roman" w:hAnsi="Times New Roman" w:cs="Times New Roman"/>
          <w:sz w:val="24"/>
          <w:szCs w:val="24"/>
        </w:rPr>
        <w:t>, cit.,</w:t>
      </w:r>
      <w:r>
        <w:rPr>
          <w:rFonts w:ascii="Times New Roman" w:hAnsi="Times New Roman" w:cs="Times New Roman"/>
          <w:sz w:val="24"/>
          <w:szCs w:val="24"/>
        </w:rPr>
        <w:t xml:space="preserve"> </w:t>
      </w:r>
      <w:r w:rsidRPr="00F64FF8">
        <w:rPr>
          <w:rFonts w:ascii="Times New Roman" w:hAnsi="Times New Roman" w:cs="Times New Roman"/>
          <w:sz w:val="24"/>
          <w:szCs w:val="24"/>
        </w:rPr>
        <w:t>p</w:t>
      </w:r>
      <w:r>
        <w:rPr>
          <w:rFonts w:ascii="Times New Roman" w:hAnsi="Times New Roman" w:cs="Times New Roman"/>
          <w:sz w:val="24"/>
          <w:szCs w:val="24"/>
        </w:rPr>
        <w:t>.</w:t>
      </w:r>
      <w:r w:rsidRPr="00F64FF8">
        <w:rPr>
          <w:rFonts w:ascii="Times New Roman" w:hAnsi="Times New Roman" w:cs="Times New Roman"/>
          <w:sz w:val="24"/>
          <w:szCs w:val="24"/>
        </w:rPr>
        <w:t xml:space="preserve"> 266).</w:t>
      </w:r>
    </w:p>
  </w:footnote>
  <w:footnote w:id="80">
    <w:p w14:paraId="13981E3A"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A.</w:t>
      </w:r>
      <w:r>
        <w:rPr>
          <w:rFonts w:ascii="Times New Roman" w:hAnsi="Times New Roman" w:cs="Times New Roman"/>
          <w:sz w:val="24"/>
          <w:szCs w:val="24"/>
        </w:rPr>
        <w:t xml:space="preserve"> </w:t>
      </w:r>
      <w:r w:rsidRPr="00F64FF8">
        <w:rPr>
          <w:rFonts w:ascii="Times New Roman" w:hAnsi="Times New Roman" w:cs="Times New Roman"/>
          <w:sz w:val="24"/>
          <w:szCs w:val="24"/>
        </w:rPr>
        <w:t xml:space="preserve">Pisani, </w:t>
      </w:r>
      <w:r w:rsidRPr="00F64FF8">
        <w:rPr>
          <w:rFonts w:ascii="Times New Roman" w:hAnsi="Times New Roman" w:cs="Times New Roman"/>
          <w:i/>
          <w:sz w:val="24"/>
          <w:szCs w:val="24"/>
        </w:rPr>
        <w:t>Il costituirsi e diffondersi della S.J. e suoi echi (1540 - 1773), cit.</w:t>
      </w:r>
      <w:r>
        <w:rPr>
          <w:rFonts w:ascii="Times New Roman" w:hAnsi="Times New Roman" w:cs="Times New Roman"/>
          <w:i/>
          <w:sz w:val="24"/>
          <w:szCs w:val="24"/>
        </w:rPr>
        <w:t>,passim.</w:t>
      </w:r>
    </w:p>
  </w:footnote>
  <w:footnote w:id="81">
    <w:p w14:paraId="4DCC46E0"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sz w:val="24"/>
          <w:szCs w:val="24"/>
        </w:rPr>
        <w:t>J.</w:t>
      </w:r>
      <w:r>
        <w:rPr>
          <w:rFonts w:ascii="Times New Roman" w:hAnsi="Times New Roman" w:cs="Times New Roman"/>
          <w:sz w:val="24"/>
          <w:szCs w:val="24"/>
        </w:rPr>
        <w:t xml:space="preserve"> </w:t>
      </w:r>
      <w:r w:rsidRPr="00F64FF8">
        <w:rPr>
          <w:rFonts w:ascii="Times New Roman" w:hAnsi="Times New Roman" w:cs="Times New Roman"/>
          <w:sz w:val="24"/>
          <w:szCs w:val="24"/>
        </w:rPr>
        <w:t xml:space="preserve">Metzler, </w:t>
      </w:r>
      <w:r w:rsidRPr="00F64FF8">
        <w:rPr>
          <w:rFonts w:ascii="Times New Roman" w:hAnsi="Times New Roman" w:cs="Times New Roman"/>
          <w:i/>
          <w:sz w:val="24"/>
          <w:szCs w:val="24"/>
        </w:rPr>
        <w:t>La Santa sede e le missioni</w:t>
      </w:r>
      <w:r w:rsidRPr="00F64FF8">
        <w:rPr>
          <w:rFonts w:ascii="Times New Roman" w:hAnsi="Times New Roman" w:cs="Times New Roman"/>
          <w:sz w:val="24"/>
          <w:szCs w:val="24"/>
        </w:rPr>
        <w:t>, cit.,</w:t>
      </w:r>
      <w:r>
        <w:rPr>
          <w:rFonts w:ascii="Times New Roman" w:hAnsi="Times New Roman" w:cs="Times New Roman"/>
          <w:sz w:val="24"/>
          <w:szCs w:val="24"/>
        </w:rPr>
        <w:t xml:space="preserve"> </w:t>
      </w:r>
      <w:r w:rsidRPr="00F64FF8">
        <w:rPr>
          <w:rFonts w:ascii="Times New Roman" w:hAnsi="Times New Roman" w:cs="Times New Roman"/>
          <w:sz w:val="24"/>
          <w:szCs w:val="24"/>
        </w:rPr>
        <w:t>p 263.</w:t>
      </w:r>
    </w:p>
  </w:footnote>
  <w:footnote w:id="82">
    <w:p w14:paraId="30C7D4DF" w14:textId="77777777" w:rsidR="00F202D0" w:rsidRPr="00D013B3" w:rsidRDefault="00F202D0" w:rsidP="00383122">
      <w:pPr>
        <w:pStyle w:val="Testonotaapidipagina"/>
        <w:rPr>
          <w:rFonts w:ascii="Times New Roman" w:hAnsi="Times New Roman" w:cs="Times New Roman"/>
          <w:i/>
          <w:sz w:val="24"/>
          <w:szCs w:val="24"/>
        </w:rPr>
      </w:pPr>
      <w:r>
        <w:rPr>
          <w:rStyle w:val="Rimandonotaapidipagina"/>
        </w:rPr>
        <w:footnoteRef/>
      </w:r>
      <w:r>
        <w:t xml:space="preserve"> </w:t>
      </w:r>
      <w:r w:rsidRPr="00D013B3">
        <w:rPr>
          <w:rFonts w:ascii="Times New Roman" w:hAnsi="Times New Roman" w:cs="Times New Roman"/>
          <w:i/>
          <w:sz w:val="24"/>
          <w:szCs w:val="24"/>
        </w:rPr>
        <w:t xml:space="preserve">Indocina, </w:t>
      </w:r>
      <w:r w:rsidRPr="00D013B3">
        <w:rPr>
          <w:rFonts w:ascii="Times New Roman" w:hAnsi="Times New Roman" w:cs="Times New Roman"/>
          <w:sz w:val="24"/>
          <w:szCs w:val="24"/>
        </w:rPr>
        <w:t xml:space="preserve">in </w:t>
      </w:r>
      <w:r w:rsidRPr="00D013B3">
        <w:rPr>
          <w:rFonts w:ascii="Times New Roman" w:hAnsi="Times New Roman" w:cs="Times New Roman"/>
          <w:i/>
          <w:sz w:val="24"/>
          <w:szCs w:val="24"/>
        </w:rPr>
        <w:t>Enciclopedia Treccani</w:t>
      </w:r>
      <w:r w:rsidRPr="00D013B3">
        <w:rPr>
          <w:rFonts w:ascii="Times New Roman" w:hAnsi="Times New Roman" w:cs="Times New Roman"/>
          <w:sz w:val="24"/>
          <w:szCs w:val="24"/>
        </w:rPr>
        <w:t xml:space="preserve">, cit. </w:t>
      </w:r>
      <w:r w:rsidRPr="00D013B3">
        <w:rPr>
          <w:rFonts w:ascii="Times New Roman" w:hAnsi="Times New Roman" w:cs="Times New Roman"/>
          <w:i/>
          <w:sz w:val="24"/>
          <w:szCs w:val="24"/>
        </w:rPr>
        <w:t>passim.</w:t>
      </w:r>
    </w:p>
    <w:p w14:paraId="7D3E2C26" w14:textId="77777777" w:rsidR="00F202D0" w:rsidRPr="00F24444" w:rsidRDefault="0024328D" w:rsidP="00383122">
      <w:pPr>
        <w:pStyle w:val="Testonotaapidipagina"/>
        <w:rPr>
          <w:rStyle w:val="Collegamentoipertestuale"/>
          <w:rFonts w:ascii="Times New Roman" w:hAnsi="Times New Roman" w:cs="Times New Roman"/>
          <w:color w:val="000000" w:themeColor="text1"/>
          <w:sz w:val="24"/>
          <w:szCs w:val="24"/>
        </w:rPr>
      </w:pPr>
      <w:hyperlink r:id="rId6" w:history="1">
        <w:r w:rsidR="00F202D0" w:rsidRPr="00F24444">
          <w:rPr>
            <w:rStyle w:val="Collegamentoipertestuale"/>
            <w:rFonts w:ascii="Times New Roman" w:hAnsi="Times New Roman" w:cs="Times New Roman"/>
            <w:color w:val="000000" w:themeColor="text1"/>
            <w:sz w:val="24"/>
            <w:szCs w:val="24"/>
          </w:rPr>
          <w:t>https://www.treccani.it/enciclopedia/indocina</w:t>
        </w:r>
      </w:hyperlink>
      <w:r w:rsidR="00F202D0" w:rsidRPr="00F24444">
        <w:rPr>
          <w:rStyle w:val="Collegamentoipertestuale"/>
          <w:rFonts w:ascii="Times New Roman" w:hAnsi="Times New Roman" w:cs="Times New Roman"/>
          <w:color w:val="000000" w:themeColor="text1"/>
          <w:sz w:val="24"/>
          <w:szCs w:val="24"/>
        </w:rPr>
        <w:t>.</w:t>
      </w:r>
    </w:p>
    <w:p w14:paraId="5530B666" w14:textId="77777777" w:rsidR="00F202D0" w:rsidRPr="00F24444" w:rsidRDefault="00F202D0" w:rsidP="00383122">
      <w:pPr>
        <w:pStyle w:val="Testonotaapidipagina"/>
        <w:rPr>
          <w:rFonts w:ascii="Times New Roman" w:hAnsi="Times New Roman" w:cs="Times New Roman"/>
          <w:color w:val="000000" w:themeColor="text1"/>
          <w:sz w:val="24"/>
          <w:szCs w:val="24"/>
        </w:rPr>
      </w:pPr>
      <w:r w:rsidRPr="00F24444">
        <w:rPr>
          <w:rFonts w:ascii="Times New Roman" w:hAnsi="Times New Roman" w:cs="Times New Roman"/>
          <w:color w:val="000000" w:themeColor="text1"/>
          <w:sz w:val="24"/>
          <w:szCs w:val="24"/>
        </w:rPr>
        <w:t>Consultato il 21/06/2022.</w:t>
      </w:r>
    </w:p>
    <w:p w14:paraId="48D245FD" w14:textId="77777777" w:rsidR="00F202D0" w:rsidRPr="00F24444" w:rsidRDefault="00F202D0" w:rsidP="00383122">
      <w:pPr>
        <w:pStyle w:val="Testonotaapidipagina"/>
        <w:rPr>
          <w:rFonts w:ascii="Times New Roman" w:hAnsi="Times New Roman" w:cs="Times New Roman"/>
          <w:color w:val="000000" w:themeColor="text1"/>
          <w:sz w:val="24"/>
          <w:szCs w:val="24"/>
        </w:rPr>
      </w:pPr>
    </w:p>
  </w:footnote>
  <w:footnote w:id="83">
    <w:p w14:paraId="45D3DA12" w14:textId="77777777" w:rsidR="00F202D0" w:rsidRPr="00D013B3" w:rsidRDefault="00F202D0" w:rsidP="00383122">
      <w:pPr>
        <w:pStyle w:val="Testonotaapidipagina"/>
        <w:rPr>
          <w:rFonts w:ascii="Times New Roman" w:hAnsi="Times New Roman" w:cs="Times New Roman"/>
          <w:sz w:val="24"/>
          <w:szCs w:val="24"/>
        </w:rPr>
      </w:pPr>
      <w:r w:rsidRPr="00A24FFB">
        <w:rPr>
          <w:rStyle w:val="Rimandonotaapidipagina"/>
          <w:rFonts w:ascii="Times New Roman" w:hAnsi="Times New Roman" w:cs="Times New Roman"/>
          <w:sz w:val="24"/>
          <w:szCs w:val="24"/>
        </w:rPr>
        <w:footnoteRef/>
      </w:r>
      <w:r w:rsidRPr="00D013B3">
        <w:rPr>
          <w:rFonts w:ascii="Times New Roman" w:hAnsi="Times New Roman" w:cs="Times New Roman"/>
          <w:sz w:val="24"/>
          <w:szCs w:val="24"/>
        </w:rPr>
        <w:t xml:space="preserve">B. Bellesi, </w:t>
      </w:r>
      <w:r w:rsidRPr="00D013B3">
        <w:rPr>
          <w:rFonts w:ascii="Times New Roman" w:hAnsi="Times New Roman" w:cs="Times New Roman"/>
          <w:i/>
          <w:sz w:val="24"/>
          <w:szCs w:val="24"/>
        </w:rPr>
        <w:t>L’apostolo del Tonchino</w:t>
      </w:r>
      <w:r w:rsidRPr="00D013B3">
        <w:rPr>
          <w:rFonts w:ascii="Times New Roman" w:hAnsi="Times New Roman" w:cs="Times New Roman"/>
          <w:sz w:val="24"/>
          <w:szCs w:val="24"/>
        </w:rPr>
        <w:t xml:space="preserve">, in </w:t>
      </w:r>
      <w:r w:rsidRPr="00D013B3">
        <w:rPr>
          <w:rFonts w:ascii="Times New Roman" w:hAnsi="Times New Roman" w:cs="Times New Roman"/>
          <w:i/>
          <w:sz w:val="24"/>
          <w:szCs w:val="24"/>
        </w:rPr>
        <w:t>Dossier Vietnam La chiesa cattolica: martirio e profezia,</w:t>
      </w:r>
      <w:r w:rsidRPr="00D013B3">
        <w:rPr>
          <w:rFonts w:ascii="Times New Roman" w:hAnsi="Times New Roman" w:cs="Times New Roman"/>
          <w:sz w:val="24"/>
          <w:szCs w:val="24"/>
        </w:rPr>
        <w:t xml:space="preserve"> 2005.</w:t>
      </w:r>
    </w:p>
    <w:p w14:paraId="6B61B23D" w14:textId="77777777" w:rsidR="00F202D0" w:rsidRPr="00F24444" w:rsidRDefault="0024328D" w:rsidP="00383122">
      <w:pPr>
        <w:pStyle w:val="Testonotaapidipagina"/>
        <w:rPr>
          <w:rFonts w:ascii="Times New Roman" w:hAnsi="Times New Roman" w:cs="Times New Roman"/>
          <w:color w:val="000000" w:themeColor="text1"/>
          <w:sz w:val="24"/>
          <w:szCs w:val="24"/>
        </w:rPr>
      </w:pPr>
      <w:hyperlink r:id="rId7" w:history="1">
        <w:r w:rsidR="00F202D0" w:rsidRPr="00F24444">
          <w:rPr>
            <w:rStyle w:val="Collegamentoipertestuale"/>
            <w:rFonts w:ascii="Times New Roman" w:hAnsi="Times New Roman" w:cs="Times New Roman"/>
            <w:color w:val="000000" w:themeColor="text1"/>
            <w:sz w:val="24"/>
            <w:szCs w:val="24"/>
          </w:rPr>
          <w:t>https://www.rivistamissioniconsolata.it/2005/04/01/dossier-vietnam-la-chiesa-cattolica-martirio-e-profezia/</w:t>
        </w:r>
      </w:hyperlink>
    </w:p>
    <w:p w14:paraId="1DFFB5DD" w14:textId="77777777" w:rsidR="00F202D0" w:rsidRPr="00A24FFB" w:rsidRDefault="00F202D0" w:rsidP="00383122">
      <w:pPr>
        <w:pStyle w:val="Testonotaapidipagina"/>
        <w:rPr>
          <w:rFonts w:ascii="Times New Roman" w:hAnsi="Times New Roman" w:cs="Times New Roman"/>
          <w:sz w:val="24"/>
          <w:szCs w:val="24"/>
        </w:rPr>
      </w:pPr>
      <w:r w:rsidRPr="004952AD">
        <w:rPr>
          <w:rFonts w:ascii="Times New Roman" w:hAnsi="Times New Roman" w:cs="Times New Roman"/>
          <w:sz w:val="24"/>
          <w:szCs w:val="24"/>
        </w:rPr>
        <w:t>Consultato il 21/06/2022</w:t>
      </w:r>
      <w:r>
        <w:rPr>
          <w:rFonts w:ascii="Times New Roman" w:hAnsi="Times New Roman" w:cs="Times New Roman"/>
          <w:sz w:val="24"/>
          <w:szCs w:val="24"/>
        </w:rPr>
        <w:t>.</w:t>
      </w:r>
    </w:p>
  </w:footnote>
  <w:footnote w:id="84">
    <w:p w14:paraId="75F0A1BE" w14:textId="77777777" w:rsidR="00F202D0" w:rsidRPr="00A24FFB" w:rsidRDefault="00F202D0" w:rsidP="00383122">
      <w:pPr>
        <w:pStyle w:val="Testonotaapidipagina"/>
        <w:rPr>
          <w:rFonts w:ascii="Times New Roman" w:hAnsi="Times New Roman" w:cs="Times New Roman"/>
          <w:i/>
          <w:sz w:val="24"/>
          <w:szCs w:val="24"/>
        </w:rPr>
      </w:pPr>
      <w:r w:rsidRPr="00A24FFB">
        <w:rPr>
          <w:rStyle w:val="Rimandonotaapidipagina"/>
          <w:rFonts w:ascii="Times New Roman" w:hAnsi="Times New Roman" w:cs="Times New Roman"/>
          <w:sz w:val="24"/>
          <w:szCs w:val="24"/>
        </w:rPr>
        <w:footnoteRef/>
      </w:r>
      <w:r w:rsidRPr="00A24FFB">
        <w:rPr>
          <w:rFonts w:ascii="Times New Roman" w:hAnsi="Times New Roman" w:cs="Times New Roman"/>
          <w:sz w:val="24"/>
          <w:szCs w:val="24"/>
        </w:rPr>
        <w:t xml:space="preserve"> </w:t>
      </w:r>
      <w:r w:rsidRPr="00A24FFB">
        <w:rPr>
          <w:rFonts w:ascii="Times New Roman" w:hAnsi="Times New Roman" w:cs="Times New Roman"/>
          <w:i/>
          <w:sz w:val="24"/>
          <w:szCs w:val="24"/>
        </w:rPr>
        <w:t>Ibidem.</w:t>
      </w:r>
    </w:p>
  </w:footnote>
  <w:footnote w:id="85">
    <w:p w14:paraId="2B79FAA6" w14:textId="77777777" w:rsidR="00F202D0" w:rsidRPr="00A24FFB" w:rsidRDefault="00F202D0" w:rsidP="00383122">
      <w:pPr>
        <w:pStyle w:val="Testonotaapidipagina"/>
        <w:rPr>
          <w:rFonts w:ascii="Times New Roman" w:hAnsi="Times New Roman" w:cs="Times New Roman"/>
          <w:i/>
          <w:sz w:val="24"/>
          <w:szCs w:val="24"/>
        </w:rPr>
      </w:pPr>
      <w:r w:rsidRPr="00A24FFB">
        <w:rPr>
          <w:rStyle w:val="Rimandonotaapidipagina"/>
          <w:rFonts w:ascii="Times New Roman" w:hAnsi="Times New Roman" w:cs="Times New Roman"/>
          <w:sz w:val="24"/>
          <w:szCs w:val="24"/>
        </w:rPr>
        <w:footnoteRef/>
      </w:r>
      <w:r w:rsidRPr="00A24FFB">
        <w:rPr>
          <w:rFonts w:ascii="Times New Roman" w:hAnsi="Times New Roman" w:cs="Times New Roman"/>
          <w:sz w:val="24"/>
          <w:szCs w:val="24"/>
        </w:rPr>
        <w:t xml:space="preserve"> </w:t>
      </w:r>
      <w:r w:rsidRPr="00A24FFB">
        <w:rPr>
          <w:rFonts w:ascii="Times New Roman" w:hAnsi="Times New Roman" w:cs="Times New Roman"/>
          <w:i/>
          <w:sz w:val="24"/>
          <w:szCs w:val="24"/>
        </w:rPr>
        <w:t>Ibidem.</w:t>
      </w:r>
    </w:p>
  </w:footnote>
  <w:footnote w:id="86">
    <w:p w14:paraId="01917944" w14:textId="77777777" w:rsidR="00F202D0" w:rsidRPr="00A24FFB" w:rsidRDefault="00F202D0" w:rsidP="00383122">
      <w:pPr>
        <w:pStyle w:val="Testonotaapidipagina"/>
        <w:rPr>
          <w:rFonts w:ascii="Times New Roman" w:hAnsi="Times New Roman" w:cs="Times New Roman"/>
          <w:sz w:val="24"/>
          <w:szCs w:val="24"/>
        </w:rPr>
      </w:pPr>
      <w:r w:rsidRPr="00A24FFB">
        <w:rPr>
          <w:rStyle w:val="Rimandonotaapidipagina"/>
          <w:rFonts w:ascii="Times New Roman" w:hAnsi="Times New Roman" w:cs="Times New Roman"/>
          <w:sz w:val="24"/>
          <w:szCs w:val="24"/>
        </w:rPr>
        <w:footnoteRef/>
      </w:r>
      <w:r w:rsidRPr="00A24FFB">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A24FFB">
        <w:rPr>
          <w:rFonts w:ascii="Times New Roman" w:hAnsi="Times New Roman" w:cs="Times New Roman"/>
          <w:sz w:val="24"/>
          <w:szCs w:val="24"/>
        </w:rPr>
        <w:t xml:space="preserve">Metzler, </w:t>
      </w:r>
      <w:r w:rsidRPr="00A24FFB">
        <w:rPr>
          <w:rFonts w:ascii="Times New Roman" w:hAnsi="Times New Roman" w:cs="Times New Roman"/>
          <w:i/>
          <w:sz w:val="24"/>
          <w:szCs w:val="24"/>
        </w:rPr>
        <w:t>La Santa sede e le missioni</w:t>
      </w:r>
      <w:r w:rsidRPr="00A24FFB">
        <w:rPr>
          <w:rFonts w:ascii="Times New Roman" w:hAnsi="Times New Roman" w:cs="Times New Roman"/>
          <w:sz w:val="24"/>
          <w:szCs w:val="24"/>
        </w:rPr>
        <w:t>, cit.,</w:t>
      </w:r>
      <w:r>
        <w:rPr>
          <w:rFonts w:ascii="Times New Roman" w:hAnsi="Times New Roman" w:cs="Times New Roman"/>
          <w:sz w:val="24"/>
          <w:szCs w:val="24"/>
        </w:rPr>
        <w:t xml:space="preserve"> </w:t>
      </w:r>
      <w:r w:rsidRPr="00A24FFB">
        <w:rPr>
          <w:rFonts w:ascii="Times New Roman" w:hAnsi="Times New Roman" w:cs="Times New Roman"/>
          <w:sz w:val="24"/>
          <w:szCs w:val="24"/>
        </w:rPr>
        <w:t>p. 279.</w:t>
      </w:r>
    </w:p>
    <w:p w14:paraId="44E5D9B4" w14:textId="77777777" w:rsidR="00F202D0" w:rsidRPr="00F64FF8" w:rsidRDefault="00F202D0" w:rsidP="00383122">
      <w:pPr>
        <w:pStyle w:val="Testonotaapidipagina"/>
        <w:rPr>
          <w:sz w:val="24"/>
          <w:szCs w:val="24"/>
        </w:rPr>
      </w:pPr>
    </w:p>
  </w:footnote>
  <w:footnote w:id="87">
    <w:p w14:paraId="40DDAA7B" w14:textId="77777777" w:rsidR="00F202D0" w:rsidRPr="00F64FF8" w:rsidRDefault="00F202D0" w:rsidP="00383122">
      <w:pPr>
        <w:pStyle w:val="Testonotaapidipagina"/>
        <w:rPr>
          <w:rFonts w:ascii="Times New Roman" w:hAnsi="Times New Roman" w:cs="Times New Roman"/>
          <w:i/>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Ibidem</w:t>
      </w:r>
      <w:r w:rsidRPr="00F64FF8">
        <w:rPr>
          <w:rFonts w:ascii="Times New Roman" w:hAnsi="Times New Roman" w:cs="Times New Roman"/>
          <w:sz w:val="24"/>
          <w:szCs w:val="24"/>
          <w:lang w:val="en-US"/>
        </w:rPr>
        <w:t>, p</w:t>
      </w:r>
      <w:r>
        <w:rPr>
          <w:rFonts w:ascii="Times New Roman" w:hAnsi="Times New Roman" w:cs="Times New Roman"/>
          <w:i/>
          <w:sz w:val="24"/>
          <w:szCs w:val="24"/>
          <w:lang w:val="en-US"/>
        </w:rPr>
        <w:t>.</w:t>
      </w:r>
      <w:r w:rsidRPr="00C47651">
        <w:rPr>
          <w:rFonts w:ascii="Times New Roman" w:hAnsi="Times New Roman" w:cs="Times New Roman"/>
          <w:sz w:val="24"/>
          <w:szCs w:val="24"/>
          <w:lang w:val="en-US"/>
        </w:rPr>
        <w:t>283.</w:t>
      </w:r>
    </w:p>
    <w:p w14:paraId="12E1F8B1" w14:textId="77777777" w:rsidR="00F202D0" w:rsidRPr="00F64FF8" w:rsidRDefault="00F202D0" w:rsidP="00383122">
      <w:pPr>
        <w:pStyle w:val="Testonotaapidipagina"/>
        <w:rPr>
          <w:sz w:val="24"/>
          <w:szCs w:val="24"/>
          <w:lang w:val="en-US"/>
        </w:rPr>
      </w:pPr>
    </w:p>
  </w:footnote>
  <w:footnote w:id="88">
    <w:p w14:paraId="020E6723" w14:textId="77777777" w:rsidR="00F202D0" w:rsidRPr="00F64FF8" w:rsidRDefault="00F202D0" w:rsidP="00383122">
      <w:pPr>
        <w:pStyle w:val="Testonotaapidipagina"/>
        <w:rPr>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Ibidem</w:t>
      </w:r>
      <w:r w:rsidRPr="00F64FF8">
        <w:rPr>
          <w:rFonts w:ascii="Times New Roman" w:hAnsi="Times New Roman" w:cs="Times New Roman"/>
          <w:sz w:val="24"/>
          <w:szCs w:val="24"/>
          <w:lang w:val="en-US"/>
        </w:rPr>
        <w:t>, p</w:t>
      </w:r>
      <w:r>
        <w:rPr>
          <w:rFonts w:ascii="Times New Roman" w:hAnsi="Times New Roman" w:cs="Times New Roman"/>
          <w:sz w:val="24"/>
          <w:szCs w:val="24"/>
          <w:lang w:val="en-US"/>
        </w:rPr>
        <w:t>.</w:t>
      </w:r>
      <w:r w:rsidRPr="00F64FF8">
        <w:rPr>
          <w:rFonts w:ascii="Times New Roman" w:hAnsi="Times New Roman" w:cs="Times New Roman"/>
          <w:sz w:val="24"/>
          <w:szCs w:val="24"/>
          <w:lang w:val="en-US"/>
        </w:rPr>
        <w:t>293.</w:t>
      </w:r>
    </w:p>
  </w:footnote>
  <w:footnote w:id="89">
    <w:p w14:paraId="7D974C1A" w14:textId="77777777" w:rsidR="00F202D0" w:rsidRPr="00F64FF8" w:rsidRDefault="00F202D0" w:rsidP="00383122">
      <w:pPr>
        <w:pStyle w:val="Testonotaapidipagina"/>
        <w:rPr>
          <w:sz w:val="24"/>
          <w:szCs w:val="24"/>
          <w:lang w:val="en-US"/>
        </w:rPr>
      </w:pPr>
      <w:r w:rsidRPr="00F64FF8">
        <w:rPr>
          <w:rStyle w:val="Rimandonotaapidipagina"/>
          <w:sz w:val="24"/>
          <w:szCs w:val="24"/>
        </w:rPr>
        <w:footnoteRef/>
      </w:r>
      <w:r w:rsidRPr="00F64FF8">
        <w:rPr>
          <w:sz w:val="24"/>
          <w:szCs w:val="24"/>
          <w:lang w:val="en-US"/>
        </w:rPr>
        <w:t xml:space="preserve"> </w:t>
      </w:r>
      <w:r w:rsidRPr="00F64FF8">
        <w:rPr>
          <w:rFonts w:ascii="Times New Roman" w:hAnsi="Times New Roman" w:cs="Times New Roman"/>
          <w:i/>
          <w:sz w:val="24"/>
          <w:szCs w:val="24"/>
          <w:lang w:val="en-US"/>
        </w:rPr>
        <w:t>Ibidem</w:t>
      </w:r>
      <w:r w:rsidRPr="00F64FF8">
        <w:rPr>
          <w:rFonts w:ascii="Times New Roman" w:hAnsi="Times New Roman" w:cs="Times New Roman"/>
          <w:sz w:val="24"/>
          <w:szCs w:val="24"/>
          <w:lang w:val="en-US"/>
        </w:rPr>
        <w:t>, p</w:t>
      </w:r>
      <w:r>
        <w:rPr>
          <w:rFonts w:ascii="Times New Roman" w:hAnsi="Times New Roman" w:cs="Times New Roman"/>
          <w:sz w:val="24"/>
          <w:szCs w:val="24"/>
          <w:lang w:val="en-US"/>
        </w:rPr>
        <w:t>.</w:t>
      </w:r>
      <w:r w:rsidRPr="00F64FF8">
        <w:rPr>
          <w:rFonts w:ascii="Times New Roman" w:hAnsi="Times New Roman" w:cs="Times New Roman"/>
          <w:sz w:val="24"/>
          <w:szCs w:val="24"/>
          <w:lang w:val="en-US"/>
        </w:rPr>
        <w:t xml:space="preserve"> 293.</w:t>
      </w:r>
    </w:p>
  </w:footnote>
  <w:footnote w:id="90">
    <w:p w14:paraId="304F8FF6" w14:textId="77777777" w:rsidR="00F202D0" w:rsidRPr="00F64FF8" w:rsidRDefault="00F202D0" w:rsidP="00383122">
      <w:pPr>
        <w:pStyle w:val="Testonotaapidipagina"/>
        <w:rPr>
          <w:sz w:val="24"/>
          <w:szCs w:val="24"/>
        </w:rPr>
      </w:pPr>
      <w:r w:rsidRPr="00F64FF8">
        <w:rPr>
          <w:rStyle w:val="Rimandonotaapidipagina"/>
          <w:sz w:val="24"/>
          <w:szCs w:val="24"/>
        </w:rPr>
        <w:footnoteRef/>
      </w:r>
      <w:r w:rsidRPr="00F64FF8">
        <w:rPr>
          <w:sz w:val="24"/>
          <w:szCs w:val="24"/>
        </w:rPr>
        <w:t xml:space="preserve"> </w:t>
      </w:r>
      <w:r w:rsidRPr="00F64FF8">
        <w:rPr>
          <w:rFonts w:ascii="Times New Roman" w:hAnsi="Times New Roman" w:cs="Times New Roman"/>
          <w:i/>
          <w:sz w:val="24"/>
          <w:szCs w:val="24"/>
        </w:rPr>
        <w:t>Ibidem</w:t>
      </w:r>
      <w:r w:rsidRPr="00F64FF8">
        <w:rPr>
          <w:rFonts w:ascii="Times New Roman" w:hAnsi="Times New Roman" w:cs="Times New Roman"/>
          <w:sz w:val="24"/>
          <w:szCs w:val="24"/>
        </w:rPr>
        <w:t>, p</w:t>
      </w:r>
      <w:r>
        <w:rPr>
          <w:rFonts w:ascii="Times New Roman" w:hAnsi="Times New Roman" w:cs="Times New Roman"/>
          <w:sz w:val="24"/>
          <w:szCs w:val="24"/>
        </w:rPr>
        <w:t>.</w:t>
      </w:r>
      <w:r w:rsidRPr="00F64FF8">
        <w:rPr>
          <w:rFonts w:ascii="Times New Roman" w:hAnsi="Times New Roman" w:cs="Times New Roman"/>
          <w:sz w:val="24"/>
          <w:szCs w:val="24"/>
        </w:rPr>
        <w:t xml:space="preserve"> 300.</w:t>
      </w:r>
    </w:p>
  </w:footnote>
  <w:footnote w:id="91">
    <w:p w14:paraId="7752AD5A" w14:textId="77777777" w:rsidR="00F202D0" w:rsidRPr="009218FA" w:rsidRDefault="00F202D0" w:rsidP="00383122">
      <w:pPr>
        <w:pStyle w:val="Testonotaapidipagina"/>
        <w:rPr>
          <w:rFonts w:ascii="Times New Roman" w:hAnsi="Times New Roman" w:cs="Times New Roman"/>
          <w:sz w:val="24"/>
          <w:szCs w:val="24"/>
        </w:rPr>
      </w:pPr>
      <w:r w:rsidRPr="009218FA">
        <w:rPr>
          <w:rStyle w:val="Rimandonotaapidipagina"/>
          <w:rFonts w:ascii="Times New Roman" w:hAnsi="Times New Roman" w:cs="Times New Roman"/>
          <w:sz w:val="24"/>
          <w:szCs w:val="24"/>
        </w:rPr>
        <w:footnoteRef/>
      </w:r>
      <w:r w:rsidRPr="009218FA">
        <w:rPr>
          <w:rFonts w:ascii="Times New Roman" w:hAnsi="Times New Roman" w:cs="Times New Roman"/>
          <w:sz w:val="24"/>
          <w:szCs w:val="24"/>
        </w:rPr>
        <w:t xml:space="preserve"> </w:t>
      </w:r>
      <w:r w:rsidRPr="009218FA">
        <w:rPr>
          <w:rFonts w:ascii="Times New Roman" w:hAnsi="Times New Roman" w:cs="Times New Roman"/>
          <w:i/>
          <w:sz w:val="24"/>
          <w:szCs w:val="24"/>
        </w:rPr>
        <w:t xml:space="preserve">Il cristianesimo in Cina già nel primo millennio: annunciato da monaci siriani fu accolto favorevolmente a Si Ngan-fou (Xi’an). Le testimonianze archeologiche e letterarie, </w:t>
      </w:r>
      <w:r w:rsidRPr="009218FA">
        <w:rPr>
          <w:rFonts w:ascii="Times New Roman" w:hAnsi="Times New Roman" w:cs="Times New Roman"/>
          <w:sz w:val="24"/>
          <w:szCs w:val="24"/>
        </w:rPr>
        <w:t xml:space="preserve">in </w:t>
      </w:r>
      <w:r w:rsidRPr="009218FA">
        <w:rPr>
          <w:rFonts w:ascii="Times New Roman" w:hAnsi="Times New Roman" w:cs="Times New Roman"/>
          <w:i/>
          <w:sz w:val="24"/>
          <w:szCs w:val="24"/>
        </w:rPr>
        <w:t>I luoghi della Bibbia</w:t>
      </w:r>
      <w:r w:rsidRPr="009218FA">
        <w:rPr>
          <w:rFonts w:ascii="Times New Roman" w:hAnsi="Times New Roman" w:cs="Times New Roman"/>
          <w:sz w:val="24"/>
          <w:szCs w:val="24"/>
        </w:rPr>
        <w:t>.</w:t>
      </w:r>
    </w:p>
    <w:p w14:paraId="39D13F7F" w14:textId="77777777" w:rsidR="00F202D0" w:rsidRPr="00F24444" w:rsidRDefault="0024328D" w:rsidP="00383122">
      <w:pPr>
        <w:pStyle w:val="Testonotaapidipagina"/>
        <w:rPr>
          <w:rStyle w:val="Collegamentoipertestuale"/>
          <w:rFonts w:ascii="Times New Roman" w:hAnsi="Times New Roman" w:cs="Times New Roman"/>
          <w:color w:val="000000" w:themeColor="text1"/>
          <w:sz w:val="24"/>
          <w:szCs w:val="24"/>
        </w:rPr>
      </w:pPr>
      <w:hyperlink r:id="rId8" w:history="1">
        <w:r w:rsidR="00F202D0" w:rsidRPr="00F24444">
          <w:rPr>
            <w:rStyle w:val="Collegamentoipertestuale"/>
            <w:rFonts w:ascii="Times New Roman" w:hAnsi="Times New Roman" w:cs="Times New Roman"/>
            <w:color w:val="000000" w:themeColor="text1"/>
            <w:sz w:val="24"/>
            <w:szCs w:val="24"/>
          </w:rPr>
          <w:t>https://www.gliscritti.it/lbibbia/crist-cina.htm</w:t>
        </w:r>
      </w:hyperlink>
    </w:p>
    <w:p w14:paraId="2B7DB0E6" w14:textId="77777777" w:rsidR="00F202D0" w:rsidRPr="00F24444" w:rsidRDefault="00F202D0" w:rsidP="00383122">
      <w:pPr>
        <w:pStyle w:val="Testonotaapidipagina"/>
        <w:rPr>
          <w:rFonts w:ascii="Times New Roman" w:hAnsi="Times New Roman" w:cs="Times New Roman"/>
          <w:color w:val="000000" w:themeColor="text1"/>
          <w:sz w:val="24"/>
          <w:szCs w:val="24"/>
        </w:rPr>
      </w:pPr>
      <w:r w:rsidRPr="00F24444">
        <w:rPr>
          <w:rStyle w:val="Collegamentoipertestuale"/>
          <w:rFonts w:ascii="Times New Roman" w:hAnsi="Times New Roman" w:cs="Times New Roman"/>
          <w:color w:val="000000" w:themeColor="text1"/>
          <w:sz w:val="24"/>
          <w:szCs w:val="24"/>
          <w:u w:val="none"/>
        </w:rPr>
        <w:t>Consultato il 15/06/2022.</w:t>
      </w:r>
    </w:p>
    <w:p w14:paraId="0FF81F28" w14:textId="77777777" w:rsidR="00F202D0" w:rsidRPr="00F24444" w:rsidRDefault="00F202D0" w:rsidP="00383122">
      <w:pPr>
        <w:pStyle w:val="Testonotaapidipagina"/>
        <w:rPr>
          <w:rFonts w:ascii="Times New Roman" w:hAnsi="Times New Roman" w:cs="Times New Roman"/>
          <w:sz w:val="24"/>
          <w:szCs w:val="24"/>
        </w:rPr>
      </w:pPr>
    </w:p>
  </w:footnote>
  <w:footnote w:id="92">
    <w:p w14:paraId="3CCFEC77" w14:textId="77777777" w:rsidR="00F202D0" w:rsidRPr="00A92E1B"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Pr>
          <w:rFonts w:cstheme="minorHAnsi"/>
        </w:rPr>
        <w:t>«</w:t>
      </w:r>
      <w:r>
        <w:rPr>
          <w:rFonts w:ascii="Times New Roman" w:hAnsi="Times New Roman" w:cs="Times New Roman"/>
          <w:sz w:val="24"/>
          <w:szCs w:val="24"/>
        </w:rPr>
        <w:t>S</w:t>
      </w:r>
      <w:r w:rsidRPr="00A92E1B">
        <w:rPr>
          <w:rFonts w:ascii="Times New Roman" w:hAnsi="Times New Roman" w:cs="Times New Roman"/>
          <w:sz w:val="24"/>
          <w:szCs w:val="24"/>
        </w:rPr>
        <w:t xml:space="preserve">i tratta di un tentativo di adattamento dell’attività dei missionari gesuiti alle abitudini della primitiva Chiesa giapponese. Tale documento esamina una questione di importanza capitale, ossia i rapporti tra uomo e uomo (..) tra l’europeo ed il giapponese, tra l’apostolo della fede e il popolo al quale si rivolge. Perché l’opera dei missionari </w:t>
      </w:r>
      <w:r>
        <w:rPr>
          <w:rFonts w:ascii="Times New Roman" w:hAnsi="Times New Roman" w:cs="Times New Roman"/>
          <w:sz w:val="24"/>
          <w:szCs w:val="24"/>
        </w:rPr>
        <w:t>dia</w:t>
      </w:r>
      <w:r w:rsidRPr="00A92E1B">
        <w:rPr>
          <w:rFonts w:ascii="Times New Roman" w:hAnsi="Times New Roman" w:cs="Times New Roman"/>
          <w:sz w:val="24"/>
          <w:szCs w:val="24"/>
        </w:rPr>
        <w:t xml:space="preserve"> nel p</w:t>
      </w:r>
      <w:r>
        <w:rPr>
          <w:rFonts w:ascii="Times New Roman" w:hAnsi="Times New Roman" w:cs="Times New Roman"/>
          <w:sz w:val="24"/>
          <w:szCs w:val="24"/>
        </w:rPr>
        <w:t>a</w:t>
      </w:r>
      <w:r w:rsidRPr="00A92E1B">
        <w:rPr>
          <w:rFonts w:ascii="Times New Roman" w:hAnsi="Times New Roman" w:cs="Times New Roman"/>
          <w:sz w:val="24"/>
          <w:szCs w:val="24"/>
        </w:rPr>
        <w:t>ese frutti durevoli, occorre infatti che essi sappiano cattivarsi la stima e la simpatia dei giapponesi, rinunciando alle proprie forme di vita europee e regolando tutti i rapporti esteriori secondo il cerimoniale finemente compassato della nuova patria</w:t>
      </w:r>
      <w:r>
        <w:rPr>
          <w:rFonts w:ascii="Times New Roman" w:hAnsi="Times New Roman" w:cs="Times New Roman"/>
          <w:sz w:val="24"/>
          <w:szCs w:val="24"/>
        </w:rPr>
        <w:t xml:space="preserve">». (J.F. Schutte, </w:t>
      </w:r>
      <w:r w:rsidRPr="002D4417">
        <w:rPr>
          <w:rFonts w:ascii="Times New Roman" w:hAnsi="Times New Roman" w:cs="Times New Roman"/>
          <w:i/>
          <w:sz w:val="24"/>
          <w:szCs w:val="24"/>
        </w:rPr>
        <w:t>Introduzione</w:t>
      </w:r>
      <w:r>
        <w:rPr>
          <w:rFonts w:ascii="Times New Roman" w:hAnsi="Times New Roman" w:cs="Times New Roman"/>
          <w:sz w:val="24"/>
          <w:szCs w:val="24"/>
        </w:rPr>
        <w:t xml:space="preserve"> a</w:t>
      </w:r>
      <w:r w:rsidRPr="002D4417">
        <w:rPr>
          <w:rFonts w:ascii="Times New Roman" w:hAnsi="Times New Roman" w:cs="Times New Roman"/>
          <w:i/>
          <w:sz w:val="24"/>
          <w:szCs w:val="24"/>
        </w:rPr>
        <w:t xml:space="preserve"> </w:t>
      </w:r>
      <w:r>
        <w:rPr>
          <w:rFonts w:ascii="Times New Roman" w:hAnsi="Times New Roman" w:cs="Times New Roman"/>
          <w:sz w:val="24"/>
          <w:szCs w:val="24"/>
        </w:rPr>
        <w:t xml:space="preserve">A.Valignano , </w:t>
      </w:r>
      <w:r w:rsidRPr="00A92E1B">
        <w:rPr>
          <w:rFonts w:ascii="Times New Roman" w:hAnsi="Times New Roman" w:cs="Times New Roman"/>
          <w:i/>
          <w:sz w:val="24"/>
          <w:szCs w:val="24"/>
        </w:rPr>
        <w:t>Il Cerimoniale per i missionari del Giappone</w:t>
      </w:r>
      <w:r>
        <w:rPr>
          <w:rFonts w:ascii="Times New Roman" w:hAnsi="Times New Roman" w:cs="Times New Roman"/>
          <w:sz w:val="24"/>
          <w:szCs w:val="24"/>
        </w:rPr>
        <w:t>, Roma, 1946, pp. 3-4).</w:t>
      </w:r>
    </w:p>
  </w:footnote>
  <w:footnote w:id="93">
    <w:p w14:paraId="0FAF6E25" w14:textId="77777777" w:rsidR="00F202D0" w:rsidRPr="009218FA" w:rsidRDefault="00F202D0" w:rsidP="00383122">
      <w:pPr>
        <w:pStyle w:val="Testonotaapidipagina"/>
        <w:rPr>
          <w:rFonts w:ascii="Times New Roman" w:hAnsi="Times New Roman" w:cs="Times New Roman"/>
          <w:sz w:val="24"/>
          <w:szCs w:val="24"/>
        </w:rPr>
      </w:pPr>
      <w:r w:rsidRPr="009218FA">
        <w:rPr>
          <w:rStyle w:val="Rimandonotaapidipagina"/>
          <w:rFonts w:ascii="Times New Roman" w:hAnsi="Times New Roman" w:cs="Times New Roman"/>
          <w:sz w:val="24"/>
          <w:szCs w:val="24"/>
        </w:rPr>
        <w:footnoteRef/>
      </w:r>
      <w:r w:rsidRPr="009218FA">
        <w:rPr>
          <w:rFonts w:ascii="Times New Roman" w:hAnsi="Times New Roman" w:cs="Times New Roman"/>
          <w:sz w:val="24"/>
          <w:szCs w:val="24"/>
        </w:rPr>
        <w:t xml:space="preserve"> C. Pastena, </w:t>
      </w:r>
      <w:r w:rsidRPr="009218FA">
        <w:rPr>
          <w:rFonts w:ascii="Times New Roman" w:hAnsi="Times New Roman" w:cs="Times New Roman"/>
          <w:i/>
          <w:sz w:val="24"/>
          <w:szCs w:val="24"/>
        </w:rPr>
        <w:t>I missionari gesuiti in Cina nel XVII-XVIII secolo e il confucianesimo</w:t>
      </w:r>
      <w:r w:rsidRPr="009218FA">
        <w:rPr>
          <w:rFonts w:ascii="Times New Roman" w:hAnsi="Times New Roman" w:cs="Times New Roman"/>
          <w:sz w:val="24"/>
          <w:szCs w:val="24"/>
        </w:rPr>
        <w:t xml:space="preserve">, in </w:t>
      </w:r>
      <w:r w:rsidRPr="009218FA">
        <w:rPr>
          <w:rFonts w:ascii="Times New Roman" w:hAnsi="Times New Roman" w:cs="Times New Roman"/>
          <w:i/>
          <w:sz w:val="24"/>
          <w:szCs w:val="24"/>
        </w:rPr>
        <w:t>L’identità di Clio</w:t>
      </w:r>
      <w:r w:rsidRPr="009218FA">
        <w:rPr>
          <w:rFonts w:ascii="Times New Roman" w:hAnsi="Times New Roman" w:cs="Times New Roman"/>
          <w:sz w:val="24"/>
          <w:szCs w:val="24"/>
        </w:rPr>
        <w:t>, 22 marzo 2019.</w:t>
      </w:r>
    </w:p>
    <w:p w14:paraId="58213DE8" w14:textId="77777777" w:rsidR="00F202D0" w:rsidRPr="00F24444" w:rsidRDefault="0024328D" w:rsidP="00383122">
      <w:pPr>
        <w:pStyle w:val="Testonotaapidipagina"/>
        <w:rPr>
          <w:rStyle w:val="Collegamentoipertestuale"/>
          <w:rFonts w:ascii="Times New Roman" w:hAnsi="Times New Roman" w:cs="Times New Roman"/>
          <w:color w:val="000000" w:themeColor="text1"/>
          <w:sz w:val="24"/>
          <w:szCs w:val="24"/>
        </w:rPr>
      </w:pPr>
      <w:hyperlink r:id="rId9" w:history="1">
        <w:r w:rsidR="00F202D0" w:rsidRPr="00F24444">
          <w:rPr>
            <w:rStyle w:val="Collegamentoipertestuale"/>
            <w:rFonts w:ascii="Times New Roman" w:hAnsi="Times New Roman" w:cs="Times New Roman"/>
            <w:color w:val="000000" w:themeColor="text1"/>
            <w:sz w:val="24"/>
            <w:szCs w:val="24"/>
          </w:rPr>
          <w:t>https://www.lidentitadiclio.com/i-missionari-gesuiti-in-cina-nel-xvii-xviii-secolo-e-il-confucianesimo/</w:t>
        </w:r>
      </w:hyperlink>
    </w:p>
    <w:p w14:paraId="0E50DD87" w14:textId="77777777" w:rsidR="00F202D0" w:rsidRPr="004952AD" w:rsidRDefault="00F202D0" w:rsidP="00383122">
      <w:pPr>
        <w:pStyle w:val="Testonotaapidipagina"/>
        <w:rPr>
          <w:rFonts w:ascii="Times New Roman" w:hAnsi="Times New Roman" w:cs="Times New Roman"/>
          <w:sz w:val="24"/>
          <w:szCs w:val="24"/>
        </w:rPr>
      </w:pPr>
      <w:r w:rsidRPr="004952AD">
        <w:rPr>
          <w:rFonts w:ascii="Times New Roman" w:hAnsi="Times New Roman" w:cs="Times New Roman"/>
          <w:sz w:val="24"/>
          <w:szCs w:val="24"/>
        </w:rPr>
        <w:t>Consultato il 21/06/2022</w:t>
      </w:r>
      <w:r>
        <w:rPr>
          <w:rFonts w:ascii="Times New Roman" w:hAnsi="Times New Roman" w:cs="Times New Roman"/>
          <w:sz w:val="24"/>
          <w:szCs w:val="24"/>
        </w:rPr>
        <w:t>.</w:t>
      </w:r>
    </w:p>
    <w:p w14:paraId="4F4F3B44" w14:textId="77777777" w:rsidR="00F202D0" w:rsidRPr="009218FA" w:rsidRDefault="00F202D0" w:rsidP="00383122">
      <w:pPr>
        <w:pStyle w:val="Testonotaapidipagina"/>
        <w:rPr>
          <w:rFonts w:ascii="Times New Roman" w:hAnsi="Times New Roman" w:cs="Times New Roman"/>
          <w:sz w:val="24"/>
          <w:szCs w:val="24"/>
        </w:rPr>
      </w:pPr>
    </w:p>
  </w:footnote>
  <w:footnote w:id="94">
    <w:p w14:paraId="2DA17486" w14:textId="77777777" w:rsidR="00F202D0" w:rsidRPr="009218FA"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sidRPr="009218FA">
        <w:rPr>
          <w:rFonts w:ascii="Times New Roman" w:hAnsi="Times New Roman" w:cs="Times New Roman"/>
          <w:sz w:val="24"/>
          <w:szCs w:val="24"/>
        </w:rPr>
        <w:t xml:space="preserve">G. Melis, </w:t>
      </w:r>
      <w:r w:rsidRPr="009218FA">
        <w:rPr>
          <w:rFonts w:ascii="Times New Roman" w:hAnsi="Times New Roman" w:cs="Times New Roman"/>
          <w:i/>
          <w:sz w:val="24"/>
          <w:szCs w:val="24"/>
        </w:rPr>
        <w:t>La Chiesa in Cina</w:t>
      </w:r>
      <w:r w:rsidRPr="009218FA">
        <w:rPr>
          <w:rFonts w:ascii="Times New Roman" w:hAnsi="Times New Roman" w:cs="Times New Roman"/>
          <w:sz w:val="24"/>
          <w:szCs w:val="24"/>
        </w:rPr>
        <w:t xml:space="preserve">, in </w:t>
      </w:r>
      <w:r w:rsidRPr="009218FA">
        <w:rPr>
          <w:rFonts w:ascii="Times New Roman" w:hAnsi="Times New Roman" w:cs="Times New Roman"/>
          <w:i/>
          <w:sz w:val="24"/>
          <w:szCs w:val="24"/>
        </w:rPr>
        <w:t>La Santa sede e le missioni</w:t>
      </w:r>
      <w:r>
        <w:rPr>
          <w:rFonts w:ascii="Times New Roman" w:hAnsi="Times New Roman" w:cs="Times New Roman"/>
          <w:i/>
          <w:sz w:val="24"/>
          <w:szCs w:val="24"/>
        </w:rPr>
        <w:t xml:space="preserve">, </w:t>
      </w:r>
      <w:r w:rsidRPr="009218FA">
        <w:rPr>
          <w:rFonts w:ascii="Times New Roman" w:hAnsi="Times New Roman" w:cs="Times New Roman"/>
          <w:sz w:val="24"/>
          <w:szCs w:val="24"/>
        </w:rPr>
        <w:t>a cura di J.</w:t>
      </w:r>
      <w:r>
        <w:rPr>
          <w:rFonts w:ascii="Times New Roman" w:hAnsi="Times New Roman" w:cs="Times New Roman"/>
          <w:sz w:val="24"/>
          <w:szCs w:val="24"/>
        </w:rPr>
        <w:t xml:space="preserve"> </w:t>
      </w:r>
      <w:r w:rsidRPr="009218FA">
        <w:rPr>
          <w:rFonts w:ascii="Times New Roman" w:hAnsi="Times New Roman" w:cs="Times New Roman"/>
          <w:sz w:val="24"/>
          <w:szCs w:val="24"/>
        </w:rPr>
        <w:t>Metzler, Milano, 2002, p. 312.</w:t>
      </w:r>
    </w:p>
  </w:footnote>
  <w:footnote w:id="95">
    <w:p w14:paraId="260003D6" w14:textId="77777777" w:rsidR="00F202D0" w:rsidRPr="009218FA" w:rsidRDefault="00F202D0" w:rsidP="00383122">
      <w:pPr>
        <w:pStyle w:val="Testonotaapidipagina"/>
        <w:rPr>
          <w:sz w:val="24"/>
          <w:szCs w:val="24"/>
        </w:rPr>
      </w:pPr>
      <w:r w:rsidRPr="009218FA">
        <w:rPr>
          <w:rStyle w:val="Rimandonotaapidipagina"/>
          <w:sz w:val="24"/>
          <w:szCs w:val="24"/>
        </w:rPr>
        <w:footnoteRef/>
      </w:r>
      <w:r w:rsidRPr="009218FA">
        <w:rPr>
          <w:sz w:val="24"/>
          <w:szCs w:val="24"/>
        </w:rPr>
        <w:t xml:space="preserve"> </w:t>
      </w:r>
      <w:r w:rsidRPr="009218FA">
        <w:rPr>
          <w:rFonts w:ascii="Times New Roman" w:hAnsi="Times New Roman" w:cs="Times New Roman"/>
          <w:i/>
          <w:sz w:val="24"/>
          <w:szCs w:val="24"/>
        </w:rPr>
        <w:t>Ibidem</w:t>
      </w:r>
      <w:r w:rsidRPr="009218FA">
        <w:rPr>
          <w:rFonts w:ascii="Times New Roman" w:hAnsi="Times New Roman" w:cs="Times New Roman"/>
          <w:sz w:val="24"/>
          <w:szCs w:val="24"/>
        </w:rPr>
        <w:t>, p.315</w:t>
      </w:r>
      <w:r w:rsidRPr="009218FA">
        <w:rPr>
          <w:sz w:val="24"/>
          <w:szCs w:val="24"/>
        </w:rPr>
        <w:t>.</w:t>
      </w:r>
    </w:p>
  </w:footnote>
  <w:footnote w:id="96">
    <w:p w14:paraId="699FE355" w14:textId="77777777" w:rsidR="00F202D0" w:rsidRPr="009218FA" w:rsidRDefault="00F202D0" w:rsidP="00383122">
      <w:pPr>
        <w:pStyle w:val="Testonotaapidipagina"/>
        <w:rPr>
          <w:rFonts w:ascii="Times New Roman" w:hAnsi="Times New Roman" w:cs="Times New Roman"/>
          <w:sz w:val="24"/>
          <w:szCs w:val="24"/>
        </w:rPr>
      </w:pPr>
      <w:r w:rsidRPr="009218FA">
        <w:rPr>
          <w:rStyle w:val="Rimandonotaapidipagina"/>
          <w:sz w:val="28"/>
          <w:szCs w:val="28"/>
        </w:rPr>
        <w:footnoteRef/>
      </w:r>
      <w:r w:rsidRPr="009218FA">
        <w:rPr>
          <w:sz w:val="28"/>
          <w:szCs w:val="28"/>
        </w:rPr>
        <w:t xml:space="preserve"> </w:t>
      </w:r>
      <w:r w:rsidRPr="009218FA">
        <w:rPr>
          <w:rFonts w:ascii="Times New Roman" w:hAnsi="Times New Roman" w:cs="Times New Roman"/>
          <w:i/>
          <w:sz w:val="24"/>
          <w:szCs w:val="24"/>
        </w:rPr>
        <w:t>Ibidem</w:t>
      </w:r>
      <w:r w:rsidRPr="009218FA">
        <w:rPr>
          <w:rFonts w:ascii="Times New Roman" w:hAnsi="Times New Roman" w:cs="Times New Roman"/>
          <w:sz w:val="24"/>
          <w:szCs w:val="24"/>
        </w:rPr>
        <w:t>,</w:t>
      </w:r>
      <w:r>
        <w:rPr>
          <w:rFonts w:ascii="Times New Roman" w:hAnsi="Times New Roman" w:cs="Times New Roman"/>
          <w:sz w:val="24"/>
          <w:szCs w:val="24"/>
        </w:rPr>
        <w:t xml:space="preserve"> </w:t>
      </w:r>
      <w:r w:rsidRPr="009218FA">
        <w:rPr>
          <w:rFonts w:ascii="Times New Roman" w:hAnsi="Times New Roman" w:cs="Times New Roman"/>
          <w:sz w:val="24"/>
          <w:szCs w:val="24"/>
        </w:rPr>
        <w:t>p. 316.</w:t>
      </w:r>
    </w:p>
  </w:footnote>
  <w:footnote w:id="97">
    <w:p w14:paraId="35E135BB" w14:textId="77777777" w:rsidR="00F202D0" w:rsidRPr="009218FA" w:rsidRDefault="00F202D0" w:rsidP="00383122">
      <w:pPr>
        <w:pStyle w:val="Testonotaapidipagina"/>
        <w:rPr>
          <w:rFonts w:ascii="Times New Roman" w:hAnsi="Times New Roman" w:cs="Times New Roman"/>
          <w:sz w:val="24"/>
          <w:szCs w:val="24"/>
        </w:rPr>
      </w:pPr>
      <w:r w:rsidRPr="009218FA">
        <w:rPr>
          <w:rStyle w:val="Rimandonotaapidipagina"/>
          <w:rFonts w:ascii="Times New Roman" w:hAnsi="Times New Roman" w:cs="Times New Roman"/>
          <w:sz w:val="24"/>
          <w:szCs w:val="24"/>
        </w:rPr>
        <w:footnoteRef/>
      </w:r>
      <w:r w:rsidRPr="009218FA">
        <w:rPr>
          <w:rFonts w:ascii="Times New Roman" w:hAnsi="Times New Roman" w:cs="Times New Roman"/>
          <w:sz w:val="24"/>
          <w:szCs w:val="24"/>
        </w:rPr>
        <w:t xml:space="preserve"> Feigon, Lee Nathan, "</w:t>
      </w:r>
      <w:r w:rsidRPr="009218FA">
        <w:rPr>
          <w:rFonts w:ascii="Times New Roman" w:hAnsi="Times New Roman" w:cs="Times New Roman"/>
          <w:i/>
          <w:sz w:val="24"/>
          <w:szCs w:val="24"/>
        </w:rPr>
        <w:t>Hong Xiuquan</w:t>
      </w:r>
      <w:r w:rsidRPr="009218FA">
        <w:rPr>
          <w:rFonts w:ascii="Times New Roman" w:hAnsi="Times New Roman" w:cs="Times New Roman"/>
          <w:sz w:val="24"/>
          <w:szCs w:val="24"/>
        </w:rPr>
        <w:t xml:space="preserve">", in </w:t>
      </w:r>
      <w:r w:rsidRPr="009218FA">
        <w:rPr>
          <w:rFonts w:ascii="Times New Roman" w:hAnsi="Times New Roman" w:cs="Times New Roman"/>
          <w:i/>
          <w:sz w:val="24"/>
          <w:szCs w:val="24"/>
        </w:rPr>
        <w:t>Encyclopedia Britannica</w:t>
      </w:r>
      <w:r w:rsidRPr="009218FA">
        <w:rPr>
          <w:rFonts w:ascii="Times New Roman" w:hAnsi="Times New Roman" w:cs="Times New Roman"/>
          <w:sz w:val="24"/>
          <w:szCs w:val="24"/>
        </w:rPr>
        <w:t xml:space="preserve">, 28 maggio 2022, cit., </w:t>
      </w:r>
      <w:r w:rsidRPr="009218FA">
        <w:rPr>
          <w:rFonts w:ascii="Times New Roman" w:hAnsi="Times New Roman" w:cs="Times New Roman"/>
          <w:i/>
          <w:sz w:val="24"/>
          <w:szCs w:val="24"/>
        </w:rPr>
        <w:t>passim</w:t>
      </w:r>
      <w:r w:rsidRPr="009218FA">
        <w:rPr>
          <w:rFonts w:ascii="Times New Roman" w:hAnsi="Times New Roman" w:cs="Times New Roman"/>
          <w:sz w:val="24"/>
          <w:szCs w:val="24"/>
        </w:rPr>
        <w:t>.</w:t>
      </w:r>
    </w:p>
    <w:p w14:paraId="1BD71875" w14:textId="77777777" w:rsidR="00F202D0" w:rsidRPr="009218FA" w:rsidRDefault="00F202D0" w:rsidP="00383122">
      <w:pPr>
        <w:pStyle w:val="Testonotaapidipagina"/>
        <w:rPr>
          <w:rFonts w:ascii="Times New Roman" w:hAnsi="Times New Roman" w:cs="Times New Roman"/>
          <w:sz w:val="24"/>
          <w:szCs w:val="24"/>
        </w:rPr>
      </w:pPr>
      <w:r w:rsidRPr="009218FA">
        <w:rPr>
          <w:rFonts w:ascii="Times New Roman" w:hAnsi="Times New Roman" w:cs="Times New Roman"/>
          <w:sz w:val="24"/>
          <w:szCs w:val="24"/>
        </w:rPr>
        <w:t>Hong si convertì dopo un periodo di malattia, durante il quale disse di aver ricevuto una visione nella quale Dio lo riconosceva come suo secondo figlio, affidandogli il compito di salvare la Cina.</w:t>
      </w:r>
    </w:p>
    <w:p w14:paraId="25D20BF5" w14:textId="77777777" w:rsidR="00F202D0" w:rsidRPr="009218FA" w:rsidRDefault="00F202D0" w:rsidP="00383122">
      <w:pPr>
        <w:pStyle w:val="Testonotaapidipagina"/>
        <w:rPr>
          <w:rFonts w:ascii="Times New Roman" w:hAnsi="Times New Roman" w:cs="Times New Roman"/>
          <w:sz w:val="24"/>
          <w:szCs w:val="24"/>
        </w:rPr>
      </w:pPr>
      <w:r w:rsidRPr="009218FA">
        <w:rPr>
          <w:rFonts w:ascii="Times New Roman" w:hAnsi="Times New Roman" w:cs="Times New Roman"/>
          <w:sz w:val="24"/>
          <w:szCs w:val="24"/>
        </w:rPr>
        <w:t>Hong studiò due mesi a Guangzhou con l’americano reverendo Rober</w:t>
      </w:r>
      <w:r>
        <w:rPr>
          <w:rFonts w:ascii="Times New Roman" w:hAnsi="Times New Roman" w:cs="Times New Roman"/>
          <w:sz w:val="24"/>
          <w:szCs w:val="24"/>
        </w:rPr>
        <w:t>ts. Durante questi due mesi lui</w:t>
      </w:r>
      <w:r w:rsidRPr="009218FA">
        <w:rPr>
          <w:rFonts w:ascii="Times New Roman" w:hAnsi="Times New Roman" w:cs="Times New Roman"/>
          <w:sz w:val="24"/>
          <w:szCs w:val="24"/>
        </w:rPr>
        <w:t xml:space="preserve"> rifiutò alcuni principi fondamentali del Nuovo Testamento tra i quali la redenzione ed il peccato originale. Inoltre lui era un’iconoclasta, quindi riteneva che tutti i simboli dovessero essere distrutti, in quanto manifestazioni del diavolo.</w:t>
      </w:r>
    </w:p>
    <w:p w14:paraId="06218C7A" w14:textId="77777777" w:rsidR="00F202D0" w:rsidRPr="00383122" w:rsidRDefault="0024328D" w:rsidP="00383122">
      <w:pPr>
        <w:pStyle w:val="Testonotaapidipagina"/>
        <w:rPr>
          <w:rFonts w:ascii="Times New Roman" w:hAnsi="Times New Roman" w:cs="Times New Roman"/>
          <w:color w:val="000000" w:themeColor="text1"/>
          <w:sz w:val="24"/>
          <w:szCs w:val="24"/>
        </w:rPr>
      </w:pPr>
      <w:hyperlink r:id="rId10" w:history="1">
        <w:r w:rsidR="00F202D0" w:rsidRPr="00383122">
          <w:rPr>
            <w:rStyle w:val="Collegamentoipertestuale"/>
            <w:rFonts w:ascii="Times New Roman" w:hAnsi="Times New Roman" w:cs="Times New Roman"/>
            <w:color w:val="000000" w:themeColor="text1"/>
            <w:sz w:val="24"/>
            <w:szCs w:val="24"/>
          </w:rPr>
          <w:t>https://www.britannica.com/biography/Hong-Xiuquan</w:t>
        </w:r>
      </w:hyperlink>
    </w:p>
    <w:p w14:paraId="5016C8F6" w14:textId="77777777" w:rsidR="00F202D0" w:rsidRPr="006355E5" w:rsidRDefault="00F202D0" w:rsidP="00383122">
      <w:pPr>
        <w:pStyle w:val="Testonotaapidipagina"/>
        <w:rPr>
          <w:rFonts w:ascii="Times New Roman" w:hAnsi="Times New Roman" w:cs="Times New Roman"/>
          <w:sz w:val="24"/>
          <w:szCs w:val="24"/>
        </w:rPr>
      </w:pPr>
      <w:r>
        <w:rPr>
          <w:rFonts w:ascii="Times New Roman" w:hAnsi="Times New Roman" w:cs="Times New Roman"/>
          <w:sz w:val="24"/>
          <w:szCs w:val="24"/>
        </w:rPr>
        <w:t xml:space="preserve"> Consultato 20/06/</w:t>
      </w:r>
      <w:r w:rsidRPr="009218FA">
        <w:rPr>
          <w:rFonts w:ascii="Times New Roman" w:hAnsi="Times New Roman" w:cs="Times New Roman"/>
          <w:sz w:val="24"/>
          <w:szCs w:val="24"/>
        </w:rPr>
        <w:t>2022.</w:t>
      </w:r>
    </w:p>
  </w:footnote>
  <w:footnote w:id="98">
    <w:p w14:paraId="15285864" w14:textId="77777777" w:rsidR="00F202D0"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sidRPr="005E1643">
        <w:rPr>
          <w:rFonts w:ascii="Times New Roman" w:hAnsi="Times New Roman" w:cs="Times New Roman"/>
          <w:sz w:val="24"/>
          <w:szCs w:val="24"/>
        </w:rPr>
        <w:t>È una traslazione per Dio, presa dalla dizione adottata dai protestanti, che hanno fatto rivivere un termine dei classici cinesi per la divinità</w:t>
      </w:r>
      <w:r>
        <w:rPr>
          <w:rFonts w:ascii="Times New Roman" w:hAnsi="Times New Roman" w:cs="Times New Roman"/>
          <w:sz w:val="24"/>
          <w:szCs w:val="24"/>
        </w:rPr>
        <w:t>.</w:t>
      </w:r>
    </w:p>
    <w:p w14:paraId="47D3B1B2" w14:textId="77777777" w:rsidR="00F202D0" w:rsidRPr="005E1643" w:rsidRDefault="00F202D0" w:rsidP="00383122">
      <w:pPr>
        <w:pStyle w:val="Testonotaapidipagina"/>
        <w:rPr>
          <w:rFonts w:ascii="Times New Roman" w:hAnsi="Times New Roman" w:cs="Times New Roman"/>
          <w:sz w:val="24"/>
          <w:szCs w:val="24"/>
        </w:rPr>
      </w:pPr>
      <w:r>
        <w:rPr>
          <w:rFonts w:ascii="Times New Roman" w:hAnsi="Times New Roman" w:cs="Times New Roman"/>
          <w:sz w:val="24"/>
          <w:szCs w:val="24"/>
        </w:rPr>
        <w:t>(</w:t>
      </w:r>
      <w:r w:rsidRPr="009218FA">
        <w:rPr>
          <w:rFonts w:ascii="Times New Roman" w:hAnsi="Times New Roman" w:cs="Times New Roman"/>
          <w:sz w:val="24"/>
          <w:szCs w:val="24"/>
        </w:rPr>
        <w:t xml:space="preserve">G. Melis, </w:t>
      </w:r>
      <w:r w:rsidRPr="009218FA">
        <w:rPr>
          <w:rFonts w:ascii="Times New Roman" w:hAnsi="Times New Roman" w:cs="Times New Roman"/>
          <w:i/>
          <w:sz w:val="24"/>
          <w:szCs w:val="24"/>
        </w:rPr>
        <w:t>La Chiesa in Cina</w:t>
      </w:r>
      <w:r w:rsidRPr="009218FA">
        <w:rPr>
          <w:rFonts w:ascii="Times New Roman" w:hAnsi="Times New Roman" w:cs="Times New Roman"/>
          <w:sz w:val="24"/>
          <w:szCs w:val="24"/>
        </w:rPr>
        <w:t xml:space="preserve">, in </w:t>
      </w:r>
      <w:r w:rsidRPr="009218FA">
        <w:rPr>
          <w:rFonts w:ascii="Times New Roman" w:hAnsi="Times New Roman" w:cs="Times New Roman"/>
          <w:i/>
          <w:sz w:val="24"/>
          <w:szCs w:val="24"/>
        </w:rPr>
        <w:t>La Santa sede e le missioni</w:t>
      </w:r>
      <w:r>
        <w:rPr>
          <w:rFonts w:ascii="Times New Roman" w:hAnsi="Times New Roman" w:cs="Times New Roman"/>
          <w:i/>
          <w:sz w:val="24"/>
          <w:szCs w:val="24"/>
        </w:rPr>
        <w:t>,</w:t>
      </w:r>
      <w:r>
        <w:rPr>
          <w:rFonts w:ascii="Times New Roman" w:hAnsi="Times New Roman" w:cs="Times New Roman"/>
          <w:sz w:val="24"/>
          <w:szCs w:val="24"/>
        </w:rPr>
        <w:t xml:space="preserve"> cit, p. 318).</w:t>
      </w:r>
    </w:p>
    <w:p w14:paraId="1F54CA70" w14:textId="77777777" w:rsidR="00F202D0" w:rsidRDefault="00F202D0" w:rsidP="00383122">
      <w:pPr>
        <w:pStyle w:val="Testonotaapidipagina"/>
      </w:pPr>
    </w:p>
  </w:footnote>
  <w:footnote w:id="99">
    <w:p w14:paraId="12E6FD30" w14:textId="77777777" w:rsidR="00F202D0" w:rsidRPr="00B944C9" w:rsidRDefault="00F202D0" w:rsidP="00383122">
      <w:pPr>
        <w:pStyle w:val="Testonotaapidipagina"/>
        <w:rPr>
          <w:rFonts w:ascii="Times New Roman" w:hAnsi="Times New Roman" w:cs="Times New Roman"/>
          <w:i/>
          <w:sz w:val="24"/>
          <w:szCs w:val="24"/>
        </w:rPr>
      </w:pPr>
      <w:r>
        <w:rPr>
          <w:rStyle w:val="Rimandonotaapidipagina"/>
        </w:rPr>
        <w:footnoteRef/>
      </w:r>
      <w:r>
        <w:t xml:space="preserve"> </w:t>
      </w:r>
      <w:r w:rsidRPr="00B944C9">
        <w:rPr>
          <w:rFonts w:ascii="Times New Roman" w:hAnsi="Times New Roman" w:cs="Times New Roman"/>
          <w:i/>
          <w:sz w:val="24"/>
          <w:szCs w:val="24"/>
        </w:rPr>
        <w:t>Ibidem.</w:t>
      </w:r>
    </w:p>
  </w:footnote>
  <w:footnote w:id="100">
    <w:p w14:paraId="428BCD64" w14:textId="77777777" w:rsidR="00F202D0" w:rsidRDefault="00F202D0" w:rsidP="00383122">
      <w:pPr>
        <w:pStyle w:val="Testonotaapidipagina"/>
      </w:pPr>
      <w:r>
        <w:rPr>
          <w:rStyle w:val="Rimandonotaapidipagina"/>
        </w:rPr>
        <w:footnoteRef/>
      </w:r>
      <w:r>
        <w:t xml:space="preserve"> </w:t>
      </w:r>
      <w:r w:rsidRPr="00B944C9">
        <w:rPr>
          <w:rFonts w:ascii="Times New Roman" w:hAnsi="Times New Roman" w:cs="Times New Roman"/>
          <w:i/>
          <w:sz w:val="24"/>
          <w:szCs w:val="24"/>
        </w:rPr>
        <w:t>Ibidem.</w:t>
      </w:r>
    </w:p>
  </w:footnote>
  <w:footnote w:id="101">
    <w:p w14:paraId="08533C97" w14:textId="77777777" w:rsidR="00F202D0" w:rsidRDefault="00F202D0" w:rsidP="00383122">
      <w:pPr>
        <w:pStyle w:val="Testonotaapidipagina"/>
      </w:pPr>
      <w:r>
        <w:rPr>
          <w:rStyle w:val="Rimandonotaapidipagina"/>
        </w:rPr>
        <w:footnoteRef/>
      </w:r>
      <w:r>
        <w:t xml:space="preserve"> </w:t>
      </w:r>
      <w:r w:rsidRPr="007A4206">
        <w:rPr>
          <w:rFonts w:ascii="Times New Roman" w:hAnsi="Times New Roman" w:cs="Times New Roman"/>
          <w:i/>
          <w:sz w:val="24"/>
          <w:szCs w:val="24"/>
        </w:rPr>
        <w:t>Notizie delle missioni</w:t>
      </w:r>
      <w:r w:rsidRPr="007A4206">
        <w:rPr>
          <w:rFonts w:ascii="Times New Roman" w:hAnsi="Times New Roman" w:cs="Times New Roman"/>
          <w:sz w:val="24"/>
          <w:szCs w:val="24"/>
        </w:rPr>
        <w:t xml:space="preserve">, in </w:t>
      </w:r>
      <w:r w:rsidRPr="007A4206">
        <w:rPr>
          <w:rFonts w:ascii="Times New Roman" w:hAnsi="Times New Roman" w:cs="Times New Roman"/>
          <w:i/>
          <w:sz w:val="24"/>
          <w:szCs w:val="24"/>
        </w:rPr>
        <w:t>Fede e Civiltà,</w:t>
      </w:r>
      <w:r w:rsidRPr="007A4206">
        <w:rPr>
          <w:rFonts w:ascii="Times New Roman" w:hAnsi="Times New Roman" w:cs="Times New Roman"/>
          <w:sz w:val="24"/>
          <w:szCs w:val="24"/>
        </w:rPr>
        <w:t xml:space="preserve"> Parma, 1920, n</w:t>
      </w:r>
      <w:r>
        <w:rPr>
          <w:rFonts w:ascii="Times New Roman" w:hAnsi="Times New Roman" w:cs="Times New Roman"/>
          <w:sz w:val="24"/>
          <w:szCs w:val="24"/>
        </w:rPr>
        <w:t>.</w:t>
      </w:r>
      <w:r w:rsidRPr="007A4206">
        <w:rPr>
          <w:rFonts w:ascii="Times New Roman" w:hAnsi="Times New Roman" w:cs="Times New Roman"/>
          <w:sz w:val="24"/>
          <w:szCs w:val="24"/>
        </w:rPr>
        <w:t xml:space="preserve"> 1, cit., </w:t>
      </w:r>
      <w:r w:rsidRPr="007A4206">
        <w:rPr>
          <w:rFonts w:ascii="Times New Roman" w:hAnsi="Times New Roman" w:cs="Times New Roman"/>
          <w:i/>
          <w:sz w:val="24"/>
          <w:szCs w:val="24"/>
        </w:rPr>
        <w:t>passim.</w:t>
      </w:r>
    </w:p>
  </w:footnote>
  <w:footnote w:id="102">
    <w:p w14:paraId="7C48165D" w14:textId="77777777" w:rsidR="00F202D0" w:rsidRDefault="00F202D0" w:rsidP="00383122">
      <w:pPr>
        <w:pStyle w:val="Testonotaapidipagina"/>
      </w:pPr>
      <w:r>
        <w:rPr>
          <w:rStyle w:val="Rimandonotaapidipagina"/>
        </w:rPr>
        <w:footnoteRef/>
      </w:r>
      <w:r>
        <w:t xml:space="preserve"> </w:t>
      </w:r>
      <w:r>
        <w:rPr>
          <w:rFonts w:ascii="Times New Roman" w:hAnsi="Times New Roman" w:cs="Times New Roman"/>
          <w:i/>
          <w:sz w:val="24"/>
          <w:szCs w:val="24"/>
        </w:rPr>
        <w:t xml:space="preserve">Ibidem, </w:t>
      </w:r>
      <w:r w:rsidRPr="00D91028">
        <w:rPr>
          <w:rFonts w:ascii="Times New Roman" w:hAnsi="Times New Roman" w:cs="Times New Roman"/>
          <w:sz w:val="24"/>
          <w:szCs w:val="24"/>
        </w:rPr>
        <w:t>cit.,</w:t>
      </w:r>
      <w:r>
        <w:rPr>
          <w:rFonts w:ascii="Times New Roman" w:hAnsi="Times New Roman" w:cs="Times New Roman"/>
          <w:sz w:val="24"/>
          <w:szCs w:val="24"/>
        </w:rPr>
        <w:t xml:space="preserve"> </w:t>
      </w:r>
      <w:r w:rsidRPr="00D91028">
        <w:rPr>
          <w:rFonts w:ascii="Times New Roman" w:hAnsi="Times New Roman" w:cs="Times New Roman"/>
          <w:sz w:val="24"/>
          <w:szCs w:val="24"/>
        </w:rPr>
        <w:t>p.</w:t>
      </w:r>
      <w:r>
        <w:rPr>
          <w:rFonts w:ascii="Times New Roman" w:hAnsi="Times New Roman" w:cs="Times New Roman"/>
          <w:sz w:val="24"/>
          <w:szCs w:val="24"/>
        </w:rPr>
        <w:t xml:space="preserve"> </w:t>
      </w:r>
      <w:r w:rsidRPr="00D91028">
        <w:rPr>
          <w:rFonts w:ascii="Times New Roman" w:hAnsi="Times New Roman" w:cs="Times New Roman"/>
          <w:sz w:val="24"/>
          <w:szCs w:val="24"/>
        </w:rPr>
        <w:t>322</w:t>
      </w:r>
      <w:r>
        <w:rPr>
          <w:rFonts w:ascii="Times New Roman" w:hAnsi="Times New Roman" w:cs="Times New Roman"/>
          <w:i/>
          <w:sz w:val="24"/>
          <w:szCs w:val="24"/>
        </w:rPr>
        <w:t>.</w:t>
      </w:r>
    </w:p>
  </w:footnote>
  <w:footnote w:id="103">
    <w:p w14:paraId="748EDFC0" w14:textId="77777777" w:rsidR="00F202D0" w:rsidRDefault="00F202D0" w:rsidP="00383122">
      <w:pPr>
        <w:pStyle w:val="Testonotaapidipagina"/>
      </w:pPr>
      <w:r>
        <w:rPr>
          <w:rStyle w:val="Rimandonotaapidipagina"/>
        </w:rPr>
        <w:footnoteRef/>
      </w:r>
      <w:r>
        <w:t xml:space="preserve"> </w:t>
      </w:r>
      <w:r>
        <w:rPr>
          <w:rFonts w:ascii="Times New Roman" w:hAnsi="Times New Roman" w:cs="Times New Roman"/>
          <w:i/>
          <w:sz w:val="24"/>
          <w:szCs w:val="24"/>
        </w:rPr>
        <w:t xml:space="preserve">Ibidem, </w:t>
      </w:r>
      <w:r w:rsidRPr="00D91028">
        <w:rPr>
          <w:rFonts w:ascii="Times New Roman" w:hAnsi="Times New Roman" w:cs="Times New Roman"/>
          <w:sz w:val="24"/>
          <w:szCs w:val="24"/>
        </w:rPr>
        <w:t>cit.,</w:t>
      </w:r>
      <w:r>
        <w:rPr>
          <w:rFonts w:ascii="Times New Roman" w:hAnsi="Times New Roman" w:cs="Times New Roman"/>
          <w:sz w:val="24"/>
          <w:szCs w:val="24"/>
        </w:rPr>
        <w:t xml:space="preserve"> </w:t>
      </w:r>
      <w:r w:rsidRPr="00D91028">
        <w:rPr>
          <w:rFonts w:ascii="Times New Roman" w:hAnsi="Times New Roman" w:cs="Times New Roman"/>
          <w:sz w:val="24"/>
          <w:szCs w:val="24"/>
        </w:rPr>
        <w:t>p.</w:t>
      </w:r>
      <w:r>
        <w:rPr>
          <w:rFonts w:ascii="Times New Roman" w:hAnsi="Times New Roman" w:cs="Times New Roman"/>
          <w:sz w:val="24"/>
          <w:szCs w:val="24"/>
        </w:rPr>
        <w:t xml:space="preserve"> </w:t>
      </w:r>
      <w:r w:rsidRPr="00D91028">
        <w:rPr>
          <w:rFonts w:ascii="Times New Roman" w:hAnsi="Times New Roman" w:cs="Times New Roman"/>
          <w:sz w:val="24"/>
          <w:szCs w:val="24"/>
        </w:rPr>
        <w:t>322</w:t>
      </w:r>
      <w:r>
        <w:rPr>
          <w:rFonts w:ascii="Times New Roman" w:hAnsi="Times New Roman" w:cs="Times New Roman"/>
          <w:i/>
          <w:sz w:val="24"/>
          <w:szCs w:val="24"/>
        </w:rPr>
        <w:t>.</w:t>
      </w:r>
    </w:p>
    <w:p w14:paraId="282AAD3B" w14:textId="77777777" w:rsidR="00F202D0" w:rsidRDefault="00F202D0" w:rsidP="00383122">
      <w:pPr>
        <w:pStyle w:val="Testonotaapidipagina"/>
      </w:pPr>
    </w:p>
  </w:footnote>
  <w:footnote w:id="104">
    <w:p w14:paraId="08447A3E" w14:textId="77777777" w:rsidR="00F202D0" w:rsidRPr="004952AD" w:rsidRDefault="00F202D0" w:rsidP="00383122">
      <w:pPr>
        <w:pStyle w:val="Testonotaapidipagina"/>
        <w:rPr>
          <w:rFonts w:ascii="Times New Roman" w:hAnsi="Times New Roman" w:cs="Times New Roman"/>
          <w:sz w:val="24"/>
          <w:szCs w:val="24"/>
        </w:rPr>
      </w:pPr>
      <w:r w:rsidRPr="004952AD">
        <w:rPr>
          <w:rStyle w:val="Rimandonotaapidipagina"/>
          <w:rFonts w:ascii="Times New Roman" w:hAnsi="Times New Roman" w:cs="Times New Roman"/>
          <w:sz w:val="24"/>
          <w:szCs w:val="24"/>
        </w:rPr>
        <w:footnoteRef/>
      </w:r>
      <w:r w:rsidRPr="004952AD">
        <w:rPr>
          <w:rFonts w:ascii="Times New Roman" w:hAnsi="Times New Roman" w:cs="Times New Roman"/>
          <w:sz w:val="24"/>
          <w:szCs w:val="24"/>
        </w:rPr>
        <w:t xml:space="preserve"> G.Pizzorusso, </w:t>
      </w:r>
      <w:r w:rsidRPr="004952AD">
        <w:rPr>
          <w:rFonts w:ascii="Times New Roman" w:hAnsi="Times New Roman" w:cs="Times New Roman"/>
          <w:i/>
          <w:sz w:val="24"/>
          <w:szCs w:val="24"/>
        </w:rPr>
        <w:t>Valignano</w:t>
      </w:r>
      <w:r w:rsidRPr="004952AD">
        <w:rPr>
          <w:rFonts w:ascii="Times New Roman" w:hAnsi="Times New Roman" w:cs="Times New Roman"/>
          <w:sz w:val="24"/>
          <w:szCs w:val="24"/>
        </w:rPr>
        <w:t xml:space="preserve">, in </w:t>
      </w:r>
      <w:r w:rsidRPr="004952AD">
        <w:rPr>
          <w:rFonts w:ascii="Times New Roman" w:hAnsi="Times New Roman" w:cs="Times New Roman"/>
          <w:i/>
          <w:sz w:val="24"/>
          <w:szCs w:val="24"/>
        </w:rPr>
        <w:t>Dizionario biografico degli italiani</w:t>
      </w:r>
      <w:r w:rsidRPr="004952AD">
        <w:rPr>
          <w:rFonts w:ascii="Times New Roman" w:hAnsi="Times New Roman" w:cs="Times New Roman"/>
          <w:sz w:val="24"/>
          <w:szCs w:val="24"/>
        </w:rPr>
        <w:t>, v</w:t>
      </w:r>
      <w:r>
        <w:rPr>
          <w:rFonts w:ascii="Times New Roman" w:hAnsi="Times New Roman" w:cs="Times New Roman"/>
          <w:sz w:val="24"/>
          <w:szCs w:val="24"/>
        </w:rPr>
        <w:t>ol.</w:t>
      </w:r>
      <w:r w:rsidRPr="004952AD">
        <w:rPr>
          <w:rFonts w:ascii="Times New Roman" w:hAnsi="Times New Roman" w:cs="Times New Roman"/>
          <w:sz w:val="24"/>
          <w:szCs w:val="24"/>
        </w:rPr>
        <w:t xml:space="preserve"> 98, 2020.</w:t>
      </w:r>
    </w:p>
    <w:p w14:paraId="46124CC7" w14:textId="77777777" w:rsidR="00F202D0" w:rsidRPr="00383122" w:rsidRDefault="0024328D" w:rsidP="00383122">
      <w:pPr>
        <w:pStyle w:val="Testonotaapidipagina"/>
        <w:rPr>
          <w:rFonts w:ascii="Times New Roman" w:hAnsi="Times New Roman" w:cs="Times New Roman"/>
          <w:color w:val="000000" w:themeColor="text1"/>
          <w:sz w:val="24"/>
          <w:szCs w:val="24"/>
        </w:rPr>
      </w:pPr>
      <w:hyperlink r:id="rId11" w:history="1">
        <w:r w:rsidR="00F202D0" w:rsidRPr="00383122">
          <w:rPr>
            <w:rStyle w:val="Collegamentoipertestuale"/>
            <w:rFonts w:ascii="Times New Roman" w:hAnsi="Times New Roman" w:cs="Times New Roman"/>
            <w:color w:val="000000" w:themeColor="text1"/>
            <w:sz w:val="24"/>
            <w:szCs w:val="24"/>
          </w:rPr>
          <w:t>https://www.treccani.it/enciclopedia/alessandro-valignano_%28Dizionario-Biografico%29/</w:t>
        </w:r>
      </w:hyperlink>
    </w:p>
    <w:p w14:paraId="4718473C" w14:textId="77777777" w:rsidR="00F202D0" w:rsidRPr="00B3751E" w:rsidRDefault="00F202D0" w:rsidP="00383122">
      <w:pPr>
        <w:pStyle w:val="Testonotaapidipagina"/>
        <w:rPr>
          <w:rFonts w:ascii="Times New Roman" w:hAnsi="Times New Roman" w:cs="Times New Roman"/>
          <w:sz w:val="24"/>
          <w:szCs w:val="24"/>
        </w:rPr>
      </w:pPr>
      <w:r w:rsidRPr="00B3751E">
        <w:rPr>
          <w:rFonts w:ascii="Times New Roman" w:hAnsi="Times New Roman" w:cs="Times New Roman"/>
          <w:sz w:val="24"/>
          <w:szCs w:val="24"/>
        </w:rPr>
        <w:t>Consultato il 21/06/2022.</w:t>
      </w:r>
    </w:p>
  </w:footnote>
  <w:footnote w:id="105">
    <w:p w14:paraId="09719394" w14:textId="77777777" w:rsidR="00F202D0" w:rsidRDefault="00F202D0" w:rsidP="00383122">
      <w:pPr>
        <w:pStyle w:val="Testonotaapidipagina"/>
      </w:pPr>
      <w:r>
        <w:rPr>
          <w:rStyle w:val="Rimandonotaapidipagina"/>
        </w:rPr>
        <w:footnoteRef/>
      </w:r>
      <w:r>
        <w:t xml:space="preserve"> </w:t>
      </w:r>
      <w:r w:rsidRPr="00F64FF8">
        <w:rPr>
          <w:rFonts w:ascii="Times New Roman" w:hAnsi="Times New Roman" w:cs="Times New Roman"/>
          <w:sz w:val="24"/>
          <w:szCs w:val="24"/>
        </w:rPr>
        <w:t xml:space="preserve">A. Boscaro, </w:t>
      </w:r>
      <w:r w:rsidRPr="00F64FF8">
        <w:rPr>
          <w:rFonts w:ascii="Times New Roman" w:hAnsi="Times New Roman" w:cs="Times New Roman"/>
          <w:i/>
          <w:sz w:val="24"/>
          <w:szCs w:val="24"/>
        </w:rPr>
        <w:t>Ventura e sventura dei gesuiti in giappone</w:t>
      </w:r>
      <w:r w:rsidRPr="00F64FF8">
        <w:rPr>
          <w:rFonts w:ascii="Times New Roman" w:hAnsi="Times New Roman" w:cs="Times New Roman"/>
          <w:sz w:val="24"/>
          <w:szCs w:val="24"/>
        </w:rPr>
        <w:t xml:space="preserve"> (1549-1639),</w:t>
      </w:r>
      <w:r>
        <w:rPr>
          <w:rFonts w:ascii="Times New Roman" w:hAnsi="Times New Roman" w:cs="Times New Roman"/>
          <w:sz w:val="24"/>
          <w:szCs w:val="24"/>
        </w:rPr>
        <w:t xml:space="preserve"> p.111.</w:t>
      </w:r>
    </w:p>
  </w:footnote>
  <w:footnote w:id="106">
    <w:p w14:paraId="653752E1" w14:textId="77777777" w:rsidR="00F202D0" w:rsidRPr="00D60FB8"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sidRPr="00D60FB8">
        <w:rPr>
          <w:rFonts w:ascii="Times New Roman" w:hAnsi="Times New Roman" w:cs="Times New Roman"/>
          <w:sz w:val="24"/>
          <w:szCs w:val="24"/>
        </w:rPr>
        <w:t>F.</w:t>
      </w:r>
      <w:r>
        <w:rPr>
          <w:rFonts w:ascii="Times New Roman" w:hAnsi="Times New Roman" w:cs="Times New Roman"/>
          <w:sz w:val="24"/>
          <w:szCs w:val="24"/>
        </w:rPr>
        <w:t xml:space="preserve"> </w:t>
      </w:r>
      <w:r w:rsidRPr="00D60FB8">
        <w:rPr>
          <w:rFonts w:ascii="Times New Roman" w:hAnsi="Times New Roman" w:cs="Times New Roman"/>
          <w:sz w:val="24"/>
          <w:szCs w:val="24"/>
        </w:rPr>
        <w:t xml:space="preserve">Cardini, </w:t>
      </w:r>
      <w:r w:rsidRPr="00D60FB8">
        <w:rPr>
          <w:rFonts w:ascii="Times New Roman" w:hAnsi="Times New Roman" w:cs="Times New Roman"/>
          <w:i/>
          <w:sz w:val="24"/>
          <w:szCs w:val="24"/>
        </w:rPr>
        <w:t>Giappone, la storia segreta dei martiri cristiani</w:t>
      </w:r>
      <w:r w:rsidRPr="00D60FB8">
        <w:rPr>
          <w:rFonts w:ascii="Times New Roman" w:hAnsi="Times New Roman" w:cs="Times New Roman"/>
          <w:sz w:val="24"/>
          <w:szCs w:val="24"/>
        </w:rPr>
        <w:t xml:space="preserve">, in </w:t>
      </w:r>
      <w:r w:rsidRPr="00D60FB8">
        <w:rPr>
          <w:rFonts w:ascii="Times New Roman" w:hAnsi="Times New Roman" w:cs="Times New Roman"/>
          <w:i/>
          <w:sz w:val="24"/>
          <w:szCs w:val="24"/>
        </w:rPr>
        <w:t>Vita e Pensiero</w:t>
      </w:r>
      <w:r w:rsidRPr="00D60FB8">
        <w:rPr>
          <w:rFonts w:ascii="Times New Roman" w:hAnsi="Times New Roman" w:cs="Times New Roman"/>
          <w:sz w:val="24"/>
          <w:szCs w:val="24"/>
        </w:rPr>
        <w:t xml:space="preserve">, n.5, 2016, cit., </w:t>
      </w:r>
      <w:r w:rsidRPr="00D60FB8">
        <w:rPr>
          <w:rFonts w:ascii="Times New Roman" w:hAnsi="Times New Roman" w:cs="Times New Roman"/>
          <w:i/>
          <w:sz w:val="24"/>
          <w:szCs w:val="24"/>
        </w:rPr>
        <w:t>passim.</w:t>
      </w:r>
    </w:p>
    <w:p w14:paraId="167371D5" w14:textId="77777777" w:rsidR="00F202D0" w:rsidRDefault="00F202D0" w:rsidP="00383122">
      <w:pPr>
        <w:pStyle w:val="Testonotaapidipagina"/>
      </w:pPr>
    </w:p>
  </w:footnote>
  <w:footnote w:id="107">
    <w:p w14:paraId="65E2C807" w14:textId="77777777" w:rsidR="00F202D0" w:rsidRPr="00D60FB8" w:rsidRDefault="00F202D0" w:rsidP="00383122">
      <w:pPr>
        <w:pStyle w:val="Testonotaapidipagina"/>
        <w:rPr>
          <w:rFonts w:ascii="Times New Roman" w:hAnsi="Times New Roman" w:cs="Times New Roman"/>
          <w:i/>
          <w:sz w:val="24"/>
          <w:szCs w:val="24"/>
        </w:rPr>
      </w:pPr>
      <w:r>
        <w:rPr>
          <w:rStyle w:val="Rimandonotaapidipagina"/>
        </w:rPr>
        <w:footnoteRef/>
      </w:r>
      <w:r>
        <w:t xml:space="preserve"> </w:t>
      </w:r>
      <w:r w:rsidRPr="00D60FB8">
        <w:rPr>
          <w:rFonts w:ascii="Times New Roman" w:hAnsi="Times New Roman" w:cs="Times New Roman"/>
          <w:i/>
          <w:sz w:val="24"/>
          <w:szCs w:val="24"/>
        </w:rPr>
        <w:t>Ibidem.</w:t>
      </w:r>
    </w:p>
  </w:footnote>
  <w:footnote w:id="108">
    <w:p w14:paraId="4820919B" w14:textId="77777777" w:rsidR="00F202D0" w:rsidRDefault="00F202D0" w:rsidP="00383122">
      <w:pPr>
        <w:pStyle w:val="Testonotaapidipagina"/>
      </w:pPr>
      <w:r>
        <w:rPr>
          <w:rStyle w:val="Rimandonotaapidipagina"/>
        </w:rPr>
        <w:footnoteRef/>
      </w:r>
      <w:r>
        <w:t xml:space="preserve"> </w:t>
      </w:r>
      <w:r w:rsidRPr="009218FA">
        <w:rPr>
          <w:rFonts w:ascii="Times New Roman" w:hAnsi="Times New Roman" w:cs="Times New Roman"/>
          <w:sz w:val="24"/>
          <w:szCs w:val="24"/>
        </w:rPr>
        <w:t xml:space="preserve">G. Melis, </w:t>
      </w:r>
      <w:r w:rsidRPr="009218FA">
        <w:rPr>
          <w:rFonts w:ascii="Times New Roman" w:hAnsi="Times New Roman" w:cs="Times New Roman"/>
          <w:i/>
          <w:sz w:val="24"/>
          <w:szCs w:val="24"/>
        </w:rPr>
        <w:t>La Chiesa in Cina</w:t>
      </w:r>
      <w:r w:rsidRPr="009218FA">
        <w:rPr>
          <w:rFonts w:ascii="Times New Roman" w:hAnsi="Times New Roman" w:cs="Times New Roman"/>
          <w:sz w:val="24"/>
          <w:szCs w:val="24"/>
        </w:rPr>
        <w:t xml:space="preserve">, in </w:t>
      </w:r>
      <w:r w:rsidRPr="009218FA">
        <w:rPr>
          <w:rFonts w:ascii="Times New Roman" w:hAnsi="Times New Roman" w:cs="Times New Roman"/>
          <w:i/>
          <w:sz w:val="24"/>
          <w:szCs w:val="24"/>
        </w:rPr>
        <w:t>La Santa sede e le missioni</w:t>
      </w:r>
      <w:r>
        <w:rPr>
          <w:rFonts w:ascii="Times New Roman" w:hAnsi="Times New Roman" w:cs="Times New Roman"/>
          <w:i/>
          <w:sz w:val="24"/>
          <w:szCs w:val="24"/>
        </w:rPr>
        <w:t>,</w:t>
      </w:r>
      <w:r>
        <w:rPr>
          <w:rFonts w:ascii="Times New Roman" w:hAnsi="Times New Roman" w:cs="Times New Roman"/>
          <w:sz w:val="24"/>
          <w:szCs w:val="24"/>
        </w:rPr>
        <w:t xml:space="preserve"> cit, p.372.</w:t>
      </w:r>
    </w:p>
  </w:footnote>
  <w:footnote w:id="109">
    <w:p w14:paraId="247EB1B7" w14:textId="77777777" w:rsidR="00F202D0" w:rsidRDefault="00F202D0" w:rsidP="00383122">
      <w:pPr>
        <w:pStyle w:val="Testonotaapidipagina"/>
      </w:pPr>
      <w:r w:rsidRPr="00C92717">
        <w:rPr>
          <w:rStyle w:val="Rimandonotaapidipagina"/>
        </w:rPr>
        <w:footnoteRef/>
      </w:r>
      <w:r w:rsidRPr="00C92717">
        <w:rPr>
          <w:i/>
        </w:rPr>
        <w:t xml:space="preserve"> </w:t>
      </w:r>
      <w:r w:rsidRPr="00C92717">
        <w:rPr>
          <w:rFonts w:ascii="Times New Roman" w:hAnsi="Times New Roman" w:cs="Times New Roman"/>
          <w:i/>
          <w:sz w:val="24"/>
          <w:szCs w:val="24"/>
        </w:rPr>
        <w:t>Ibidem</w:t>
      </w:r>
      <w:r w:rsidRPr="00C92717">
        <w:rPr>
          <w:rFonts w:ascii="Times New Roman" w:hAnsi="Times New Roman" w:cs="Times New Roman"/>
          <w:sz w:val="24"/>
          <w:szCs w:val="24"/>
        </w:rPr>
        <w:t>.</w:t>
      </w:r>
    </w:p>
  </w:footnote>
  <w:footnote w:id="110">
    <w:p w14:paraId="2B747B1F" w14:textId="77777777" w:rsidR="00F202D0" w:rsidRDefault="00F202D0" w:rsidP="00383122">
      <w:pPr>
        <w:pStyle w:val="Testonotaapidipagina"/>
      </w:pPr>
      <w:r>
        <w:rPr>
          <w:rStyle w:val="Rimandonotaapidipagina"/>
        </w:rPr>
        <w:footnoteRef/>
      </w:r>
      <w:r>
        <w:t xml:space="preserve"> </w:t>
      </w:r>
      <w:r w:rsidRPr="00C92717">
        <w:rPr>
          <w:rFonts w:ascii="Times New Roman" w:hAnsi="Times New Roman" w:cs="Times New Roman"/>
          <w:i/>
          <w:sz w:val="24"/>
          <w:szCs w:val="24"/>
        </w:rPr>
        <w:t>Ibidem</w:t>
      </w:r>
      <w:r w:rsidRPr="00C92717">
        <w:rPr>
          <w:rFonts w:ascii="Times New Roman" w:hAnsi="Times New Roman" w:cs="Times New Roman"/>
          <w:sz w:val="24"/>
          <w:szCs w:val="24"/>
        </w:rPr>
        <w:t>.</w:t>
      </w:r>
    </w:p>
    <w:p w14:paraId="2EA40C3C" w14:textId="77777777" w:rsidR="00F202D0" w:rsidRDefault="00F202D0" w:rsidP="00383122">
      <w:pPr>
        <w:pStyle w:val="Testonotaapidipagina"/>
      </w:pPr>
    </w:p>
  </w:footnote>
  <w:footnote w:id="111">
    <w:p w14:paraId="66762792" w14:textId="77777777" w:rsidR="00F202D0" w:rsidRPr="003445AF" w:rsidRDefault="00F202D0">
      <w:pPr>
        <w:pStyle w:val="Testonotaapidipagina"/>
        <w:rPr>
          <w:rFonts w:ascii="Times New Roman" w:hAnsi="Times New Roman" w:cs="Times New Roman"/>
          <w:sz w:val="24"/>
          <w:szCs w:val="24"/>
        </w:rPr>
      </w:pPr>
      <w:r w:rsidRPr="003445AF">
        <w:rPr>
          <w:rStyle w:val="Rimandonotaapidipagina"/>
          <w:rFonts w:ascii="Times New Roman" w:hAnsi="Times New Roman" w:cs="Times New Roman"/>
          <w:sz w:val="24"/>
          <w:szCs w:val="24"/>
        </w:rPr>
        <w:footnoteRef/>
      </w:r>
      <w:r w:rsidRPr="003445AF">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3445AF">
        <w:rPr>
          <w:rFonts w:ascii="Times New Roman" w:hAnsi="Times New Roman" w:cs="Times New Roman"/>
          <w:sz w:val="24"/>
          <w:szCs w:val="24"/>
        </w:rPr>
        <w:t xml:space="preserve">Turchi, </w:t>
      </w:r>
      <w:r w:rsidRPr="003445AF">
        <w:rPr>
          <w:rFonts w:ascii="Times New Roman" w:hAnsi="Times New Roman" w:cs="Times New Roman"/>
          <w:i/>
          <w:sz w:val="24"/>
          <w:szCs w:val="24"/>
        </w:rPr>
        <w:t>Circoscrizioni ecclesiastiche</w:t>
      </w:r>
      <w:r w:rsidRPr="003445AF">
        <w:rPr>
          <w:rFonts w:ascii="Times New Roman" w:hAnsi="Times New Roman" w:cs="Times New Roman"/>
          <w:sz w:val="24"/>
          <w:szCs w:val="24"/>
        </w:rPr>
        <w:t xml:space="preserve">, in </w:t>
      </w:r>
      <w:r w:rsidRPr="003445AF">
        <w:rPr>
          <w:rFonts w:ascii="Times New Roman" w:hAnsi="Times New Roman" w:cs="Times New Roman"/>
          <w:i/>
          <w:sz w:val="24"/>
          <w:szCs w:val="24"/>
        </w:rPr>
        <w:t>Encicloped</w:t>
      </w:r>
      <w:r>
        <w:rPr>
          <w:rFonts w:ascii="Times New Roman" w:hAnsi="Times New Roman" w:cs="Times New Roman"/>
          <w:i/>
          <w:sz w:val="24"/>
          <w:szCs w:val="24"/>
        </w:rPr>
        <w:t xml:space="preserve">ia cattolica, </w:t>
      </w:r>
      <w:r w:rsidRPr="007421EE">
        <w:rPr>
          <w:rFonts w:ascii="Times New Roman" w:hAnsi="Times New Roman" w:cs="Times New Roman"/>
          <w:sz w:val="24"/>
          <w:szCs w:val="24"/>
        </w:rPr>
        <w:t>Vol. 3</w:t>
      </w:r>
      <w:r>
        <w:rPr>
          <w:rFonts w:ascii="Times New Roman" w:hAnsi="Times New Roman" w:cs="Times New Roman"/>
          <w:sz w:val="24"/>
          <w:szCs w:val="24"/>
        </w:rPr>
        <w:t xml:space="preserve">, Roma, 1948, cit., </w:t>
      </w:r>
      <w:r w:rsidRPr="003445AF">
        <w:rPr>
          <w:rFonts w:ascii="Times New Roman" w:hAnsi="Times New Roman" w:cs="Times New Roman"/>
          <w:i/>
          <w:sz w:val="24"/>
          <w:szCs w:val="24"/>
        </w:rPr>
        <w:t>passim.</w:t>
      </w:r>
    </w:p>
  </w:footnote>
  <w:footnote w:id="112">
    <w:p w14:paraId="5DD8FAB5" w14:textId="77777777" w:rsidR="00F202D0" w:rsidRPr="00155978" w:rsidRDefault="00F202D0">
      <w:pPr>
        <w:pStyle w:val="Testonotaapidipagina"/>
        <w:rPr>
          <w:rFonts w:ascii="Times New Roman" w:hAnsi="Times New Roman" w:cs="Times New Roman"/>
          <w:sz w:val="24"/>
          <w:szCs w:val="24"/>
          <w:lang w:val="en-US"/>
        </w:rPr>
      </w:pPr>
      <w:r>
        <w:rPr>
          <w:rStyle w:val="Rimandonotaapidipagina"/>
        </w:rPr>
        <w:footnoteRef/>
      </w:r>
      <w:r w:rsidRPr="00155978">
        <w:rPr>
          <w:lang w:val="en-US"/>
        </w:rPr>
        <w:t xml:space="preserve"> </w:t>
      </w:r>
      <w:r w:rsidRPr="00155978">
        <w:rPr>
          <w:rFonts w:ascii="Times New Roman" w:hAnsi="Times New Roman" w:cs="Times New Roman"/>
          <w:i/>
          <w:sz w:val="24"/>
          <w:szCs w:val="24"/>
          <w:lang w:val="en-US"/>
        </w:rPr>
        <w:t xml:space="preserve">Codex iuris canonici </w:t>
      </w:r>
      <w:r w:rsidRPr="00155978">
        <w:rPr>
          <w:rFonts w:ascii="Times New Roman" w:hAnsi="Times New Roman" w:cs="Times New Roman"/>
          <w:sz w:val="24"/>
          <w:szCs w:val="24"/>
          <w:lang w:val="en-US"/>
        </w:rPr>
        <w:t>1917, can. 215 § 1.</w:t>
      </w:r>
    </w:p>
  </w:footnote>
  <w:footnote w:id="113">
    <w:p w14:paraId="6816D675" w14:textId="77777777" w:rsidR="00F202D0" w:rsidRPr="00155978" w:rsidRDefault="00F202D0" w:rsidP="00383122">
      <w:pPr>
        <w:pStyle w:val="Testonotaapidipagina"/>
        <w:rPr>
          <w:rFonts w:ascii="Times New Roman" w:hAnsi="Times New Roman" w:cs="Times New Roman"/>
          <w:sz w:val="24"/>
          <w:szCs w:val="24"/>
          <w:lang w:val="en-US"/>
        </w:rPr>
      </w:pPr>
      <w:r>
        <w:rPr>
          <w:rStyle w:val="Rimandonotaapidipagina"/>
        </w:rPr>
        <w:footnoteRef/>
      </w:r>
      <w:r w:rsidRPr="00155978">
        <w:rPr>
          <w:lang w:val="en-US"/>
        </w:rPr>
        <w:t xml:space="preserve"> </w:t>
      </w:r>
      <w:r w:rsidRPr="00155978">
        <w:rPr>
          <w:rFonts w:ascii="Times New Roman" w:hAnsi="Times New Roman" w:cs="Times New Roman"/>
          <w:i/>
          <w:sz w:val="24"/>
          <w:szCs w:val="24"/>
          <w:lang w:val="en-US"/>
        </w:rPr>
        <w:t xml:space="preserve">Codex iuris canonici </w:t>
      </w:r>
      <w:r w:rsidRPr="00155978">
        <w:rPr>
          <w:rFonts w:ascii="Times New Roman" w:hAnsi="Times New Roman" w:cs="Times New Roman"/>
          <w:sz w:val="24"/>
          <w:szCs w:val="24"/>
          <w:lang w:val="en-US"/>
        </w:rPr>
        <w:t>1917, can.1414 §§2-3, can. 1423, can. 1424, can. 1426, can. 1427.</w:t>
      </w:r>
    </w:p>
  </w:footnote>
  <w:footnote w:id="114">
    <w:p w14:paraId="4F2E2523" w14:textId="77777777" w:rsidR="00F202D0" w:rsidRPr="00513C8A" w:rsidRDefault="00F202D0">
      <w:pPr>
        <w:pStyle w:val="Testonotaapidipagina"/>
        <w:rPr>
          <w:lang w:val="en-US"/>
        </w:rPr>
      </w:pPr>
      <w:r>
        <w:rPr>
          <w:rStyle w:val="Rimandonotaapidipagina"/>
        </w:rPr>
        <w:footnoteRef/>
      </w:r>
      <w:r w:rsidRPr="00513C8A">
        <w:rPr>
          <w:lang w:val="en-US"/>
        </w:rPr>
        <w:t xml:space="preserve"> </w:t>
      </w:r>
      <w:r w:rsidRPr="00513C8A">
        <w:rPr>
          <w:rFonts w:ascii="Times New Roman" w:hAnsi="Times New Roman" w:cs="Times New Roman"/>
          <w:i/>
          <w:sz w:val="24"/>
          <w:szCs w:val="24"/>
          <w:lang w:val="en-US"/>
        </w:rPr>
        <w:t xml:space="preserve">Codex iuris canonici </w:t>
      </w:r>
      <w:r w:rsidRPr="00513C8A">
        <w:rPr>
          <w:rFonts w:ascii="Times New Roman" w:hAnsi="Times New Roman" w:cs="Times New Roman"/>
          <w:sz w:val="24"/>
          <w:szCs w:val="24"/>
          <w:lang w:val="en-US"/>
        </w:rPr>
        <w:t>1917, can. 1422.</w:t>
      </w:r>
    </w:p>
  </w:footnote>
  <w:footnote w:id="115">
    <w:p w14:paraId="3853995D" w14:textId="77777777" w:rsidR="00F202D0" w:rsidRPr="00513C8A" w:rsidRDefault="00F202D0" w:rsidP="00383122">
      <w:pPr>
        <w:rPr>
          <w:rFonts w:ascii="Times New Roman" w:hAnsi="Times New Roman" w:cs="Times New Roman"/>
          <w:sz w:val="24"/>
          <w:szCs w:val="24"/>
          <w:lang w:val="en-US"/>
        </w:rPr>
      </w:pPr>
      <w:r>
        <w:rPr>
          <w:rStyle w:val="Rimandonotaapidipagina"/>
        </w:rPr>
        <w:footnoteRef/>
      </w:r>
      <w:r w:rsidRPr="00513C8A">
        <w:rPr>
          <w:lang w:val="en-US"/>
        </w:rPr>
        <w:t xml:space="preserve"> </w:t>
      </w:r>
      <w:r w:rsidRPr="00513C8A">
        <w:rPr>
          <w:rFonts w:ascii="Times New Roman" w:hAnsi="Times New Roman" w:cs="Times New Roman"/>
          <w:i/>
          <w:sz w:val="24"/>
          <w:szCs w:val="24"/>
          <w:lang w:val="en-US"/>
        </w:rPr>
        <w:t>Instructio de novis praefecturis aut vicariatibus apostolicis aut dioecesibus condendis</w:t>
      </w:r>
      <w:r w:rsidRPr="00513C8A">
        <w:rPr>
          <w:rFonts w:ascii="Times New Roman" w:hAnsi="Times New Roman" w:cs="Times New Roman"/>
          <w:sz w:val="24"/>
          <w:szCs w:val="24"/>
          <w:lang w:val="en-US"/>
        </w:rPr>
        <w:t xml:space="preserve">, in AAS34-1942, 21 giugno 1942, pp. 347-349. </w:t>
      </w:r>
    </w:p>
  </w:footnote>
  <w:footnote w:id="116">
    <w:p w14:paraId="7A2F62F7" w14:textId="77777777" w:rsidR="00F202D0" w:rsidRPr="00513C8A" w:rsidRDefault="00F202D0">
      <w:pPr>
        <w:pStyle w:val="Testonotaapidipagina"/>
        <w:rPr>
          <w:lang w:val="en-US"/>
        </w:rPr>
      </w:pPr>
      <w:r>
        <w:rPr>
          <w:rStyle w:val="Rimandonotaapidipagina"/>
        </w:rPr>
        <w:footnoteRef/>
      </w:r>
      <w:r w:rsidRPr="00513C8A">
        <w:rPr>
          <w:lang w:val="en-US"/>
        </w:rPr>
        <w:t xml:space="preserve"> </w:t>
      </w:r>
      <w:r w:rsidRPr="00513C8A">
        <w:rPr>
          <w:rFonts w:ascii="Times New Roman" w:hAnsi="Times New Roman" w:cs="Times New Roman"/>
          <w:i/>
          <w:sz w:val="24"/>
          <w:szCs w:val="24"/>
          <w:lang w:val="en-US"/>
        </w:rPr>
        <w:t>Ibidem.</w:t>
      </w:r>
    </w:p>
  </w:footnote>
  <w:footnote w:id="117">
    <w:p w14:paraId="06F4AA4D" w14:textId="77777777" w:rsidR="00F202D0" w:rsidRPr="00513C8A" w:rsidRDefault="00F202D0">
      <w:pPr>
        <w:pStyle w:val="Testonotaapidipagina"/>
        <w:rPr>
          <w:lang w:val="en-US"/>
        </w:rPr>
      </w:pPr>
      <w:r>
        <w:rPr>
          <w:rStyle w:val="Rimandonotaapidipagina"/>
        </w:rPr>
        <w:footnoteRef/>
      </w:r>
      <w:r w:rsidRPr="00513C8A">
        <w:rPr>
          <w:lang w:val="en-US"/>
        </w:rPr>
        <w:t xml:space="preserve"> </w:t>
      </w:r>
      <w:r w:rsidRPr="00513C8A">
        <w:rPr>
          <w:rFonts w:ascii="Times New Roman" w:hAnsi="Times New Roman" w:cs="Times New Roman"/>
          <w:i/>
          <w:sz w:val="24"/>
          <w:szCs w:val="24"/>
          <w:lang w:val="en-US"/>
        </w:rPr>
        <w:t>Ibidem.</w:t>
      </w:r>
    </w:p>
  </w:footnote>
  <w:footnote w:id="118">
    <w:p w14:paraId="7335F628" w14:textId="77777777" w:rsidR="00F202D0" w:rsidRPr="00422378" w:rsidRDefault="00F202D0">
      <w:pPr>
        <w:pStyle w:val="Testonotaapidipagina"/>
        <w:rPr>
          <w:rFonts w:ascii="Times New Roman" w:hAnsi="Times New Roman" w:cs="Times New Roman"/>
          <w:sz w:val="24"/>
          <w:szCs w:val="24"/>
        </w:rPr>
      </w:pPr>
      <w:r>
        <w:rPr>
          <w:rStyle w:val="Rimandonotaapidipagina"/>
        </w:rPr>
        <w:footnoteRef/>
      </w:r>
      <w:r>
        <w:t xml:space="preserve"> </w:t>
      </w:r>
      <w:r w:rsidRPr="00422378">
        <w:rPr>
          <w:rFonts w:ascii="Times New Roman" w:hAnsi="Times New Roman" w:cs="Times New Roman"/>
          <w:sz w:val="24"/>
          <w:szCs w:val="24"/>
        </w:rPr>
        <w:t>Vedi Figura 1 in Appendice.</w:t>
      </w:r>
    </w:p>
  </w:footnote>
  <w:footnote w:id="119">
    <w:p w14:paraId="7831407C" w14:textId="77777777" w:rsidR="00F202D0" w:rsidRPr="007421EE" w:rsidRDefault="00F202D0">
      <w:pPr>
        <w:pStyle w:val="Testonotaapidipagina"/>
        <w:rPr>
          <w:rFonts w:ascii="Times New Roman" w:hAnsi="Times New Roman" w:cs="Times New Roman"/>
          <w:sz w:val="24"/>
          <w:szCs w:val="24"/>
        </w:rPr>
      </w:pPr>
      <w:r>
        <w:rPr>
          <w:rStyle w:val="Rimandonotaapidipagina"/>
        </w:rPr>
        <w:footnoteRef/>
      </w:r>
      <w:r>
        <w:t xml:space="preserve"> </w:t>
      </w:r>
      <w:r w:rsidRPr="007421EE">
        <w:rPr>
          <w:rFonts w:ascii="Times New Roman" w:hAnsi="Times New Roman" w:cs="Times New Roman"/>
          <w:sz w:val="24"/>
          <w:szCs w:val="24"/>
        </w:rPr>
        <w:t>G.</w:t>
      </w:r>
      <w:r>
        <w:rPr>
          <w:rFonts w:ascii="Times New Roman" w:hAnsi="Times New Roman" w:cs="Times New Roman"/>
          <w:sz w:val="24"/>
          <w:szCs w:val="24"/>
        </w:rPr>
        <w:t xml:space="preserve"> </w:t>
      </w:r>
      <w:r w:rsidRPr="007421EE">
        <w:rPr>
          <w:rFonts w:ascii="Times New Roman" w:hAnsi="Times New Roman" w:cs="Times New Roman"/>
          <w:sz w:val="24"/>
          <w:szCs w:val="24"/>
        </w:rPr>
        <w:t xml:space="preserve">Tragella, </w:t>
      </w:r>
      <w:r w:rsidRPr="007421EE">
        <w:rPr>
          <w:rFonts w:ascii="Times New Roman" w:hAnsi="Times New Roman" w:cs="Times New Roman"/>
          <w:i/>
          <w:sz w:val="24"/>
          <w:szCs w:val="24"/>
        </w:rPr>
        <w:t>Africa</w:t>
      </w:r>
      <w:r w:rsidRPr="007421EE">
        <w:rPr>
          <w:rFonts w:ascii="Times New Roman" w:hAnsi="Times New Roman" w:cs="Times New Roman"/>
          <w:sz w:val="24"/>
          <w:szCs w:val="24"/>
        </w:rPr>
        <w:t xml:space="preserve">, in </w:t>
      </w:r>
      <w:r w:rsidRPr="007421EE">
        <w:rPr>
          <w:rFonts w:ascii="Times New Roman" w:hAnsi="Times New Roman" w:cs="Times New Roman"/>
          <w:i/>
          <w:sz w:val="24"/>
          <w:szCs w:val="24"/>
        </w:rPr>
        <w:t>Enciclopedia cattolica</w:t>
      </w:r>
      <w:r w:rsidRPr="007421EE">
        <w:rPr>
          <w:rFonts w:ascii="Times New Roman" w:hAnsi="Times New Roman" w:cs="Times New Roman"/>
          <w:sz w:val="24"/>
          <w:szCs w:val="24"/>
        </w:rPr>
        <w:t>, Vol. 1, 1948, p. 408.</w:t>
      </w:r>
    </w:p>
  </w:footnote>
  <w:footnote w:id="120">
    <w:p w14:paraId="1483BAE1" w14:textId="77777777" w:rsidR="00F202D0" w:rsidRPr="00C139C0" w:rsidRDefault="00F202D0">
      <w:pPr>
        <w:pStyle w:val="Testonotaapidipagina"/>
        <w:rPr>
          <w:rFonts w:ascii="Times New Roman" w:hAnsi="Times New Roman" w:cs="Times New Roman"/>
          <w:sz w:val="24"/>
          <w:szCs w:val="24"/>
        </w:rPr>
      </w:pPr>
      <w:r>
        <w:rPr>
          <w:rStyle w:val="Rimandonotaapidipagina"/>
        </w:rPr>
        <w:footnoteRef/>
      </w:r>
      <w:r>
        <w:t xml:space="preserve"> </w:t>
      </w:r>
      <w:r w:rsidRPr="00C139C0">
        <w:rPr>
          <w:rFonts w:ascii="Times New Roman" w:hAnsi="Times New Roman" w:cs="Times New Roman"/>
          <w:sz w:val="24"/>
          <w:szCs w:val="24"/>
        </w:rPr>
        <w:t>Vedi figura 3 in Appendice.</w:t>
      </w:r>
    </w:p>
  </w:footnote>
  <w:footnote w:id="121">
    <w:p w14:paraId="1CA4F786" w14:textId="77777777" w:rsidR="00F202D0" w:rsidRPr="00054054" w:rsidRDefault="00F202D0" w:rsidP="00383122">
      <w:pPr>
        <w:rPr>
          <w:rFonts w:ascii="Times New Roman" w:hAnsi="Times New Roman" w:cs="Times New Roman"/>
          <w:sz w:val="24"/>
          <w:szCs w:val="24"/>
        </w:rPr>
      </w:pPr>
      <w:r>
        <w:rPr>
          <w:rStyle w:val="Rimandonotaapidipagina"/>
        </w:rPr>
        <w:footnoteRef/>
      </w:r>
      <w:r>
        <w:t xml:space="preserve"> </w:t>
      </w:r>
      <w:r w:rsidRPr="00054054">
        <w:rPr>
          <w:rFonts w:ascii="Times New Roman" w:hAnsi="Times New Roman" w:cs="Times New Roman"/>
          <w:i/>
          <w:sz w:val="24"/>
          <w:szCs w:val="24"/>
        </w:rPr>
        <w:t>Decretum: vi</w:t>
      </w:r>
      <w:r>
        <w:rPr>
          <w:rFonts w:ascii="Times New Roman" w:hAnsi="Times New Roman" w:cs="Times New Roman"/>
          <w:i/>
          <w:sz w:val="24"/>
          <w:szCs w:val="24"/>
        </w:rPr>
        <w:t>cariatus Togoñbn sis deinceps  L</w:t>
      </w:r>
      <w:r w:rsidRPr="00054054">
        <w:rPr>
          <w:rFonts w:ascii="Times New Roman" w:hAnsi="Times New Roman" w:cs="Times New Roman"/>
          <w:i/>
          <w:sz w:val="24"/>
          <w:szCs w:val="24"/>
        </w:rPr>
        <w:t>omen sis appellabitur</w:t>
      </w:r>
      <w:r w:rsidRPr="00054054">
        <w:rPr>
          <w:rFonts w:ascii="Times New Roman" w:hAnsi="Times New Roman" w:cs="Times New Roman"/>
          <w:sz w:val="24"/>
          <w:szCs w:val="24"/>
        </w:rPr>
        <w:t>, in AAS30-1938, 14 giugno 1938, p 346.</w:t>
      </w:r>
    </w:p>
  </w:footnote>
  <w:footnote w:id="122">
    <w:p w14:paraId="7FB8827A" w14:textId="77777777" w:rsidR="00F202D0" w:rsidRPr="00054054" w:rsidRDefault="00F202D0">
      <w:pPr>
        <w:pStyle w:val="Testonotaapidipagina"/>
        <w:rPr>
          <w:rFonts w:ascii="Times New Roman" w:hAnsi="Times New Roman" w:cs="Times New Roman"/>
          <w:sz w:val="24"/>
          <w:szCs w:val="24"/>
        </w:rPr>
      </w:pPr>
      <w:r>
        <w:rPr>
          <w:rStyle w:val="Rimandonotaapidipagina"/>
        </w:rPr>
        <w:footnoteRef/>
      </w:r>
      <w:r>
        <w:t xml:space="preserve"> </w:t>
      </w:r>
      <w:r w:rsidRPr="00054054">
        <w:rPr>
          <w:rFonts w:ascii="Times New Roman" w:hAnsi="Times New Roman" w:cs="Times New Roman"/>
          <w:sz w:val="24"/>
          <w:szCs w:val="24"/>
        </w:rPr>
        <w:t>S.</w:t>
      </w:r>
      <w:r>
        <w:rPr>
          <w:rFonts w:ascii="Times New Roman" w:hAnsi="Times New Roman" w:cs="Times New Roman"/>
          <w:sz w:val="24"/>
          <w:szCs w:val="24"/>
        </w:rPr>
        <w:t xml:space="preserve"> </w:t>
      </w:r>
      <w:r w:rsidRPr="00054054">
        <w:rPr>
          <w:rFonts w:ascii="Times New Roman" w:hAnsi="Times New Roman" w:cs="Times New Roman"/>
          <w:sz w:val="24"/>
          <w:szCs w:val="24"/>
        </w:rPr>
        <w:t xml:space="preserve">Paventi, </w:t>
      </w:r>
      <w:r w:rsidRPr="00054054">
        <w:rPr>
          <w:rFonts w:ascii="Times New Roman" w:hAnsi="Times New Roman" w:cs="Times New Roman"/>
          <w:i/>
          <w:sz w:val="24"/>
          <w:szCs w:val="24"/>
        </w:rPr>
        <w:t>Lomé</w:t>
      </w:r>
      <w:r w:rsidRPr="00054054">
        <w:rPr>
          <w:rFonts w:ascii="Times New Roman" w:hAnsi="Times New Roman" w:cs="Times New Roman"/>
          <w:sz w:val="24"/>
          <w:szCs w:val="24"/>
        </w:rPr>
        <w:t xml:space="preserve">, in </w:t>
      </w:r>
      <w:r w:rsidRPr="00054054">
        <w:rPr>
          <w:rFonts w:ascii="Times New Roman" w:hAnsi="Times New Roman" w:cs="Times New Roman"/>
          <w:i/>
          <w:sz w:val="24"/>
          <w:szCs w:val="24"/>
        </w:rPr>
        <w:t>Enciclopedia cattolica</w:t>
      </w:r>
      <w:r w:rsidRPr="00054054">
        <w:rPr>
          <w:rFonts w:ascii="Times New Roman" w:hAnsi="Times New Roman" w:cs="Times New Roman"/>
          <w:sz w:val="24"/>
          <w:szCs w:val="24"/>
        </w:rPr>
        <w:t>, Vol.7, 1948, Roma, cit., passim.</w:t>
      </w:r>
    </w:p>
  </w:footnote>
  <w:footnote w:id="123">
    <w:p w14:paraId="6472885D" w14:textId="77777777" w:rsidR="00F202D0" w:rsidRPr="004923FA" w:rsidRDefault="00F202D0">
      <w:pPr>
        <w:pStyle w:val="Testonotaapidipagina"/>
        <w:rPr>
          <w:rFonts w:ascii="Times New Roman" w:hAnsi="Times New Roman" w:cs="Times New Roman"/>
          <w:sz w:val="24"/>
          <w:szCs w:val="24"/>
        </w:rPr>
      </w:pPr>
      <w:r>
        <w:rPr>
          <w:rStyle w:val="Rimandonotaapidipagina"/>
        </w:rPr>
        <w:footnoteRef/>
      </w:r>
      <w:r>
        <w:t xml:space="preserve"> </w:t>
      </w:r>
      <w:r w:rsidRPr="004923FA">
        <w:rPr>
          <w:rFonts w:ascii="Times New Roman" w:hAnsi="Times New Roman" w:cs="Times New Roman"/>
          <w:sz w:val="24"/>
          <w:szCs w:val="24"/>
        </w:rPr>
        <w:t xml:space="preserve">G. Tragella, </w:t>
      </w:r>
      <w:r w:rsidRPr="004923FA">
        <w:rPr>
          <w:rFonts w:ascii="Times New Roman" w:hAnsi="Times New Roman" w:cs="Times New Roman"/>
          <w:i/>
          <w:sz w:val="24"/>
          <w:szCs w:val="24"/>
        </w:rPr>
        <w:t>Lagos</w:t>
      </w:r>
      <w:r w:rsidRPr="004923FA">
        <w:rPr>
          <w:rFonts w:ascii="Times New Roman" w:hAnsi="Times New Roman" w:cs="Times New Roman"/>
          <w:sz w:val="24"/>
          <w:szCs w:val="24"/>
        </w:rPr>
        <w:t xml:space="preserve">, in </w:t>
      </w:r>
      <w:r w:rsidRPr="004923FA">
        <w:rPr>
          <w:rFonts w:ascii="Times New Roman" w:hAnsi="Times New Roman" w:cs="Times New Roman"/>
          <w:i/>
          <w:sz w:val="24"/>
          <w:szCs w:val="24"/>
        </w:rPr>
        <w:t>Enciclopedia cattolica</w:t>
      </w:r>
      <w:r w:rsidRPr="004923FA">
        <w:rPr>
          <w:rFonts w:ascii="Times New Roman" w:hAnsi="Times New Roman" w:cs="Times New Roman"/>
          <w:sz w:val="24"/>
          <w:szCs w:val="24"/>
        </w:rPr>
        <w:t>, Vol. 7, 1948, Roma, p. 808.</w:t>
      </w:r>
    </w:p>
  </w:footnote>
  <w:footnote w:id="124">
    <w:p w14:paraId="18E65657" w14:textId="77777777" w:rsidR="00F202D0" w:rsidRPr="004923FA" w:rsidRDefault="00F202D0" w:rsidP="00383122">
      <w:pPr>
        <w:rPr>
          <w:rFonts w:ascii="Times New Roman" w:hAnsi="Times New Roman" w:cs="Times New Roman"/>
          <w:sz w:val="24"/>
          <w:szCs w:val="24"/>
        </w:rPr>
      </w:pPr>
      <w:r>
        <w:rPr>
          <w:rStyle w:val="Rimandonotaapidipagina"/>
        </w:rPr>
        <w:footnoteRef/>
      </w:r>
      <w:r>
        <w:t xml:space="preserve"> </w:t>
      </w:r>
      <w:r w:rsidRPr="004923FA">
        <w:rPr>
          <w:rFonts w:ascii="Times New Roman" w:hAnsi="Times New Roman" w:cs="Times New Roman"/>
          <w:i/>
          <w:sz w:val="24"/>
          <w:szCs w:val="24"/>
        </w:rPr>
        <w:t>Decretum: de nominis mutatione</w:t>
      </w:r>
      <w:r w:rsidRPr="004923FA">
        <w:rPr>
          <w:rFonts w:ascii="Times New Roman" w:hAnsi="Times New Roman" w:cs="Times New Roman"/>
          <w:sz w:val="24"/>
          <w:szCs w:val="24"/>
        </w:rPr>
        <w:t>, in AAS35-1943, 12 gennaio 1943, p 81.</w:t>
      </w:r>
    </w:p>
  </w:footnote>
  <w:footnote w:id="125">
    <w:p w14:paraId="578B196D" w14:textId="77777777" w:rsidR="00F202D0" w:rsidRPr="00C5329F" w:rsidRDefault="00F202D0" w:rsidP="00383122">
      <w:pPr>
        <w:rPr>
          <w:rFonts w:ascii="Times New Roman" w:hAnsi="Times New Roman" w:cs="Times New Roman"/>
          <w:sz w:val="28"/>
          <w:szCs w:val="28"/>
        </w:rPr>
      </w:pPr>
      <w:r>
        <w:rPr>
          <w:rStyle w:val="Rimandonotaapidipagina"/>
        </w:rPr>
        <w:footnoteRef/>
      </w:r>
      <w:r>
        <w:t xml:space="preserve"> </w:t>
      </w:r>
      <w:r w:rsidRPr="00C5329F">
        <w:rPr>
          <w:rFonts w:ascii="Times New Roman" w:hAnsi="Times New Roman" w:cs="Times New Roman"/>
          <w:i/>
          <w:sz w:val="24"/>
          <w:szCs w:val="24"/>
        </w:rPr>
        <w:t>Decretum: de vicariatuum finium immutatione</w:t>
      </w:r>
      <w:r w:rsidRPr="00C5329F">
        <w:rPr>
          <w:rFonts w:ascii="Times New Roman" w:hAnsi="Times New Roman" w:cs="Times New Roman"/>
          <w:sz w:val="24"/>
          <w:szCs w:val="24"/>
        </w:rPr>
        <w:t>, in AAS40-1948, 13 maggio 1948, p. 297.</w:t>
      </w:r>
    </w:p>
  </w:footnote>
  <w:footnote w:id="126">
    <w:p w14:paraId="0E5B51ED" w14:textId="77777777" w:rsidR="00F202D0" w:rsidRDefault="00F202D0">
      <w:pPr>
        <w:pStyle w:val="Testonotaapidipagina"/>
      </w:pPr>
      <w:r>
        <w:rPr>
          <w:rStyle w:val="Rimandonotaapidipagina"/>
        </w:rPr>
        <w:footnoteRef/>
      </w:r>
      <w:r>
        <w:t xml:space="preserve"> </w:t>
      </w:r>
      <w:r w:rsidRPr="00C5329F">
        <w:rPr>
          <w:rFonts w:ascii="Times New Roman" w:hAnsi="Times New Roman" w:cs="Times New Roman"/>
          <w:i/>
          <w:sz w:val="24"/>
          <w:szCs w:val="24"/>
        </w:rPr>
        <w:t>Ibidem</w:t>
      </w:r>
      <w:r>
        <w:t>.</w:t>
      </w:r>
    </w:p>
  </w:footnote>
  <w:footnote w:id="127">
    <w:p w14:paraId="6062B714" w14:textId="77777777" w:rsidR="00F202D0" w:rsidRPr="00251EAC" w:rsidRDefault="00F202D0" w:rsidP="00383122">
      <w:pPr>
        <w:rPr>
          <w:rFonts w:ascii="Times New Roman" w:hAnsi="Times New Roman" w:cs="Times New Roman"/>
          <w:sz w:val="24"/>
          <w:szCs w:val="24"/>
        </w:rPr>
      </w:pPr>
      <w:r>
        <w:rPr>
          <w:rStyle w:val="Rimandonotaapidipagina"/>
        </w:rPr>
        <w:footnoteRef/>
      </w:r>
      <w:r>
        <w:t xml:space="preserve"> </w:t>
      </w:r>
      <w:r w:rsidRPr="00251EAC">
        <w:rPr>
          <w:rFonts w:ascii="Times New Roman" w:hAnsi="Times New Roman" w:cs="Times New Roman"/>
          <w:i/>
          <w:sz w:val="24"/>
          <w:szCs w:val="24"/>
        </w:rPr>
        <w:t>De</w:t>
      </w:r>
      <w:r>
        <w:rPr>
          <w:rFonts w:ascii="Times New Roman" w:hAnsi="Times New Roman" w:cs="Times New Roman"/>
          <w:i/>
          <w:sz w:val="24"/>
          <w:szCs w:val="24"/>
        </w:rPr>
        <w:t>cretum: vicariatus apostolicus L</w:t>
      </w:r>
      <w:r w:rsidRPr="00251EAC">
        <w:rPr>
          <w:rFonts w:ascii="Times New Roman" w:hAnsi="Times New Roman" w:cs="Times New Roman"/>
          <w:i/>
          <w:sz w:val="24"/>
          <w:szCs w:val="24"/>
        </w:rPr>
        <w:t>iberiensis deinceps ( Monroviensis ) appellabitur</w:t>
      </w:r>
      <w:r w:rsidRPr="00251EAC">
        <w:rPr>
          <w:rFonts w:ascii="Times New Roman" w:hAnsi="Times New Roman" w:cs="Times New Roman"/>
          <w:sz w:val="24"/>
          <w:szCs w:val="24"/>
        </w:rPr>
        <w:t>, in AAS42-1950, 2 febbraio 1950, p. 603.</w:t>
      </w:r>
    </w:p>
    <w:p w14:paraId="46166D21" w14:textId="77777777" w:rsidR="00F202D0" w:rsidRDefault="00F202D0">
      <w:pPr>
        <w:pStyle w:val="Testonotaapidipagina"/>
      </w:pPr>
    </w:p>
  </w:footnote>
  <w:footnote w:id="128">
    <w:p w14:paraId="65657649" w14:textId="77777777" w:rsidR="00F202D0" w:rsidRPr="00413991" w:rsidRDefault="00F202D0" w:rsidP="00383122">
      <w:pPr>
        <w:pStyle w:val="Testonotaapidipagina"/>
        <w:rPr>
          <w:sz w:val="24"/>
          <w:szCs w:val="24"/>
        </w:rPr>
      </w:pPr>
      <w:r>
        <w:rPr>
          <w:rStyle w:val="Rimandonotaapidipagina"/>
        </w:rPr>
        <w:footnoteRef/>
      </w:r>
      <w:r>
        <w:t xml:space="preserve"> </w:t>
      </w:r>
      <w:r w:rsidRPr="00413991">
        <w:rPr>
          <w:rFonts w:ascii="Times New Roman" w:hAnsi="Times New Roman" w:cs="Times New Roman"/>
          <w:i/>
          <w:sz w:val="24"/>
          <w:szCs w:val="24"/>
        </w:rPr>
        <w:t xml:space="preserve">Decretum: denominatio nonnullarum missionum immutatur, </w:t>
      </w:r>
      <w:r w:rsidRPr="00413991">
        <w:rPr>
          <w:rFonts w:ascii="Times New Roman" w:hAnsi="Times New Roman" w:cs="Times New Roman"/>
          <w:sz w:val="24"/>
          <w:szCs w:val="24"/>
        </w:rPr>
        <w:t>in AAS13- 1921,10 gennaio 1921, p 147; S.</w:t>
      </w:r>
      <w:r>
        <w:rPr>
          <w:rFonts w:ascii="Times New Roman" w:hAnsi="Times New Roman" w:cs="Times New Roman"/>
          <w:sz w:val="24"/>
          <w:szCs w:val="24"/>
        </w:rPr>
        <w:t xml:space="preserve"> </w:t>
      </w:r>
      <w:r w:rsidRPr="00413991">
        <w:rPr>
          <w:rFonts w:ascii="Times New Roman" w:hAnsi="Times New Roman" w:cs="Times New Roman"/>
          <w:sz w:val="24"/>
          <w:szCs w:val="24"/>
        </w:rPr>
        <w:t xml:space="preserve">Paventi, </w:t>
      </w:r>
      <w:r w:rsidRPr="00413991">
        <w:rPr>
          <w:rFonts w:ascii="Times New Roman" w:hAnsi="Times New Roman" w:cs="Times New Roman"/>
          <w:i/>
          <w:sz w:val="24"/>
          <w:szCs w:val="24"/>
        </w:rPr>
        <w:t>Ghardaia nel Sahara</w:t>
      </w:r>
      <w:r w:rsidRPr="00413991">
        <w:rPr>
          <w:rFonts w:ascii="Times New Roman" w:hAnsi="Times New Roman" w:cs="Times New Roman"/>
          <w:sz w:val="24"/>
          <w:szCs w:val="24"/>
        </w:rPr>
        <w:t xml:space="preserve">, in </w:t>
      </w:r>
      <w:r w:rsidRPr="00413991">
        <w:rPr>
          <w:rFonts w:ascii="Times New Roman" w:hAnsi="Times New Roman" w:cs="Times New Roman"/>
          <w:i/>
          <w:sz w:val="24"/>
          <w:szCs w:val="24"/>
        </w:rPr>
        <w:t>Enciclopedia cattolica</w:t>
      </w:r>
      <w:r w:rsidRPr="00413991">
        <w:rPr>
          <w:rFonts w:ascii="Times New Roman" w:hAnsi="Times New Roman" w:cs="Times New Roman"/>
          <w:sz w:val="24"/>
          <w:szCs w:val="24"/>
        </w:rPr>
        <w:t>, Vol. 6, 1948</w:t>
      </w:r>
      <w:r>
        <w:rPr>
          <w:rFonts w:ascii="Times New Roman" w:hAnsi="Times New Roman" w:cs="Times New Roman"/>
          <w:sz w:val="24"/>
          <w:szCs w:val="24"/>
        </w:rPr>
        <w:t xml:space="preserve">, cit., </w:t>
      </w:r>
      <w:r w:rsidRPr="00413991">
        <w:rPr>
          <w:rFonts w:ascii="Times New Roman" w:hAnsi="Times New Roman" w:cs="Times New Roman"/>
          <w:i/>
          <w:sz w:val="24"/>
          <w:szCs w:val="24"/>
        </w:rPr>
        <w:t>passim</w:t>
      </w:r>
      <w:r w:rsidRPr="00413991">
        <w:rPr>
          <w:rFonts w:ascii="Times New Roman" w:hAnsi="Times New Roman" w:cs="Times New Roman"/>
          <w:sz w:val="24"/>
          <w:szCs w:val="24"/>
        </w:rPr>
        <w:t>.</w:t>
      </w:r>
    </w:p>
  </w:footnote>
  <w:footnote w:id="129">
    <w:p w14:paraId="0077AC8F" w14:textId="77777777" w:rsidR="00F202D0" w:rsidRPr="007F322C" w:rsidRDefault="00F202D0" w:rsidP="00383122">
      <w:pPr>
        <w:rPr>
          <w:rFonts w:ascii="Times New Roman" w:hAnsi="Times New Roman" w:cs="Times New Roman"/>
          <w:sz w:val="24"/>
          <w:szCs w:val="24"/>
        </w:rPr>
      </w:pPr>
      <w:r>
        <w:rPr>
          <w:rStyle w:val="Rimandonotaapidipagina"/>
        </w:rPr>
        <w:footnoteRef/>
      </w:r>
      <w:r>
        <w:t xml:space="preserve"> </w:t>
      </w:r>
      <w:r w:rsidRPr="000305D9">
        <w:rPr>
          <w:rFonts w:ascii="Times New Roman" w:hAnsi="Times New Roman" w:cs="Times New Roman"/>
          <w:i/>
          <w:sz w:val="24"/>
          <w:szCs w:val="24"/>
        </w:rPr>
        <w:t>Decretum: dismembrationis et unionis</w:t>
      </w:r>
      <w:r w:rsidRPr="000305D9">
        <w:rPr>
          <w:rFonts w:ascii="Times New Roman" w:hAnsi="Times New Roman" w:cs="Times New Roman"/>
          <w:sz w:val="24"/>
          <w:szCs w:val="24"/>
        </w:rPr>
        <w:t>, in AAS34-1942, 9 giugno 1942, p. 301.</w:t>
      </w:r>
    </w:p>
  </w:footnote>
  <w:footnote w:id="130">
    <w:p w14:paraId="0A239BDB" w14:textId="77777777" w:rsidR="00F202D0" w:rsidRDefault="00F202D0">
      <w:pPr>
        <w:pStyle w:val="Testonotaapidipagina"/>
        <w:rPr>
          <w:rFonts w:ascii="Times New Roman" w:hAnsi="Times New Roman" w:cs="Times New Roman"/>
          <w:sz w:val="24"/>
          <w:szCs w:val="24"/>
        </w:rPr>
      </w:pPr>
      <w:r>
        <w:rPr>
          <w:rStyle w:val="Rimandonotaapidipagina"/>
        </w:rPr>
        <w:footnoteRef/>
      </w:r>
      <w:r>
        <w:t xml:space="preserve"> </w:t>
      </w:r>
      <w:r w:rsidRPr="00415807">
        <w:rPr>
          <w:rFonts w:ascii="Times New Roman" w:hAnsi="Times New Roman" w:cs="Times New Roman"/>
          <w:i/>
          <w:sz w:val="24"/>
          <w:szCs w:val="24"/>
        </w:rPr>
        <w:t>Decretum: de finium dioecesium mutatione</w:t>
      </w:r>
      <w:r w:rsidRPr="00415807">
        <w:rPr>
          <w:rFonts w:ascii="Times New Roman" w:hAnsi="Times New Roman" w:cs="Times New Roman"/>
          <w:sz w:val="24"/>
          <w:szCs w:val="24"/>
        </w:rPr>
        <w:t xml:space="preserve">, in AAS51-1959, </w:t>
      </w:r>
      <w:r>
        <w:rPr>
          <w:rFonts w:ascii="Times New Roman" w:hAnsi="Times New Roman" w:cs="Times New Roman"/>
          <w:sz w:val="24"/>
          <w:szCs w:val="24"/>
        </w:rPr>
        <w:t>19 dicembre 1959, p.</w:t>
      </w:r>
      <w:r w:rsidRPr="00415807">
        <w:rPr>
          <w:rFonts w:ascii="Times New Roman" w:hAnsi="Times New Roman" w:cs="Times New Roman"/>
          <w:sz w:val="24"/>
          <w:szCs w:val="24"/>
        </w:rPr>
        <w:t xml:space="preserve"> 111</w:t>
      </w:r>
      <w:r>
        <w:rPr>
          <w:rFonts w:ascii="Times New Roman" w:hAnsi="Times New Roman" w:cs="Times New Roman"/>
          <w:sz w:val="24"/>
          <w:szCs w:val="24"/>
        </w:rPr>
        <w:t>.</w:t>
      </w:r>
    </w:p>
    <w:p w14:paraId="131ED2FD" w14:textId="77777777" w:rsidR="00F202D0" w:rsidRDefault="00F202D0">
      <w:pPr>
        <w:pStyle w:val="Testonotaapidipagina"/>
      </w:pPr>
    </w:p>
  </w:footnote>
  <w:footnote w:id="131">
    <w:p w14:paraId="2090FC41" w14:textId="77777777" w:rsidR="00F202D0" w:rsidRPr="00CE3B17" w:rsidRDefault="00F202D0">
      <w:pPr>
        <w:pStyle w:val="Testonotaapidipagina"/>
        <w:rPr>
          <w:rFonts w:ascii="Times New Roman" w:hAnsi="Times New Roman" w:cs="Times New Roman"/>
          <w:sz w:val="24"/>
          <w:szCs w:val="24"/>
        </w:rPr>
      </w:pPr>
      <w:r>
        <w:rPr>
          <w:rStyle w:val="Rimandonotaapidipagina"/>
        </w:rPr>
        <w:footnoteRef/>
      </w:r>
      <w:r>
        <w:t xml:space="preserve"> </w:t>
      </w:r>
      <w:r>
        <w:rPr>
          <w:rFonts w:ascii="Times New Roman" w:hAnsi="Times New Roman" w:cs="Times New Roman"/>
          <w:sz w:val="24"/>
          <w:szCs w:val="24"/>
        </w:rPr>
        <w:t xml:space="preserve">Vedi </w:t>
      </w:r>
      <w:r w:rsidRPr="00CE3B17">
        <w:rPr>
          <w:rFonts w:ascii="Times New Roman" w:hAnsi="Times New Roman" w:cs="Times New Roman"/>
          <w:sz w:val="24"/>
          <w:szCs w:val="24"/>
        </w:rPr>
        <w:t xml:space="preserve">Figura </w:t>
      </w:r>
      <w:r>
        <w:rPr>
          <w:rFonts w:ascii="Times New Roman" w:hAnsi="Times New Roman" w:cs="Times New Roman"/>
          <w:sz w:val="24"/>
          <w:szCs w:val="24"/>
        </w:rPr>
        <w:t>2</w:t>
      </w:r>
      <w:r w:rsidRPr="00CE3B17">
        <w:rPr>
          <w:rFonts w:ascii="Times New Roman" w:hAnsi="Times New Roman" w:cs="Times New Roman"/>
          <w:sz w:val="24"/>
          <w:szCs w:val="24"/>
        </w:rPr>
        <w:t xml:space="preserve"> in Appendice.</w:t>
      </w:r>
    </w:p>
  </w:footnote>
  <w:footnote w:id="132">
    <w:p w14:paraId="752A1E9E" w14:textId="77777777" w:rsidR="00F202D0" w:rsidRDefault="00F202D0" w:rsidP="00383122">
      <w:pPr>
        <w:pStyle w:val="Testonotaapidipagina"/>
        <w:rPr>
          <w:rFonts w:ascii="Times New Roman" w:hAnsi="Times New Roman" w:cs="Times New Roman"/>
          <w:sz w:val="24"/>
          <w:szCs w:val="24"/>
        </w:rPr>
      </w:pPr>
      <w:r w:rsidRPr="00226876">
        <w:rPr>
          <w:rStyle w:val="Rimandonotaapidipagina"/>
          <w:sz w:val="24"/>
          <w:szCs w:val="24"/>
        </w:rPr>
        <w:footnoteRef/>
      </w:r>
      <w:r w:rsidRPr="00226876">
        <w:rPr>
          <w:sz w:val="24"/>
          <w:szCs w:val="24"/>
        </w:rPr>
        <w:t xml:space="preserve"> </w:t>
      </w:r>
      <w:r w:rsidRPr="00226876">
        <w:rPr>
          <w:rFonts w:ascii="Times New Roman" w:hAnsi="Times New Roman" w:cs="Times New Roman"/>
          <w:i/>
          <w:sz w:val="24"/>
          <w:szCs w:val="24"/>
        </w:rPr>
        <w:t>Decretum: praefiniuntur limite</w:t>
      </w:r>
      <w:r>
        <w:rPr>
          <w:rFonts w:ascii="Times New Roman" w:hAnsi="Times New Roman" w:cs="Times New Roman"/>
          <w:i/>
          <w:sz w:val="24"/>
          <w:szCs w:val="24"/>
        </w:rPr>
        <w:t>s inter vicariatum apostolicum L</w:t>
      </w:r>
      <w:r w:rsidRPr="00226876">
        <w:rPr>
          <w:rFonts w:ascii="Times New Roman" w:hAnsi="Times New Roman" w:cs="Times New Roman"/>
          <w:i/>
          <w:sz w:val="24"/>
          <w:szCs w:val="24"/>
        </w:rPr>
        <w:t xml:space="preserve">eopoldopolitanum </w:t>
      </w:r>
      <w:r>
        <w:rPr>
          <w:rFonts w:ascii="Times New Roman" w:hAnsi="Times New Roman" w:cs="Times New Roman"/>
          <w:i/>
          <w:sz w:val="24"/>
          <w:szCs w:val="24"/>
        </w:rPr>
        <w:t>et praefecturam apostolicam de M</w:t>
      </w:r>
      <w:r w:rsidRPr="00226876">
        <w:rPr>
          <w:rFonts w:ascii="Times New Roman" w:hAnsi="Times New Roman" w:cs="Times New Roman"/>
          <w:i/>
          <w:sz w:val="24"/>
          <w:szCs w:val="24"/>
        </w:rPr>
        <w:t>atadi</w:t>
      </w:r>
      <w:r w:rsidRPr="00226876">
        <w:rPr>
          <w:rFonts w:ascii="Times New Roman" w:hAnsi="Times New Roman" w:cs="Times New Roman"/>
          <w:sz w:val="24"/>
          <w:szCs w:val="24"/>
        </w:rPr>
        <w:t>, in AAS-1</w:t>
      </w:r>
      <w:r>
        <w:rPr>
          <w:rFonts w:ascii="Times New Roman" w:hAnsi="Times New Roman" w:cs="Times New Roman"/>
          <w:sz w:val="24"/>
          <w:szCs w:val="24"/>
        </w:rPr>
        <w:t>5-1923, 22 febbraio 1923, p 122;</w:t>
      </w:r>
    </w:p>
    <w:p w14:paraId="6BE58327" w14:textId="77777777" w:rsidR="00F202D0" w:rsidRPr="00226876" w:rsidRDefault="00F202D0" w:rsidP="00383122">
      <w:pPr>
        <w:pStyle w:val="Testonotaapidipagina"/>
        <w:rPr>
          <w:rFonts w:ascii="Times New Roman" w:hAnsi="Times New Roman" w:cs="Times New Roman"/>
          <w:sz w:val="24"/>
          <w:szCs w:val="24"/>
        </w:rPr>
      </w:pPr>
      <w:r>
        <w:rPr>
          <w:rFonts w:ascii="Times New Roman" w:hAnsi="Times New Roman" w:cs="Times New Roman"/>
          <w:sz w:val="24"/>
          <w:szCs w:val="24"/>
        </w:rPr>
        <w:t xml:space="preserve"> A. Mori- G. Negri- G. Colosi- L.Grama</w:t>
      </w:r>
      <w:r w:rsidRPr="00226876">
        <w:rPr>
          <w:rFonts w:ascii="Times New Roman" w:hAnsi="Times New Roman" w:cs="Times New Roman"/>
          <w:sz w:val="24"/>
          <w:szCs w:val="24"/>
        </w:rPr>
        <w:t>- G</w:t>
      </w:r>
      <w:r>
        <w:rPr>
          <w:rFonts w:ascii="Times New Roman" w:hAnsi="Times New Roman" w:cs="Times New Roman"/>
          <w:sz w:val="24"/>
          <w:szCs w:val="24"/>
        </w:rPr>
        <w:t>.</w:t>
      </w:r>
      <w:r w:rsidRPr="00226876">
        <w:rPr>
          <w:rFonts w:ascii="Times New Roman" w:hAnsi="Times New Roman" w:cs="Times New Roman"/>
          <w:sz w:val="24"/>
          <w:szCs w:val="24"/>
        </w:rPr>
        <w:t xml:space="preserve"> C</w:t>
      </w:r>
      <w:r>
        <w:rPr>
          <w:rFonts w:ascii="Times New Roman" w:hAnsi="Times New Roman" w:cs="Times New Roman"/>
          <w:sz w:val="24"/>
          <w:szCs w:val="24"/>
        </w:rPr>
        <w:t>olosi – L.</w:t>
      </w:r>
      <w:r w:rsidRPr="00226876">
        <w:rPr>
          <w:rFonts w:ascii="Times New Roman" w:hAnsi="Times New Roman" w:cs="Times New Roman"/>
          <w:sz w:val="24"/>
          <w:szCs w:val="24"/>
        </w:rPr>
        <w:t xml:space="preserve"> G</w:t>
      </w:r>
      <w:r>
        <w:rPr>
          <w:rFonts w:ascii="Times New Roman" w:hAnsi="Times New Roman" w:cs="Times New Roman"/>
          <w:sz w:val="24"/>
          <w:szCs w:val="24"/>
        </w:rPr>
        <w:t xml:space="preserve">ramatica - F. L. Ganshof, </w:t>
      </w:r>
      <w:r w:rsidRPr="00226876">
        <w:rPr>
          <w:rFonts w:ascii="Times New Roman" w:hAnsi="Times New Roman" w:cs="Times New Roman"/>
          <w:i/>
          <w:sz w:val="24"/>
          <w:szCs w:val="24"/>
        </w:rPr>
        <w:t>Congo Belga</w:t>
      </w:r>
      <w:r>
        <w:rPr>
          <w:rFonts w:ascii="Times New Roman" w:hAnsi="Times New Roman" w:cs="Times New Roman"/>
          <w:sz w:val="24"/>
          <w:szCs w:val="24"/>
        </w:rPr>
        <w:t xml:space="preserve">, in </w:t>
      </w:r>
      <w:r w:rsidRPr="00226876">
        <w:rPr>
          <w:rFonts w:ascii="Times New Roman" w:hAnsi="Times New Roman" w:cs="Times New Roman"/>
          <w:i/>
          <w:sz w:val="24"/>
          <w:szCs w:val="24"/>
        </w:rPr>
        <w:t>Enciclopedia Italiana</w:t>
      </w:r>
      <w:r>
        <w:rPr>
          <w:rFonts w:ascii="Times New Roman" w:hAnsi="Times New Roman" w:cs="Times New Roman"/>
          <w:sz w:val="24"/>
          <w:szCs w:val="24"/>
        </w:rPr>
        <w:t xml:space="preserve">, Roma, 1931,cit., </w:t>
      </w:r>
      <w:r w:rsidRPr="00226876">
        <w:rPr>
          <w:rFonts w:ascii="Times New Roman" w:hAnsi="Times New Roman" w:cs="Times New Roman"/>
          <w:i/>
          <w:sz w:val="24"/>
          <w:szCs w:val="24"/>
        </w:rPr>
        <w:t>passim</w:t>
      </w:r>
      <w:r>
        <w:rPr>
          <w:rFonts w:ascii="Times New Roman" w:hAnsi="Times New Roman" w:cs="Times New Roman"/>
          <w:sz w:val="24"/>
          <w:szCs w:val="24"/>
        </w:rPr>
        <w:t>.</w:t>
      </w:r>
    </w:p>
  </w:footnote>
  <w:footnote w:id="133">
    <w:p w14:paraId="5EE5590A" w14:textId="77777777" w:rsidR="00F202D0" w:rsidRPr="00513C8A" w:rsidRDefault="00F202D0">
      <w:pPr>
        <w:pStyle w:val="Testonotaapidipagina"/>
        <w:rPr>
          <w:rFonts w:ascii="Times New Roman" w:hAnsi="Times New Roman" w:cs="Times New Roman"/>
          <w:i/>
          <w:sz w:val="24"/>
          <w:szCs w:val="24"/>
          <w:lang w:val="fr-FR"/>
        </w:rPr>
      </w:pPr>
      <w:r>
        <w:rPr>
          <w:rStyle w:val="Rimandonotaapidipagina"/>
        </w:rPr>
        <w:footnoteRef/>
      </w:r>
      <w:r w:rsidRPr="00513C8A">
        <w:rPr>
          <w:lang w:val="fr-FR"/>
        </w:rPr>
        <w:t xml:space="preserve"> </w:t>
      </w:r>
      <w:r w:rsidRPr="00513C8A">
        <w:rPr>
          <w:rFonts w:ascii="Times New Roman" w:hAnsi="Times New Roman" w:cs="Times New Roman"/>
          <w:i/>
          <w:sz w:val="24"/>
          <w:szCs w:val="24"/>
          <w:lang w:val="fr-FR"/>
        </w:rPr>
        <w:t>Ibidem.</w:t>
      </w:r>
    </w:p>
  </w:footnote>
  <w:footnote w:id="134">
    <w:p w14:paraId="1F95C7CD" w14:textId="77777777" w:rsidR="00F202D0" w:rsidRPr="00513C8A" w:rsidRDefault="00F202D0" w:rsidP="00383122">
      <w:pPr>
        <w:rPr>
          <w:rFonts w:ascii="Times New Roman" w:hAnsi="Times New Roman" w:cs="Times New Roman"/>
          <w:sz w:val="24"/>
          <w:szCs w:val="24"/>
          <w:lang w:val="fr-FR"/>
        </w:rPr>
      </w:pPr>
      <w:r>
        <w:rPr>
          <w:rStyle w:val="Rimandonotaapidipagina"/>
        </w:rPr>
        <w:footnoteRef/>
      </w:r>
      <w:r w:rsidRPr="00513C8A">
        <w:rPr>
          <w:lang w:val="fr-FR"/>
        </w:rPr>
        <w:t xml:space="preserve"> </w:t>
      </w:r>
      <w:r w:rsidRPr="00513C8A">
        <w:rPr>
          <w:rFonts w:ascii="Times New Roman" w:hAnsi="Times New Roman" w:cs="Times New Roman"/>
          <w:i/>
          <w:sz w:val="24"/>
          <w:szCs w:val="24"/>
          <w:lang w:val="fr-FR"/>
        </w:rPr>
        <w:t>Decretum: inter vicariatus apostolicos de Léopoldville et de Matadi fines immutantur</w:t>
      </w:r>
      <w:r w:rsidRPr="00513C8A">
        <w:rPr>
          <w:rFonts w:ascii="Times New Roman" w:hAnsi="Times New Roman" w:cs="Times New Roman"/>
          <w:sz w:val="24"/>
          <w:szCs w:val="24"/>
          <w:lang w:val="fr-FR"/>
        </w:rPr>
        <w:t>, in AAS30-1938, 5 gennaio 1939, p. 181</w:t>
      </w:r>
    </w:p>
  </w:footnote>
  <w:footnote w:id="135">
    <w:p w14:paraId="501EBDEB" w14:textId="77777777" w:rsidR="00F202D0" w:rsidRDefault="00F202D0">
      <w:pPr>
        <w:pStyle w:val="Testonotaapidipagina"/>
      </w:pPr>
      <w:r>
        <w:rPr>
          <w:rStyle w:val="Rimandonotaapidipagina"/>
        </w:rPr>
        <w:footnoteRef/>
      </w:r>
      <w:r>
        <w:t xml:space="preserve"> </w:t>
      </w:r>
      <w:r w:rsidRPr="00C51E96">
        <w:rPr>
          <w:rFonts w:ascii="Times New Roman" w:hAnsi="Times New Roman" w:cs="Times New Roman"/>
          <w:sz w:val="24"/>
          <w:szCs w:val="24"/>
        </w:rPr>
        <w:t>C.</w:t>
      </w:r>
      <w:r>
        <w:rPr>
          <w:rFonts w:ascii="Times New Roman" w:hAnsi="Times New Roman" w:cs="Times New Roman"/>
          <w:sz w:val="24"/>
          <w:szCs w:val="24"/>
        </w:rPr>
        <w:t xml:space="preserve"> </w:t>
      </w:r>
      <w:r w:rsidRPr="00C51E96">
        <w:rPr>
          <w:rFonts w:ascii="Times New Roman" w:hAnsi="Times New Roman" w:cs="Times New Roman"/>
          <w:sz w:val="24"/>
          <w:szCs w:val="24"/>
        </w:rPr>
        <w:t xml:space="preserve">Corvo, </w:t>
      </w:r>
      <w:r w:rsidRPr="00C51E96">
        <w:rPr>
          <w:rFonts w:ascii="Times New Roman" w:hAnsi="Times New Roman" w:cs="Times New Roman"/>
          <w:i/>
          <w:sz w:val="24"/>
          <w:szCs w:val="24"/>
        </w:rPr>
        <w:t>Lisala</w:t>
      </w:r>
      <w:r w:rsidRPr="00C51E96">
        <w:rPr>
          <w:rFonts w:ascii="Times New Roman" w:hAnsi="Times New Roman" w:cs="Times New Roman"/>
          <w:sz w:val="24"/>
          <w:szCs w:val="24"/>
        </w:rPr>
        <w:t xml:space="preserve">, in </w:t>
      </w:r>
      <w:r w:rsidRPr="00C51E96">
        <w:rPr>
          <w:rFonts w:ascii="Times New Roman" w:hAnsi="Times New Roman" w:cs="Times New Roman"/>
          <w:i/>
          <w:sz w:val="24"/>
          <w:szCs w:val="24"/>
        </w:rPr>
        <w:t>Enciclopedia cattolica</w:t>
      </w:r>
      <w:r w:rsidRPr="00C51E96">
        <w:rPr>
          <w:rFonts w:ascii="Times New Roman" w:hAnsi="Times New Roman" w:cs="Times New Roman"/>
          <w:sz w:val="24"/>
          <w:szCs w:val="24"/>
        </w:rPr>
        <w:t>, Vol.7, 1948, p.1410</w:t>
      </w:r>
      <w:r>
        <w:t>.</w:t>
      </w:r>
    </w:p>
  </w:footnote>
  <w:footnote w:id="136">
    <w:p w14:paraId="4668ADEC" w14:textId="77777777" w:rsidR="00F202D0" w:rsidRPr="00513C8A" w:rsidRDefault="00F202D0" w:rsidP="00383122">
      <w:pPr>
        <w:rPr>
          <w:rFonts w:ascii="Times New Roman" w:hAnsi="Times New Roman" w:cs="Times New Roman"/>
          <w:sz w:val="24"/>
          <w:szCs w:val="24"/>
          <w:lang w:val="fr-FR"/>
        </w:rPr>
      </w:pPr>
      <w:r>
        <w:rPr>
          <w:rStyle w:val="Rimandonotaapidipagina"/>
        </w:rPr>
        <w:footnoteRef/>
      </w:r>
      <w:r w:rsidRPr="00513C8A">
        <w:rPr>
          <w:lang w:val="fr-FR"/>
        </w:rPr>
        <w:t xml:space="preserve"> </w:t>
      </w:r>
      <w:r w:rsidRPr="00513C8A">
        <w:rPr>
          <w:rFonts w:ascii="Times New Roman" w:hAnsi="Times New Roman" w:cs="Times New Roman"/>
          <w:i/>
          <w:sz w:val="24"/>
          <w:szCs w:val="24"/>
          <w:lang w:val="fr-FR"/>
        </w:rPr>
        <w:t>Decretum: inter vicariatus apostolicos de lisala et de Oubangui belgico fines mutantur</w:t>
      </w:r>
      <w:r w:rsidRPr="00513C8A">
        <w:rPr>
          <w:rFonts w:ascii="Times New Roman" w:hAnsi="Times New Roman" w:cs="Times New Roman"/>
          <w:sz w:val="24"/>
          <w:szCs w:val="24"/>
          <w:lang w:val="fr-FR"/>
        </w:rPr>
        <w:t>, in AAS30-1938, 13 dicembre 1938, p 170.</w:t>
      </w:r>
    </w:p>
  </w:footnote>
  <w:footnote w:id="137">
    <w:p w14:paraId="38E51080" w14:textId="77777777" w:rsidR="00F202D0" w:rsidRPr="00513C8A" w:rsidRDefault="00F202D0" w:rsidP="00383122">
      <w:pPr>
        <w:rPr>
          <w:rFonts w:ascii="Times New Roman" w:hAnsi="Times New Roman" w:cs="Times New Roman"/>
          <w:sz w:val="28"/>
          <w:szCs w:val="28"/>
          <w:lang w:val="fr-FR"/>
        </w:rPr>
      </w:pPr>
      <w:r>
        <w:rPr>
          <w:rStyle w:val="Rimandonotaapidipagina"/>
        </w:rPr>
        <w:footnoteRef/>
      </w:r>
      <w:r w:rsidRPr="00513C8A">
        <w:rPr>
          <w:lang w:val="fr-FR"/>
        </w:rPr>
        <w:t xml:space="preserve"> </w:t>
      </w:r>
      <w:r w:rsidRPr="00513C8A">
        <w:rPr>
          <w:rFonts w:ascii="Times New Roman" w:hAnsi="Times New Roman" w:cs="Times New Roman"/>
          <w:i/>
          <w:sz w:val="24"/>
          <w:szCs w:val="24"/>
          <w:lang w:val="fr-FR"/>
        </w:rPr>
        <w:t>Decretum: inter vicariatum apostolicum de Koango et praefecturam apostolicam de Ipamu fines immutantur</w:t>
      </w:r>
      <w:r w:rsidRPr="00513C8A">
        <w:rPr>
          <w:rFonts w:ascii="Times New Roman" w:hAnsi="Times New Roman" w:cs="Times New Roman"/>
          <w:sz w:val="24"/>
          <w:szCs w:val="24"/>
          <w:lang w:val="fr-FR"/>
        </w:rPr>
        <w:t>, in AAS30-1938, 25 aprile 1939, p. 399.</w:t>
      </w:r>
    </w:p>
  </w:footnote>
  <w:footnote w:id="138">
    <w:p w14:paraId="46B6C934" w14:textId="77777777" w:rsidR="00F202D0" w:rsidRPr="00513C8A" w:rsidRDefault="00F202D0">
      <w:pPr>
        <w:pStyle w:val="Testonotaapidipagina"/>
        <w:rPr>
          <w:rFonts w:ascii="Times New Roman" w:hAnsi="Times New Roman" w:cs="Times New Roman"/>
          <w:i/>
          <w:sz w:val="24"/>
          <w:szCs w:val="24"/>
          <w:lang w:val="fr-FR"/>
        </w:rPr>
      </w:pPr>
      <w:r>
        <w:rPr>
          <w:rStyle w:val="Rimandonotaapidipagina"/>
        </w:rPr>
        <w:footnoteRef/>
      </w:r>
      <w:r w:rsidRPr="00513C8A">
        <w:rPr>
          <w:lang w:val="fr-FR"/>
        </w:rPr>
        <w:t xml:space="preserve"> </w:t>
      </w:r>
      <w:r w:rsidRPr="00513C8A">
        <w:rPr>
          <w:rFonts w:ascii="Times New Roman" w:hAnsi="Times New Roman" w:cs="Times New Roman"/>
          <w:i/>
          <w:sz w:val="24"/>
          <w:szCs w:val="24"/>
          <w:lang w:val="fr-FR"/>
        </w:rPr>
        <w:t>Ibidem.</w:t>
      </w:r>
    </w:p>
  </w:footnote>
  <w:footnote w:id="139">
    <w:p w14:paraId="6D51AD66" w14:textId="77777777" w:rsidR="00F202D0" w:rsidRPr="00C509B5" w:rsidRDefault="00F202D0" w:rsidP="00383122">
      <w:pPr>
        <w:rPr>
          <w:rFonts w:ascii="Times New Roman" w:hAnsi="Times New Roman" w:cs="Times New Roman"/>
          <w:sz w:val="24"/>
          <w:szCs w:val="24"/>
        </w:rPr>
      </w:pPr>
      <w:r>
        <w:rPr>
          <w:rStyle w:val="Rimandonotaapidipagina"/>
        </w:rPr>
        <w:footnoteRef/>
      </w:r>
      <w:r>
        <w:t xml:space="preserve"> </w:t>
      </w:r>
      <w:r w:rsidRPr="00A452F6">
        <w:rPr>
          <w:rFonts w:ascii="Times New Roman" w:hAnsi="Times New Roman" w:cs="Times New Roman"/>
          <w:i/>
          <w:sz w:val="24"/>
          <w:szCs w:val="24"/>
        </w:rPr>
        <w:t>Decretum: de vicariatuum apostolicorum finium mutatione</w:t>
      </w:r>
      <w:r w:rsidRPr="00A452F6">
        <w:rPr>
          <w:rFonts w:ascii="Times New Roman" w:hAnsi="Times New Roman" w:cs="Times New Roman"/>
          <w:sz w:val="24"/>
          <w:szCs w:val="24"/>
        </w:rPr>
        <w:t>, in AAS45-1952,</w:t>
      </w:r>
      <w:r>
        <w:rPr>
          <w:rFonts w:ascii="Times New Roman" w:hAnsi="Times New Roman" w:cs="Times New Roman"/>
          <w:sz w:val="24"/>
          <w:szCs w:val="24"/>
        </w:rPr>
        <w:t>13 dicembre 1951, p.</w:t>
      </w:r>
      <w:r w:rsidRPr="00A452F6">
        <w:rPr>
          <w:rFonts w:ascii="Times New Roman" w:hAnsi="Times New Roman" w:cs="Times New Roman"/>
          <w:sz w:val="24"/>
          <w:szCs w:val="24"/>
        </w:rPr>
        <w:t xml:space="preserve"> 234</w:t>
      </w:r>
      <w:r>
        <w:rPr>
          <w:rFonts w:ascii="Times New Roman" w:hAnsi="Times New Roman" w:cs="Times New Roman"/>
          <w:sz w:val="24"/>
          <w:szCs w:val="24"/>
        </w:rPr>
        <w:t>.</w:t>
      </w:r>
    </w:p>
  </w:footnote>
  <w:footnote w:id="140">
    <w:p w14:paraId="71761644" w14:textId="77777777" w:rsidR="00F202D0" w:rsidRDefault="00F202D0">
      <w:pPr>
        <w:pStyle w:val="Testonotaapidipagina"/>
      </w:pPr>
      <w:r>
        <w:rPr>
          <w:rStyle w:val="Rimandonotaapidipagina"/>
        </w:rPr>
        <w:footnoteRef/>
      </w:r>
      <w:r>
        <w:t xml:space="preserve"> </w:t>
      </w:r>
      <w:r w:rsidRPr="00CC0C78">
        <w:rPr>
          <w:rFonts w:ascii="Times New Roman" w:hAnsi="Times New Roman" w:cs="Times New Roman"/>
          <w:i/>
          <w:sz w:val="24"/>
          <w:szCs w:val="24"/>
        </w:rPr>
        <w:t>Ibidem.</w:t>
      </w:r>
    </w:p>
  </w:footnote>
  <w:footnote w:id="141">
    <w:p w14:paraId="5A41246A" w14:textId="77777777" w:rsidR="00F202D0" w:rsidRDefault="00F202D0">
      <w:pPr>
        <w:pStyle w:val="Testonotaapidipagina"/>
      </w:pPr>
      <w:r>
        <w:rPr>
          <w:rStyle w:val="Rimandonotaapidipagina"/>
        </w:rPr>
        <w:footnoteRef/>
      </w:r>
      <w:r>
        <w:t xml:space="preserve"> </w:t>
      </w:r>
      <w:r w:rsidRPr="00CC0C78">
        <w:rPr>
          <w:rFonts w:ascii="Times New Roman" w:hAnsi="Times New Roman" w:cs="Times New Roman"/>
          <w:i/>
          <w:sz w:val="24"/>
          <w:szCs w:val="24"/>
        </w:rPr>
        <w:t>Ibidem.</w:t>
      </w:r>
    </w:p>
  </w:footnote>
  <w:footnote w:id="142">
    <w:p w14:paraId="101EDE23" w14:textId="77777777" w:rsidR="00F202D0" w:rsidRPr="00FA7765" w:rsidRDefault="00F202D0" w:rsidP="00383122">
      <w:pPr>
        <w:rPr>
          <w:rFonts w:ascii="Times New Roman" w:hAnsi="Times New Roman" w:cs="Times New Roman"/>
          <w:sz w:val="24"/>
          <w:szCs w:val="24"/>
        </w:rPr>
      </w:pPr>
      <w:r>
        <w:rPr>
          <w:rStyle w:val="Rimandonotaapidipagina"/>
        </w:rPr>
        <w:footnoteRef/>
      </w:r>
      <w:r>
        <w:t xml:space="preserve"> </w:t>
      </w:r>
      <w:r w:rsidRPr="00A452F6">
        <w:rPr>
          <w:rFonts w:ascii="Times New Roman" w:hAnsi="Times New Roman" w:cs="Times New Roman"/>
          <w:i/>
          <w:sz w:val="24"/>
          <w:szCs w:val="24"/>
        </w:rPr>
        <w:t>Decretum: de finium vicariatuum apostolicorum definitione</w:t>
      </w:r>
      <w:r w:rsidRPr="00A452F6">
        <w:rPr>
          <w:rFonts w:ascii="Times New Roman" w:hAnsi="Times New Roman" w:cs="Times New Roman"/>
          <w:sz w:val="24"/>
          <w:szCs w:val="24"/>
        </w:rPr>
        <w:t>, in AAS45-1952,</w:t>
      </w:r>
      <w:r>
        <w:rPr>
          <w:rFonts w:ascii="Times New Roman" w:hAnsi="Times New Roman" w:cs="Times New Roman"/>
          <w:sz w:val="24"/>
          <w:szCs w:val="24"/>
        </w:rPr>
        <w:t>10 gennaio 1952, p.</w:t>
      </w:r>
      <w:r w:rsidRPr="00A452F6">
        <w:rPr>
          <w:rFonts w:ascii="Times New Roman" w:hAnsi="Times New Roman" w:cs="Times New Roman"/>
          <w:sz w:val="24"/>
          <w:szCs w:val="24"/>
        </w:rPr>
        <w:t xml:space="preserve"> 435</w:t>
      </w:r>
      <w:r>
        <w:rPr>
          <w:rFonts w:ascii="Times New Roman" w:hAnsi="Times New Roman" w:cs="Times New Roman"/>
          <w:sz w:val="24"/>
          <w:szCs w:val="24"/>
        </w:rPr>
        <w:t>.</w:t>
      </w:r>
    </w:p>
  </w:footnote>
  <w:footnote w:id="143">
    <w:p w14:paraId="0B3CA036" w14:textId="77777777" w:rsidR="00F202D0" w:rsidRDefault="00F202D0">
      <w:pPr>
        <w:pStyle w:val="Testonotaapidipagina"/>
      </w:pPr>
      <w:r>
        <w:rPr>
          <w:rStyle w:val="Rimandonotaapidipagina"/>
        </w:rPr>
        <w:footnoteRef/>
      </w:r>
      <w:r>
        <w:t xml:space="preserve"> </w:t>
      </w:r>
      <w:r w:rsidRPr="00155978">
        <w:rPr>
          <w:rFonts w:ascii="Times New Roman" w:hAnsi="Times New Roman" w:cs="Times New Roman"/>
          <w:i/>
          <w:sz w:val="24"/>
        </w:rPr>
        <w:t>Decretum: db mutatione finium dioecesium</w:t>
      </w:r>
      <w:r w:rsidRPr="00155978">
        <w:rPr>
          <w:rFonts w:ascii="Times New Roman" w:hAnsi="Times New Roman" w:cs="Times New Roman"/>
          <w:sz w:val="24"/>
        </w:rPr>
        <w:t>, in AAS51-1959, 28 novembre 1958, p. 41.</w:t>
      </w:r>
    </w:p>
  </w:footnote>
  <w:footnote w:id="144">
    <w:p w14:paraId="2FDAF3A3" w14:textId="77777777" w:rsidR="00F202D0" w:rsidRDefault="00F202D0">
      <w:pPr>
        <w:pStyle w:val="Testonotaapidipagina"/>
      </w:pPr>
      <w:r>
        <w:rPr>
          <w:rStyle w:val="Rimandonotaapidipagina"/>
        </w:rPr>
        <w:footnoteRef/>
      </w:r>
      <w:r>
        <w:t xml:space="preserve"> </w:t>
      </w:r>
      <w:r w:rsidRPr="00FA7765">
        <w:rPr>
          <w:rFonts w:ascii="Times New Roman" w:hAnsi="Times New Roman" w:cs="Times New Roman"/>
          <w:sz w:val="24"/>
          <w:szCs w:val="24"/>
        </w:rPr>
        <w:t>C.</w:t>
      </w:r>
      <w:r>
        <w:rPr>
          <w:rFonts w:ascii="Times New Roman" w:hAnsi="Times New Roman" w:cs="Times New Roman"/>
          <w:sz w:val="24"/>
          <w:szCs w:val="24"/>
        </w:rPr>
        <w:t xml:space="preserve"> </w:t>
      </w:r>
      <w:r w:rsidRPr="00FA7765">
        <w:rPr>
          <w:rFonts w:ascii="Times New Roman" w:hAnsi="Times New Roman" w:cs="Times New Roman"/>
          <w:sz w:val="24"/>
          <w:szCs w:val="24"/>
        </w:rPr>
        <w:t xml:space="preserve">Corvo, </w:t>
      </w:r>
      <w:r w:rsidRPr="00FA7765">
        <w:rPr>
          <w:rFonts w:ascii="Times New Roman" w:hAnsi="Times New Roman" w:cs="Times New Roman"/>
          <w:i/>
          <w:sz w:val="24"/>
          <w:szCs w:val="24"/>
        </w:rPr>
        <w:t>Kivu</w:t>
      </w:r>
      <w:r w:rsidRPr="00FA7765">
        <w:rPr>
          <w:rFonts w:ascii="Times New Roman" w:hAnsi="Times New Roman" w:cs="Times New Roman"/>
          <w:sz w:val="24"/>
          <w:szCs w:val="24"/>
        </w:rPr>
        <w:t xml:space="preserve">, in </w:t>
      </w:r>
      <w:r w:rsidRPr="00FA7765">
        <w:rPr>
          <w:rFonts w:ascii="Times New Roman" w:hAnsi="Times New Roman" w:cs="Times New Roman"/>
          <w:i/>
          <w:sz w:val="24"/>
          <w:szCs w:val="24"/>
        </w:rPr>
        <w:t>Enciclopedia cattolica</w:t>
      </w:r>
      <w:r w:rsidRPr="00FA7765">
        <w:rPr>
          <w:rFonts w:ascii="Times New Roman" w:hAnsi="Times New Roman" w:cs="Times New Roman"/>
          <w:sz w:val="24"/>
          <w:szCs w:val="24"/>
        </w:rPr>
        <w:t>, Vol. 7, 1948, p. 712.</w:t>
      </w:r>
    </w:p>
  </w:footnote>
  <w:footnote w:id="145">
    <w:p w14:paraId="7DC17AA5" w14:textId="77777777" w:rsidR="00F202D0" w:rsidRPr="00914964" w:rsidRDefault="00F202D0" w:rsidP="00383122">
      <w:pPr>
        <w:rPr>
          <w:rFonts w:ascii="Times New Roman" w:hAnsi="Times New Roman" w:cs="Times New Roman"/>
          <w:sz w:val="24"/>
          <w:szCs w:val="24"/>
        </w:rPr>
      </w:pPr>
      <w:r>
        <w:rPr>
          <w:rStyle w:val="Rimandonotaapidipagina"/>
        </w:rPr>
        <w:footnoteRef/>
      </w:r>
      <w:r>
        <w:t xml:space="preserve"> </w:t>
      </w:r>
      <w:r w:rsidRPr="00C84908">
        <w:rPr>
          <w:rFonts w:ascii="Times New Roman" w:hAnsi="Times New Roman" w:cs="Times New Roman"/>
          <w:i/>
          <w:sz w:val="24"/>
          <w:szCs w:val="24"/>
        </w:rPr>
        <w:t>Decretum: de mutatione finium vicariatuum apostolicorum</w:t>
      </w:r>
      <w:r w:rsidRPr="00C84908">
        <w:rPr>
          <w:rFonts w:ascii="Times New Roman" w:hAnsi="Times New Roman" w:cs="Times New Roman"/>
          <w:sz w:val="24"/>
          <w:szCs w:val="24"/>
        </w:rPr>
        <w:t>, in AAS45-1952,</w:t>
      </w:r>
      <w:r>
        <w:rPr>
          <w:rFonts w:ascii="Times New Roman" w:hAnsi="Times New Roman" w:cs="Times New Roman"/>
          <w:sz w:val="24"/>
          <w:szCs w:val="24"/>
        </w:rPr>
        <w:t xml:space="preserve"> 20 marzo 1952, p. </w:t>
      </w:r>
      <w:r w:rsidRPr="00C84908">
        <w:rPr>
          <w:rFonts w:ascii="Times New Roman" w:hAnsi="Times New Roman" w:cs="Times New Roman"/>
          <w:sz w:val="24"/>
          <w:szCs w:val="24"/>
        </w:rPr>
        <w:t>633</w:t>
      </w:r>
      <w:r>
        <w:rPr>
          <w:rFonts w:ascii="Times New Roman" w:hAnsi="Times New Roman" w:cs="Times New Roman"/>
          <w:sz w:val="24"/>
          <w:szCs w:val="24"/>
        </w:rPr>
        <w:t>.</w:t>
      </w:r>
    </w:p>
  </w:footnote>
  <w:footnote w:id="146">
    <w:p w14:paraId="028B0242" w14:textId="77777777" w:rsidR="00F202D0" w:rsidRPr="00155978" w:rsidRDefault="00F202D0" w:rsidP="00383122">
      <w:pPr>
        <w:tabs>
          <w:tab w:val="left" w:pos="8837"/>
        </w:tabs>
        <w:rPr>
          <w:rFonts w:ascii="Times New Roman" w:hAnsi="Times New Roman" w:cs="Times New Roman"/>
          <w:sz w:val="24"/>
          <w:szCs w:val="24"/>
        </w:rPr>
      </w:pPr>
      <w:r>
        <w:rPr>
          <w:rStyle w:val="Rimandonotaapidipagina"/>
        </w:rPr>
        <w:footnoteRef/>
      </w:r>
      <w:r>
        <w:t xml:space="preserve"> </w:t>
      </w:r>
      <w:r w:rsidRPr="00155978">
        <w:rPr>
          <w:rFonts w:ascii="Times New Roman" w:hAnsi="Times New Roman" w:cs="Times New Roman"/>
          <w:i/>
          <w:sz w:val="24"/>
          <w:szCs w:val="24"/>
        </w:rPr>
        <w:t>Decretum: de finium vicariatuum mutatione</w:t>
      </w:r>
      <w:r w:rsidRPr="00155978">
        <w:rPr>
          <w:rFonts w:ascii="Times New Roman" w:hAnsi="Times New Roman" w:cs="Times New Roman"/>
          <w:sz w:val="24"/>
          <w:szCs w:val="24"/>
        </w:rPr>
        <w:t>, in AAS46-1954, 26 febbraio 1954, p. 421.</w:t>
      </w:r>
    </w:p>
  </w:footnote>
  <w:footnote w:id="147">
    <w:p w14:paraId="29E24A43" w14:textId="77777777" w:rsidR="00F202D0" w:rsidRPr="00155978" w:rsidRDefault="00F202D0" w:rsidP="00383122">
      <w:pPr>
        <w:tabs>
          <w:tab w:val="left" w:pos="8837"/>
        </w:tabs>
        <w:rPr>
          <w:rFonts w:ascii="Times New Roman" w:hAnsi="Times New Roman" w:cs="Times New Roman"/>
          <w:sz w:val="24"/>
          <w:szCs w:val="24"/>
        </w:rPr>
      </w:pPr>
      <w:r>
        <w:rPr>
          <w:rStyle w:val="Rimandonotaapidipagina"/>
        </w:rPr>
        <w:footnoteRef/>
      </w:r>
      <w:r>
        <w:t xml:space="preserve"> </w:t>
      </w:r>
      <w:r w:rsidRPr="00155978">
        <w:rPr>
          <w:rFonts w:ascii="Times New Roman" w:hAnsi="Times New Roman" w:cs="Times New Roman"/>
          <w:i/>
          <w:sz w:val="24"/>
          <w:szCs w:val="24"/>
        </w:rPr>
        <w:t>Decretum: vicariatus apostolicus Costermanspolitanus deinceps   Bukavuensis  appellabitur</w:t>
      </w:r>
      <w:r w:rsidRPr="00155978">
        <w:rPr>
          <w:rFonts w:ascii="Times New Roman" w:hAnsi="Times New Roman" w:cs="Times New Roman"/>
          <w:sz w:val="24"/>
          <w:szCs w:val="24"/>
        </w:rPr>
        <w:t>, in AAS46-1954, 6 gennaio 1954, p. 148.</w:t>
      </w:r>
    </w:p>
  </w:footnote>
  <w:footnote w:id="148">
    <w:p w14:paraId="6947AD3A" w14:textId="77777777" w:rsidR="00F202D0" w:rsidRDefault="00F202D0" w:rsidP="00383122">
      <w:pPr>
        <w:pStyle w:val="Testonotaapidipagina"/>
      </w:pPr>
      <w:r>
        <w:rPr>
          <w:rStyle w:val="Rimandonotaapidipagina"/>
        </w:rPr>
        <w:footnoteRef/>
      </w:r>
      <w:r>
        <w:t xml:space="preserve"> </w:t>
      </w:r>
      <w:r w:rsidRPr="000A0487">
        <w:rPr>
          <w:rFonts w:ascii="Times New Roman" w:hAnsi="Times New Roman" w:cs="Times New Roman"/>
          <w:i/>
          <w:sz w:val="24"/>
          <w:szCs w:val="24"/>
        </w:rPr>
        <w:t>Decretum: de finium vicariatuum mutatione</w:t>
      </w:r>
      <w:r w:rsidRPr="000A0487">
        <w:rPr>
          <w:rFonts w:ascii="Times New Roman" w:hAnsi="Times New Roman" w:cs="Times New Roman"/>
          <w:sz w:val="24"/>
          <w:szCs w:val="24"/>
        </w:rPr>
        <w:t xml:space="preserve">, in AAS52-1960, </w:t>
      </w:r>
      <w:r>
        <w:rPr>
          <w:rFonts w:ascii="Times New Roman" w:hAnsi="Times New Roman" w:cs="Times New Roman"/>
          <w:sz w:val="24"/>
          <w:szCs w:val="24"/>
        </w:rPr>
        <w:t xml:space="preserve">13 ottobre1959, p. </w:t>
      </w:r>
      <w:r w:rsidRPr="000A0487">
        <w:rPr>
          <w:rFonts w:ascii="Times New Roman" w:hAnsi="Times New Roman" w:cs="Times New Roman"/>
          <w:sz w:val="24"/>
          <w:szCs w:val="24"/>
        </w:rPr>
        <w:t>111</w:t>
      </w:r>
      <w:r>
        <w:rPr>
          <w:rFonts w:ascii="Times New Roman" w:hAnsi="Times New Roman" w:cs="Times New Roman"/>
          <w:sz w:val="24"/>
          <w:szCs w:val="24"/>
        </w:rPr>
        <w:t>.</w:t>
      </w:r>
    </w:p>
  </w:footnote>
  <w:footnote w:id="149">
    <w:p w14:paraId="7DCD8673" w14:textId="77777777" w:rsidR="00F202D0" w:rsidRPr="00155978" w:rsidRDefault="00F202D0" w:rsidP="00383122">
      <w:pPr>
        <w:tabs>
          <w:tab w:val="left" w:pos="8837"/>
        </w:tabs>
        <w:rPr>
          <w:rFonts w:ascii="Times New Roman" w:hAnsi="Times New Roman" w:cs="Times New Roman"/>
          <w:sz w:val="24"/>
          <w:szCs w:val="24"/>
        </w:rPr>
      </w:pPr>
      <w:r>
        <w:rPr>
          <w:rStyle w:val="Rimandonotaapidipagina"/>
        </w:rPr>
        <w:footnoteRef/>
      </w:r>
      <w:r>
        <w:t xml:space="preserve"> </w:t>
      </w:r>
      <w:r w:rsidRPr="00155978">
        <w:rPr>
          <w:rFonts w:ascii="Times New Roman" w:hAnsi="Times New Roman" w:cs="Times New Roman"/>
          <w:i/>
          <w:sz w:val="24"/>
          <w:szCs w:val="24"/>
        </w:rPr>
        <w:t>Decretum: vicariatus apostolicus de Koango deinceps Kikuitensis appellabitur</w:t>
      </w:r>
      <w:r w:rsidRPr="00155978">
        <w:rPr>
          <w:rFonts w:ascii="Times New Roman" w:hAnsi="Times New Roman" w:cs="Times New Roman"/>
          <w:sz w:val="24"/>
          <w:szCs w:val="24"/>
        </w:rPr>
        <w:t>, in AAS47-1955, 21 febbraio 1955, p. 560.</w:t>
      </w:r>
    </w:p>
  </w:footnote>
  <w:footnote w:id="150">
    <w:p w14:paraId="50ABD7B2" w14:textId="77777777" w:rsidR="00F202D0" w:rsidRPr="001D5EB0" w:rsidRDefault="00F202D0" w:rsidP="00383122">
      <w:pPr>
        <w:rPr>
          <w:rFonts w:ascii="Times New Roman" w:hAnsi="Times New Roman" w:cs="Times New Roman"/>
          <w:sz w:val="24"/>
          <w:szCs w:val="24"/>
        </w:rPr>
      </w:pPr>
      <w:r>
        <w:rPr>
          <w:rStyle w:val="Rimandonotaapidipagina"/>
        </w:rPr>
        <w:footnoteRef/>
      </w:r>
      <w:r>
        <w:t xml:space="preserve"> </w:t>
      </w:r>
      <w:r w:rsidRPr="001D5EB0">
        <w:rPr>
          <w:rFonts w:ascii="Times New Roman" w:hAnsi="Times New Roman" w:cs="Times New Roman"/>
          <w:sz w:val="24"/>
          <w:szCs w:val="24"/>
        </w:rPr>
        <w:t xml:space="preserve">G. Tragella, </w:t>
      </w:r>
      <w:r w:rsidRPr="001D5EB0">
        <w:rPr>
          <w:rFonts w:ascii="Times New Roman" w:hAnsi="Times New Roman" w:cs="Times New Roman"/>
          <w:i/>
          <w:sz w:val="24"/>
          <w:szCs w:val="24"/>
        </w:rPr>
        <w:t>Brazzaville</w:t>
      </w:r>
      <w:r w:rsidRPr="001D5EB0">
        <w:rPr>
          <w:rFonts w:ascii="Times New Roman" w:hAnsi="Times New Roman" w:cs="Times New Roman"/>
          <w:sz w:val="24"/>
          <w:szCs w:val="24"/>
        </w:rPr>
        <w:t xml:space="preserve">, in </w:t>
      </w:r>
      <w:r w:rsidRPr="001D5EB0">
        <w:rPr>
          <w:rFonts w:ascii="Times New Roman" w:hAnsi="Times New Roman" w:cs="Times New Roman"/>
          <w:i/>
          <w:sz w:val="24"/>
          <w:szCs w:val="24"/>
        </w:rPr>
        <w:t>Enciclopedia cattolica</w:t>
      </w:r>
      <w:r w:rsidRPr="001D5EB0">
        <w:rPr>
          <w:rFonts w:ascii="Times New Roman" w:hAnsi="Times New Roman" w:cs="Times New Roman"/>
          <w:sz w:val="24"/>
          <w:szCs w:val="24"/>
        </w:rPr>
        <w:t>, Vol.3, 1948, p. 50.</w:t>
      </w:r>
    </w:p>
  </w:footnote>
  <w:footnote w:id="151">
    <w:p w14:paraId="6B7EB37C" w14:textId="77777777" w:rsidR="00F202D0" w:rsidRPr="003664C7" w:rsidRDefault="00F202D0" w:rsidP="00383122">
      <w:pPr>
        <w:rPr>
          <w:rFonts w:ascii="Times New Roman" w:hAnsi="Times New Roman" w:cs="Times New Roman"/>
          <w:sz w:val="24"/>
          <w:szCs w:val="24"/>
        </w:rPr>
      </w:pPr>
      <w:r>
        <w:rPr>
          <w:rStyle w:val="Rimandonotaapidipagina"/>
        </w:rPr>
        <w:footnoteRef/>
      </w:r>
      <w:r>
        <w:t xml:space="preserve"> </w:t>
      </w:r>
      <w:r w:rsidRPr="001D5EB0">
        <w:rPr>
          <w:rFonts w:ascii="Times New Roman" w:hAnsi="Times New Roman" w:cs="Times New Roman"/>
          <w:i/>
          <w:sz w:val="24"/>
          <w:szCs w:val="24"/>
        </w:rPr>
        <w:t>Decretum:immutatur nomen vicariatus apostolici Congi gallici superioris</w:t>
      </w:r>
      <w:r w:rsidRPr="001D5EB0">
        <w:rPr>
          <w:rFonts w:ascii="Times New Roman" w:hAnsi="Times New Roman" w:cs="Times New Roman"/>
          <w:sz w:val="24"/>
          <w:szCs w:val="24"/>
        </w:rPr>
        <w:t>, in AAS-14-1922, 14 giugno 1922, p 385.</w:t>
      </w:r>
      <w:r w:rsidRPr="001D5EB0">
        <w:rPr>
          <w:sz w:val="24"/>
          <w:szCs w:val="24"/>
        </w:rPr>
        <w:t xml:space="preserve"> </w:t>
      </w:r>
    </w:p>
  </w:footnote>
  <w:footnote w:id="152">
    <w:p w14:paraId="76B8847E" w14:textId="77777777" w:rsidR="00F202D0" w:rsidRDefault="00F202D0">
      <w:pPr>
        <w:pStyle w:val="Testonotaapidipagina"/>
      </w:pPr>
      <w:r>
        <w:rPr>
          <w:rStyle w:val="Rimandonotaapidipagina"/>
        </w:rPr>
        <w:footnoteRef/>
      </w:r>
      <w:r>
        <w:t xml:space="preserve"> </w:t>
      </w:r>
      <w:r w:rsidRPr="003664C7">
        <w:rPr>
          <w:rFonts w:ascii="Times New Roman" w:hAnsi="Times New Roman" w:cs="Times New Roman"/>
          <w:sz w:val="24"/>
          <w:szCs w:val="24"/>
        </w:rPr>
        <w:t>S.</w:t>
      </w:r>
      <w:r>
        <w:rPr>
          <w:rFonts w:ascii="Times New Roman" w:hAnsi="Times New Roman" w:cs="Times New Roman"/>
          <w:sz w:val="24"/>
          <w:szCs w:val="24"/>
        </w:rPr>
        <w:t xml:space="preserve"> </w:t>
      </w:r>
      <w:r w:rsidRPr="003664C7">
        <w:rPr>
          <w:rFonts w:ascii="Times New Roman" w:hAnsi="Times New Roman" w:cs="Times New Roman"/>
          <w:sz w:val="24"/>
          <w:szCs w:val="24"/>
        </w:rPr>
        <w:t>Paventi</w:t>
      </w:r>
      <w:r w:rsidRPr="003664C7">
        <w:rPr>
          <w:rFonts w:ascii="Times New Roman" w:hAnsi="Times New Roman" w:cs="Times New Roman"/>
          <w:i/>
          <w:sz w:val="24"/>
          <w:szCs w:val="24"/>
        </w:rPr>
        <w:t>, Pointe-Noire</w:t>
      </w:r>
      <w:r w:rsidRPr="003664C7">
        <w:rPr>
          <w:rFonts w:ascii="Times New Roman" w:hAnsi="Times New Roman" w:cs="Times New Roman"/>
          <w:sz w:val="24"/>
          <w:szCs w:val="24"/>
        </w:rPr>
        <w:t xml:space="preserve">, in </w:t>
      </w:r>
      <w:r w:rsidRPr="003664C7">
        <w:rPr>
          <w:rFonts w:ascii="Times New Roman" w:hAnsi="Times New Roman" w:cs="Times New Roman"/>
          <w:i/>
          <w:sz w:val="24"/>
          <w:szCs w:val="24"/>
        </w:rPr>
        <w:t>Enciclopedia cattolica</w:t>
      </w:r>
      <w:r w:rsidRPr="003664C7">
        <w:rPr>
          <w:rFonts w:ascii="Times New Roman" w:hAnsi="Times New Roman" w:cs="Times New Roman"/>
          <w:sz w:val="24"/>
          <w:szCs w:val="24"/>
        </w:rPr>
        <w:t>, Vol.</w:t>
      </w:r>
      <w:r>
        <w:rPr>
          <w:rFonts w:ascii="Times New Roman" w:hAnsi="Times New Roman" w:cs="Times New Roman"/>
          <w:sz w:val="24"/>
          <w:szCs w:val="24"/>
        </w:rPr>
        <w:t xml:space="preserve"> </w:t>
      </w:r>
      <w:r w:rsidRPr="003664C7">
        <w:rPr>
          <w:rFonts w:ascii="Times New Roman" w:hAnsi="Times New Roman" w:cs="Times New Roman"/>
          <w:sz w:val="24"/>
          <w:szCs w:val="24"/>
        </w:rPr>
        <w:t>9, 1948, p. 1656.</w:t>
      </w:r>
    </w:p>
  </w:footnote>
  <w:footnote w:id="153">
    <w:p w14:paraId="1FBFDE12" w14:textId="77777777" w:rsidR="00F202D0" w:rsidRPr="00334025" w:rsidRDefault="00F202D0" w:rsidP="00383122">
      <w:pPr>
        <w:rPr>
          <w:rFonts w:ascii="Times New Roman" w:hAnsi="Times New Roman" w:cs="Times New Roman"/>
          <w:sz w:val="24"/>
          <w:szCs w:val="24"/>
        </w:rPr>
      </w:pPr>
      <w:r>
        <w:rPr>
          <w:rStyle w:val="Rimandonotaapidipagina"/>
        </w:rPr>
        <w:footnoteRef/>
      </w:r>
      <w:r>
        <w:t xml:space="preserve"> </w:t>
      </w:r>
      <w:r w:rsidRPr="003664C7">
        <w:rPr>
          <w:rFonts w:ascii="Times New Roman" w:hAnsi="Times New Roman" w:cs="Times New Roman"/>
          <w:i/>
          <w:sz w:val="24"/>
          <w:szCs w:val="24"/>
        </w:rPr>
        <w:t>Decretum: vicariatus apostolicus db Loango deinceps (de Pointe-Noire ) appellabitur</w:t>
      </w:r>
      <w:r w:rsidRPr="003664C7">
        <w:rPr>
          <w:rFonts w:ascii="Times New Roman" w:hAnsi="Times New Roman" w:cs="Times New Roman"/>
          <w:sz w:val="24"/>
          <w:szCs w:val="24"/>
        </w:rPr>
        <w:t>, in AAS41-1949,20 gennaio 1949, p. 148.</w:t>
      </w:r>
    </w:p>
  </w:footnote>
  <w:footnote w:id="154">
    <w:p w14:paraId="1EB71B9A" w14:textId="77777777" w:rsidR="00F202D0" w:rsidRPr="0095062C" w:rsidRDefault="00F202D0" w:rsidP="00383122">
      <w:pPr>
        <w:pStyle w:val="Testonotaapidipagina"/>
        <w:rPr>
          <w:rFonts w:ascii="Times New Roman" w:hAnsi="Times New Roman" w:cs="Times New Roman"/>
          <w:sz w:val="24"/>
          <w:szCs w:val="24"/>
        </w:rPr>
      </w:pPr>
      <w:r w:rsidRPr="0095062C">
        <w:rPr>
          <w:rStyle w:val="Rimandonotaapidipagina"/>
          <w:rFonts w:ascii="Times New Roman" w:hAnsi="Times New Roman" w:cs="Times New Roman"/>
          <w:sz w:val="24"/>
          <w:szCs w:val="24"/>
        </w:rPr>
        <w:footnoteRef/>
      </w:r>
      <w:r w:rsidRPr="0095062C">
        <w:rPr>
          <w:rFonts w:ascii="Times New Roman" w:hAnsi="Times New Roman" w:cs="Times New Roman"/>
          <w:sz w:val="24"/>
          <w:szCs w:val="24"/>
        </w:rPr>
        <w:t xml:space="preserve"> </w:t>
      </w:r>
      <w:r w:rsidRPr="0095062C">
        <w:rPr>
          <w:rFonts w:ascii="Times New Roman" w:hAnsi="Times New Roman" w:cs="Times New Roman"/>
          <w:i/>
          <w:sz w:val="24"/>
          <w:szCs w:val="24"/>
        </w:rPr>
        <w:t>Decretum: praefectura apostolica de Adamaua territorio augetur novoque nomine « de Fumban » donatur</w:t>
      </w:r>
      <w:r w:rsidRPr="0095062C">
        <w:rPr>
          <w:rFonts w:ascii="Times New Roman" w:hAnsi="Times New Roman" w:cs="Times New Roman"/>
          <w:sz w:val="24"/>
          <w:szCs w:val="24"/>
        </w:rPr>
        <w:t>, in AAS-15-1923, 11 giugno 1923, p 368.</w:t>
      </w:r>
    </w:p>
  </w:footnote>
  <w:footnote w:id="155">
    <w:p w14:paraId="71AAAC39" w14:textId="77777777" w:rsidR="00F202D0" w:rsidRPr="0095062C" w:rsidRDefault="00F202D0" w:rsidP="00383122">
      <w:pPr>
        <w:rPr>
          <w:rFonts w:ascii="Times New Roman" w:hAnsi="Times New Roman" w:cs="Times New Roman"/>
          <w:sz w:val="24"/>
          <w:szCs w:val="24"/>
        </w:rPr>
      </w:pPr>
      <w:r w:rsidRPr="0095062C">
        <w:rPr>
          <w:rStyle w:val="Rimandonotaapidipagina"/>
          <w:rFonts w:ascii="Times New Roman" w:hAnsi="Times New Roman" w:cs="Times New Roman"/>
          <w:sz w:val="24"/>
          <w:szCs w:val="24"/>
        </w:rPr>
        <w:footnoteRef/>
      </w:r>
      <w:r w:rsidRPr="0095062C">
        <w:rPr>
          <w:rFonts w:ascii="Times New Roman" w:hAnsi="Times New Roman" w:cs="Times New Roman"/>
          <w:sz w:val="24"/>
          <w:szCs w:val="24"/>
        </w:rPr>
        <w:t xml:space="preserve"> </w:t>
      </w:r>
      <w:r w:rsidRPr="0095062C">
        <w:rPr>
          <w:rFonts w:ascii="Times New Roman" w:hAnsi="Times New Roman" w:cs="Times New Roman"/>
          <w:i/>
          <w:sz w:val="24"/>
          <w:szCs w:val="24"/>
        </w:rPr>
        <w:t>Decretum: db finium vicariatuum mutatione</w:t>
      </w:r>
      <w:r w:rsidRPr="0095062C">
        <w:rPr>
          <w:rFonts w:ascii="Times New Roman" w:hAnsi="Times New Roman" w:cs="Times New Roman"/>
          <w:sz w:val="24"/>
          <w:szCs w:val="24"/>
        </w:rPr>
        <w:t>, in AAS30-1938, 11 luglio 1939, p. 615.</w:t>
      </w:r>
    </w:p>
  </w:footnote>
  <w:footnote w:id="156">
    <w:p w14:paraId="3B9DF946" w14:textId="77777777" w:rsidR="00F202D0" w:rsidRPr="00155978" w:rsidRDefault="00F202D0" w:rsidP="00383122">
      <w:pPr>
        <w:rPr>
          <w:rFonts w:ascii="Times New Roman" w:hAnsi="Times New Roman" w:cs="Times New Roman"/>
          <w:sz w:val="24"/>
          <w:szCs w:val="24"/>
          <w:lang w:val="en-US"/>
        </w:rPr>
      </w:pPr>
      <w:r w:rsidRPr="0095062C">
        <w:rPr>
          <w:rStyle w:val="Rimandonotaapidipagina"/>
          <w:rFonts w:ascii="Times New Roman" w:hAnsi="Times New Roman" w:cs="Times New Roman"/>
          <w:sz w:val="24"/>
          <w:szCs w:val="24"/>
        </w:rPr>
        <w:footnoteRef/>
      </w:r>
      <w:r w:rsidRPr="00155978">
        <w:rPr>
          <w:rFonts w:ascii="Times New Roman" w:hAnsi="Times New Roman" w:cs="Times New Roman"/>
          <w:sz w:val="24"/>
          <w:szCs w:val="24"/>
          <w:lang w:val="en-US"/>
        </w:rPr>
        <w:t xml:space="preserve"> </w:t>
      </w:r>
      <w:r w:rsidRPr="00155978">
        <w:rPr>
          <w:rFonts w:ascii="Times New Roman" w:hAnsi="Times New Roman" w:cs="Times New Roman"/>
          <w:i/>
          <w:sz w:val="24"/>
          <w:szCs w:val="24"/>
          <w:lang w:val="en-US"/>
        </w:rPr>
        <w:t>Decretum: nominis mutationis</w:t>
      </w:r>
      <w:r w:rsidRPr="00155978">
        <w:rPr>
          <w:rFonts w:ascii="Times New Roman" w:hAnsi="Times New Roman" w:cs="Times New Roman"/>
          <w:sz w:val="24"/>
          <w:szCs w:val="24"/>
          <w:lang w:val="en-US"/>
        </w:rPr>
        <w:t>, in AAS32-1940, 28 maggio 1940, p. 504.</w:t>
      </w:r>
    </w:p>
  </w:footnote>
  <w:footnote w:id="157">
    <w:p w14:paraId="3670C1EE" w14:textId="77777777" w:rsidR="00F202D0" w:rsidRDefault="00F202D0" w:rsidP="00383122">
      <w:pPr>
        <w:pStyle w:val="Testonotaapidipagina"/>
      </w:pPr>
      <w:r>
        <w:rPr>
          <w:rStyle w:val="Rimandonotaapidipagina"/>
        </w:rPr>
        <w:footnoteRef/>
      </w:r>
      <w:r>
        <w:t xml:space="preserve"> </w:t>
      </w:r>
      <w:r w:rsidRPr="004C7ED3">
        <w:rPr>
          <w:rFonts w:ascii="Times New Roman" w:hAnsi="Times New Roman" w:cs="Times New Roman"/>
          <w:i/>
          <w:sz w:val="24"/>
          <w:szCs w:val="24"/>
        </w:rPr>
        <w:t>Decretum: De mutatione finium Provinciarum Ecclesiasticarum</w:t>
      </w:r>
      <w:r w:rsidRPr="004C7ED3">
        <w:rPr>
          <w:rFonts w:ascii="Times New Roman" w:hAnsi="Times New Roman" w:cs="Times New Roman"/>
          <w:sz w:val="24"/>
          <w:szCs w:val="24"/>
        </w:rPr>
        <w:t>, in AAS54-1962,</w:t>
      </w:r>
      <w:r>
        <w:rPr>
          <w:rFonts w:ascii="Times New Roman" w:hAnsi="Times New Roman" w:cs="Times New Roman"/>
          <w:sz w:val="24"/>
          <w:szCs w:val="24"/>
        </w:rPr>
        <w:t xml:space="preserve"> 5 giugno 1962, p.</w:t>
      </w:r>
      <w:r w:rsidRPr="004C7ED3">
        <w:rPr>
          <w:rFonts w:ascii="Times New Roman" w:hAnsi="Times New Roman" w:cs="Times New Roman"/>
          <w:sz w:val="24"/>
          <w:szCs w:val="24"/>
        </w:rPr>
        <w:t xml:space="preserve"> 532</w:t>
      </w:r>
      <w:r>
        <w:rPr>
          <w:rFonts w:ascii="Times New Roman" w:hAnsi="Times New Roman" w:cs="Times New Roman"/>
          <w:sz w:val="24"/>
          <w:szCs w:val="24"/>
        </w:rPr>
        <w:t>.</w:t>
      </w:r>
    </w:p>
  </w:footnote>
  <w:footnote w:id="158">
    <w:p w14:paraId="1ECC9696" w14:textId="77777777" w:rsidR="00F202D0" w:rsidRPr="0095062C" w:rsidRDefault="00F202D0" w:rsidP="00383122">
      <w:pPr>
        <w:rPr>
          <w:rFonts w:ascii="Times New Roman" w:hAnsi="Times New Roman" w:cs="Times New Roman"/>
          <w:sz w:val="24"/>
          <w:szCs w:val="24"/>
        </w:rPr>
      </w:pPr>
      <w:r w:rsidRPr="0095062C">
        <w:rPr>
          <w:rStyle w:val="Rimandonotaapidipagina"/>
          <w:rFonts w:ascii="Times New Roman" w:hAnsi="Times New Roman" w:cs="Times New Roman"/>
          <w:sz w:val="24"/>
          <w:szCs w:val="24"/>
        </w:rPr>
        <w:footnoteRef/>
      </w:r>
      <w:r w:rsidRPr="0095062C">
        <w:rPr>
          <w:rFonts w:ascii="Times New Roman" w:hAnsi="Times New Roman" w:cs="Times New Roman"/>
          <w:sz w:val="24"/>
          <w:szCs w:val="24"/>
        </w:rPr>
        <w:t xml:space="preserve"> </w:t>
      </w:r>
      <w:r w:rsidRPr="0095062C">
        <w:rPr>
          <w:rFonts w:ascii="Times New Roman" w:hAnsi="Times New Roman" w:cs="Times New Roman"/>
          <w:i/>
          <w:sz w:val="24"/>
          <w:szCs w:val="24"/>
        </w:rPr>
        <w:t>Decretum: db mutatione finium vicariatuum</w:t>
      </w:r>
      <w:r w:rsidRPr="0095062C">
        <w:rPr>
          <w:rFonts w:ascii="Times New Roman" w:hAnsi="Times New Roman" w:cs="Times New Roman"/>
          <w:sz w:val="24"/>
          <w:szCs w:val="24"/>
        </w:rPr>
        <w:t>, in AAS38-1946, 11 aprile 1946, p. 359.</w:t>
      </w:r>
    </w:p>
  </w:footnote>
  <w:footnote w:id="159">
    <w:p w14:paraId="29B9CB24" w14:textId="77777777" w:rsidR="00F202D0" w:rsidRPr="00B659E6" w:rsidRDefault="00F202D0" w:rsidP="00383122">
      <w:pPr>
        <w:rPr>
          <w:rFonts w:ascii="Times New Roman" w:hAnsi="Times New Roman" w:cs="Times New Roman"/>
          <w:sz w:val="24"/>
          <w:szCs w:val="24"/>
        </w:rPr>
      </w:pPr>
      <w:r w:rsidRPr="006F37A1">
        <w:rPr>
          <w:rStyle w:val="Rimandonotaapidipagina"/>
          <w:rFonts w:ascii="Times New Roman" w:hAnsi="Times New Roman" w:cs="Times New Roman"/>
          <w:sz w:val="24"/>
          <w:szCs w:val="24"/>
        </w:rPr>
        <w:footnoteRef/>
      </w:r>
      <w:r w:rsidRPr="006F37A1">
        <w:rPr>
          <w:rFonts w:ascii="Times New Roman" w:hAnsi="Times New Roman" w:cs="Times New Roman"/>
          <w:sz w:val="24"/>
          <w:szCs w:val="24"/>
        </w:rPr>
        <w:t xml:space="preserve"> </w:t>
      </w:r>
      <w:r w:rsidRPr="006F37A1">
        <w:rPr>
          <w:rFonts w:ascii="Times New Roman" w:hAnsi="Times New Roman" w:cs="Times New Roman"/>
          <w:i/>
          <w:sz w:val="24"/>
          <w:szCs w:val="24"/>
        </w:rPr>
        <w:t>Decretum: db vicariatuum finium mutatione</w:t>
      </w:r>
      <w:r w:rsidRPr="006F37A1">
        <w:rPr>
          <w:rFonts w:ascii="Times New Roman" w:hAnsi="Times New Roman" w:cs="Times New Roman"/>
          <w:sz w:val="24"/>
          <w:szCs w:val="24"/>
        </w:rPr>
        <w:t>, in AAS42-1950, 2 febbraio 1950, p. 445.</w:t>
      </w:r>
    </w:p>
  </w:footnote>
  <w:footnote w:id="160">
    <w:p w14:paraId="57B2E4F7" w14:textId="77777777" w:rsidR="00F202D0" w:rsidRPr="00C53AE6" w:rsidRDefault="00F202D0" w:rsidP="00383122">
      <w:pPr>
        <w:rPr>
          <w:rFonts w:ascii="Times New Roman" w:hAnsi="Times New Roman" w:cs="Times New Roman"/>
          <w:sz w:val="24"/>
          <w:szCs w:val="24"/>
        </w:rPr>
      </w:pPr>
      <w:r>
        <w:rPr>
          <w:rStyle w:val="Rimandonotaapidipagina"/>
        </w:rPr>
        <w:footnoteRef/>
      </w:r>
      <w:r>
        <w:t xml:space="preserve"> </w:t>
      </w:r>
      <w:r w:rsidRPr="00FA2F24">
        <w:rPr>
          <w:rFonts w:ascii="Times New Roman" w:hAnsi="Times New Roman" w:cs="Times New Roman"/>
          <w:i/>
          <w:sz w:val="24"/>
          <w:szCs w:val="24"/>
        </w:rPr>
        <w:t>Decretum: de finium et nominis mutatione</w:t>
      </w:r>
      <w:r w:rsidRPr="00FA2F24">
        <w:rPr>
          <w:rFonts w:ascii="Times New Roman" w:hAnsi="Times New Roman" w:cs="Times New Roman"/>
          <w:sz w:val="24"/>
          <w:szCs w:val="24"/>
        </w:rPr>
        <w:t>, in AAS49-1957,</w:t>
      </w:r>
      <w:r>
        <w:rPr>
          <w:rFonts w:ascii="Times New Roman" w:hAnsi="Times New Roman" w:cs="Times New Roman"/>
          <w:sz w:val="24"/>
          <w:szCs w:val="24"/>
        </w:rPr>
        <w:t xml:space="preserve"> 9 agosto 1957, p. 371.</w:t>
      </w:r>
    </w:p>
  </w:footnote>
  <w:footnote w:id="161">
    <w:p w14:paraId="0506BD1D" w14:textId="77777777" w:rsidR="00F202D0" w:rsidRPr="00C139C0" w:rsidRDefault="00F202D0">
      <w:pPr>
        <w:pStyle w:val="Testonotaapidipagina"/>
        <w:rPr>
          <w:rFonts w:ascii="Times New Roman" w:hAnsi="Times New Roman" w:cs="Times New Roman"/>
          <w:sz w:val="24"/>
          <w:szCs w:val="24"/>
        </w:rPr>
      </w:pPr>
      <w:r>
        <w:rPr>
          <w:rStyle w:val="Rimandonotaapidipagina"/>
        </w:rPr>
        <w:footnoteRef/>
      </w:r>
      <w:r>
        <w:t xml:space="preserve"> </w:t>
      </w:r>
      <w:r w:rsidRPr="00C139C0">
        <w:rPr>
          <w:rFonts w:ascii="Times New Roman" w:hAnsi="Times New Roman" w:cs="Times New Roman"/>
          <w:sz w:val="24"/>
          <w:szCs w:val="24"/>
        </w:rPr>
        <w:t>Vedi figura 4 in Appendice.</w:t>
      </w:r>
    </w:p>
  </w:footnote>
  <w:footnote w:id="162">
    <w:p w14:paraId="6E91ABCB" w14:textId="77777777" w:rsidR="00F202D0" w:rsidRPr="00B659E6" w:rsidRDefault="00F202D0" w:rsidP="00383122">
      <w:pPr>
        <w:rPr>
          <w:rFonts w:ascii="Times New Roman" w:hAnsi="Times New Roman" w:cs="Times New Roman"/>
          <w:sz w:val="24"/>
          <w:szCs w:val="24"/>
        </w:rPr>
      </w:pPr>
      <w:r>
        <w:rPr>
          <w:rStyle w:val="Rimandonotaapidipagina"/>
        </w:rPr>
        <w:footnoteRef/>
      </w:r>
      <w:r>
        <w:t xml:space="preserve"> </w:t>
      </w:r>
      <w:r w:rsidRPr="00793EE2">
        <w:rPr>
          <w:rFonts w:ascii="Times New Roman" w:hAnsi="Times New Roman" w:cs="Times New Roman"/>
          <w:i/>
          <w:sz w:val="24"/>
          <w:szCs w:val="24"/>
        </w:rPr>
        <w:t>De</w:t>
      </w:r>
      <w:r>
        <w:rPr>
          <w:rFonts w:ascii="Times New Roman" w:hAnsi="Times New Roman" w:cs="Times New Roman"/>
          <w:i/>
          <w:sz w:val="24"/>
          <w:szCs w:val="24"/>
        </w:rPr>
        <w:t>cretum: vicariatus apostolicus Nili A</w:t>
      </w:r>
      <w:r w:rsidRPr="00793EE2">
        <w:rPr>
          <w:rFonts w:ascii="Times New Roman" w:hAnsi="Times New Roman" w:cs="Times New Roman"/>
          <w:i/>
          <w:sz w:val="24"/>
          <w:szCs w:val="24"/>
        </w:rPr>
        <w:t>equat</w:t>
      </w:r>
      <w:r>
        <w:rPr>
          <w:rFonts w:ascii="Times New Roman" w:hAnsi="Times New Roman" w:cs="Times New Roman"/>
          <w:i/>
          <w:sz w:val="24"/>
          <w:szCs w:val="24"/>
        </w:rPr>
        <w:t xml:space="preserve">orialis, deinceps ( Guluensis </w:t>
      </w:r>
      <w:r w:rsidRPr="00793EE2">
        <w:rPr>
          <w:rFonts w:ascii="Times New Roman" w:hAnsi="Times New Roman" w:cs="Times New Roman"/>
          <w:i/>
          <w:sz w:val="24"/>
          <w:szCs w:val="24"/>
        </w:rPr>
        <w:t>) appellabitur</w:t>
      </w:r>
      <w:r w:rsidRPr="00793EE2">
        <w:rPr>
          <w:rFonts w:ascii="Times New Roman" w:hAnsi="Times New Roman" w:cs="Times New Roman"/>
          <w:sz w:val="24"/>
          <w:szCs w:val="24"/>
        </w:rPr>
        <w:t>, in AAS43-1951,</w:t>
      </w:r>
      <w:r>
        <w:rPr>
          <w:rFonts w:ascii="Times New Roman" w:hAnsi="Times New Roman" w:cs="Times New Roman"/>
          <w:sz w:val="24"/>
          <w:szCs w:val="24"/>
        </w:rPr>
        <w:t xml:space="preserve"> 1 dicembre 1950, p.</w:t>
      </w:r>
      <w:r w:rsidRPr="00793EE2">
        <w:rPr>
          <w:rFonts w:ascii="Times New Roman" w:hAnsi="Times New Roman" w:cs="Times New Roman"/>
          <w:sz w:val="24"/>
          <w:szCs w:val="24"/>
        </w:rPr>
        <w:t xml:space="preserve">  218</w:t>
      </w:r>
      <w:r>
        <w:rPr>
          <w:rFonts w:ascii="Times New Roman" w:hAnsi="Times New Roman" w:cs="Times New Roman"/>
          <w:sz w:val="24"/>
          <w:szCs w:val="24"/>
        </w:rPr>
        <w:t>.</w:t>
      </w:r>
    </w:p>
  </w:footnote>
  <w:footnote w:id="163">
    <w:p w14:paraId="657875AB" w14:textId="77777777" w:rsidR="00F202D0" w:rsidRDefault="00F202D0" w:rsidP="00383122">
      <w:pPr>
        <w:pStyle w:val="Testonotaapidipagina"/>
      </w:pPr>
      <w:r>
        <w:rPr>
          <w:rStyle w:val="Rimandonotaapidipagina"/>
        </w:rPr>
        <w:footnoteRef/>
      </w:r>
      <w:r>
        <w:t xml:space="preserve"> </w:t>
      </w:r>
      <w:r w:rsidRPr="00155978">
        <w:rPr>
          <w:rFonts w:ascii="Times New Roman" w:hAnsi="Times New Roman" w:cs="Times New Roman"/>
          <w:i/>
          <w:sz w:val="24"/>
          <w:szCs w:val="24"/>
        </w:rPr>
        <w:t>Decretum: De nominis mutatione</w:t>
      </w:r>
      <w:r w:rsidRPr="00155978">
        <w:rPr>
          <w:rFonts w:ascii="Times New Roman" w:hAnsi="Times New Roman" w:cs="Times New Roman"/>
          <w:sz w:val="24"/>
          <w:szCs w:val="24"/>
        </w:rPr>
        <w:t>, in AAS53-1961, 26 maggio 1961, p. 511.</w:t>
      </w:r>
    </w:p>
  </w:footnote>
  <w:footnote w:id="164">
    <w:p w14:paraId="594702C0" w14:textId="77777777" w:rsidR="00F202D0" w:rsidRDefault="00F202D0">
      <w:pPr>
        <w:pStyle w:val="Testonotaapidipagina"/>
      </w:pPr>
    </w:p>
    <w:p w14:paraId="14417398" w14:textId="77777777" w:rsidR="00F202D0" w:rsidRPr="00B659E6" w:rsidRDefault="00F202D0">
      <w:pPr>
        <w:pStyle w:val="Testonotaapidipagina"/>
        <w:rPr>
          <w:rFonts w:ascii="Times New Roman" w:hAnsi="Times New Roman" w:cs="Times New Roman"/>
          <w:sz w:val="24"/>
          <w:szCs w:val="24"/>
        </w:rPr>
      </w:pPr>
      <w:r>
        <w:rPr>
          <w:rStyle w:val="Rimandonotaapidipagina"/>
        </w:rPr>
        <w:footnoteRef/>
      </w:r>
      <w:r>
        <w:t xml:space="preserve"> </w:t>
      </w:r>
      <w:r w:rsidRPr="00B659E6">
        <w:rPr>
          <w:rFonts w:ascii="Times New Roman" w:hAnsi="Times New Roman" w:cs="Times New Roman"/>
          <w:sz w:val="24"/>
          <w:szCs w:val="24"/>
        </w:rPr>
        <w:t xml:space="preserve">C. Corvo, </w:t>
      </w:r>
      <w:r w:rsidRPr="00B659E6">
        <w:rPr>
          <w:rFonts w:ascii="Times New Roman" w:hAnsi="Times New Roman" w:cs="Times New Roman"/>
          <w:i/>
          <w:sz w:val="24"/>
          <w:szCs w:val="24"/>
        </w:rPr>
        <w:t>Gulu</w:t>
      </w:r>
      <w:r w:rsidRPr="00B659E6">
        <w:rPr>
          <w:rFonts w:ascii="Times New Roman" w:hAnsi="Times New Roman" w:cs="Times New Roman"/>
          <w:sz w:val="24"/>
          <w:szCs w:val="24"/>
        </w:rPr>
        <w:t xml:space="preserve">, in </w:t>
      </w:r>
      <w:r w:rsidRPr="00B659E6">
        <w:rPr>
          <w:rFonts w:ascii="Times New Roman" w:hAnsi="Times New Roman" w:cs="Times New Roman"/>
          <w:i/>
          <w:sz w:val="24"/>
          <w:szCs w:val="24"/>
        </w:rPr>
        <w:t>Enciclopedia cattolica</w:t>
      </w:r>
      <w:r w:rsidRPr="00B659E6">
        <w:rPr>
          <w:rFonts w:ascii="Times New Roman" w:hAnsi="Times New Roman" w:cs="Times New Roman"/>
          <w:sz w:val="24"/>
          <w:szCs w:val="24"/>
        </w:rPr>
        <w:t>, Vol. 6, 1948, p. 1306</w:t>
      </w:r>
      <w:r>
        <w:rPr>
          <w:rFonts w:ascii="Times New Roman" w:hAnsi="Times New Roman" w:cs="Times New Roman"/>
          <w:sz w:val="24"/>
          <w:szCs w:val="24"/>
        </w:rPr>
        <w:t>.</w:t>
      </w:r>
    </w:p>
  </w:footnote>
  <w:footnote w:id="165">
    <w:p w14:paraId="2DFC3AA7" w14:textId="77777777" w:rsidR="00F202D0" w:rsidRPr="0034716C" w:rsidRDefault="00F202D0" w:rsidP="00383122">
      <w:pPr>
        <w:rPr>
          <w:rFonts w:ascii="Times New Roman" w:hAnsi="Times New Roman" w:cs="Times New Roman"/>
          <w:sz w:val="24"/>
          <w:szCs w:val="24"/>
        </w:rPr>
      </w:pPr>
      <w:r>
        <w:rPr>
          <w:rStyle w:val="Rimandonotaapidipagina"/>
        </w:rPr>
        <w:footnoteRef/>
      </w:r>
      <w:r>
        <w:t xml:space="preserve"> </w:t>
      </w:r>
      <w:r w:rsidRPr="001F02B4">
        <w:rPr>
          <w:rFonts w:ascii="Times New Roman" w:hAnsi="Times New Roman" w:cs="Times New Roman"/>
          <w:i/>
          <w:sz w:val="24"/>
          <w:szCs w:val="24"/>
        </w:rPr>
        <w:t>Decretum: de nominis mutatione</w:t>
      </w:r>
      <w:r w:rsidRPr="001F02B4">
        <w:rPr>
          <w:rFonts w:ascii="Times New Roman" w:hAnsi="Times New Roman" w:cs="Times New Roman"/>
          <w:sz w:val="24"/>
          <w:szCs w:val="24"/>
        </w:rPr>
        <w:t>, in AAS45-1952,15 maggio 1952, p. 748.</w:t>
      </w:r>
    </w:p>
  </w:footnote>
  <w:footnote w:id="166">
    <w:p w14:paraId="4062E77E" w14:textId="77777777" w:rsidR="00F202D0" w:rsidRPr="0095062C" w:rsidRDefault="00F202D0">
      <w:pPr>
        <w:pStyle w:val="Testonotaapidipagina"/>
        <w:rPr>
          <w:rFonts w:ascii="Times New Roman" w:hAnsi="Times New Roman" w:cs="Times New Roman"/>
          <w:sz w:val="24"/>
          <w:szCs w:val="24"/>
        </w:rPr>
      </w:pPr>
      <w:r w:rsidRPr="0095062C">
        <w:rPr>
          <w:rStyle w:val="Rimandonotaapidipagina"/>
          <w:rFonts w:ascii="Times New Roman" w:hAnsi="Times New Roman" w:cs="Times New Roman"/>
          <w:sz w:val="24"/>
          <w:szCs w:val="24"/>
        </w:rPr>
        <w:footnoteRef/>
      </w:r>
      <w:r w:rsidRPr="0095062C">
        <w:rPr>
          <w:rFonts w:ascii="Times New Roman" w:hAnsi="Times New Roman" w:cs="Times New Roman"/>
          <w:sz w:val="24"/>
          <w:szCs w:val="24"/>
        </w:rPr>
        <w:t xml:space="preserve"> S.Paventi, </w:t>
      </w:r>
      <w:r w:rsidRPr="0095062C">
        <w:rPr>
          <w:rFonts w:ascii="Times New Roman" w:hAnsi="Times New Roman" w:cs="Times New Roman"/>
          <w:i/>
          <w:sz w:val="24"/>
          <w:szCs w:val="24"/>
        </w:rPr>
        <w:t>Keimoes</w:t>
      </w:r>
      <w:r w:rsidRPr="0095062C">
        <w:rPr>
          <w:rFonts w:ascii="Times New Roman" w:hAnsi="Times New Roman" w:cs="Times New Roman"/>
          <w:sz w:val="24"/>
          <w:szCs w:val="24"/>
        </w:rPr>
        <w:t xml:space="preserve">, in </w:t>
      </w:r>
      <w:r w:rsidRPr="0095062C">
        <w:rPr>
          <w:rFonts w:ascii="Times New Roman" w:hAnsi="Times New Roman" w:cs="Times New Roman"/>
          <w:i/>
          <w:sz w:val="24"/>
          <w:szCs w:val="24"/>
        </w:rPr>
        <w:t>Enciclopedia cattolica</w:t>
      </w:r>
      <w:r w:rsidRPr="0095062C">
        <w:rPr>
          <w:rFonts w:ascii="Times New Roman" w:hAnsi="Times New Roman" w:cs="Times New Roman"/>
          <w:sz w:val="24"/>
          <w:szCs w:val="24"/>
        </w:rPr>
        <w:t>, Vol. 7, 1948, p.670.</w:t>
      </w:r>
    </w:p>
  </w:footnote>
  <w:footnote w:id="167">
    <w:p w14:paraId="2D57A9E9" w14:textId="77777777" w:rsidR="00F202D0" w:rsidRPr="00155978" w:rsidRDefault="00F202D0">
      <w:pPr>
        <w:pStyle w:val="Testonotaapidipagina"/>
        <w:rPr>
          <w:rFonts w:ascii="Times New Roman" w:hAnsi="Times New Roman" w:cs="Times New Roman"/>
          <w:i/>
          <w:sz w:val="24"/>
          <w:szCs w:val="24"/>
          <w:lang w:val="en-US"/>
        </w:rPr>
      </w:pPr>
      <w:r w:rsidRPr="00000B01">
        <w:rPr>
          <w:rStyle w:val="Rimandonotaapidipagina"/>
          <w:rFonts w:ascii="Times New Roman" w:hAnsi="Times New Roman" w:cs="Times New Roman"/>
          <w:sz w:val="18"/>
          <w:szCs w:val="18"/>
        </w:rPr>
        <w:footnoteRef/>
      </w:r>
      <w:r w:rsidRPr="00155978">
        <w:rPr>
          <w:rFonts w:ascii="Times New Roman" w:hAnsi="Times New Roman" w:cs="Times New Roman"/>
          <w:sz w:val="18"/>
          <w:szCs w:val="18"/>
          <w:lang w:val="en-US"/>
        </w:rPr>
        <w:t xml:space="preserve"> </w:t>
      </w:r>
      <w:r w:rsidRPr="00155978">
        <w:rPr>
          <w:rFonts w:ascii="Times New Roman" w:hAnsi="Times New Roman" w:cs="Times New Roman"/>
          <w:i/>
          <w:sz w:val="24"/>
          <w:szCs w:val="24"/>
          <w:lang w:val="en-US"/>
        </w:rPr>
        <w:t>Ibidem.</w:t>
      </w:r>
    </w:p>
  </w:footnote>
  <w:footnote w:id="168">
    <w:p w14:paraId="171E2105" w14:textId="77777777" w:rsidR="00F202D0" w:rsidRPr="00155978" w:rsidRDefault="00F202D0">
      <w:pPr>
        <w:pStyle w:val="Testonotaapidipagina"/>
        <w:rPr>
          <w:sz w:val="24"/>
          <w:szCs w:val="24"/>
          <w:lang w:val="en-US"/>
        </w:rPr>
      </w:pPr>
      <w:r w:rsidRPr="0095062C">
        <w:rPr>
          <w:rStyle w:val="Rimandonotaapidipagina"/>
          <w:sz w:val="24"/>
          <w:szCs w:val="24"/>
        </w:rPr>
        <w:footnoteRef/>
      </w:r>
      <w:r w:rsidRPr="00155978">
        <w:rPr>
          <w:sz w:val="24"/>
          <w:szCs w:val="24"/>
          <w:lang w:val="en-US"/>
        </w:rPr>
        <w:t xml:space="preserve"> </w:t>
      </w:r>
      <w:r w:rsidRPr="00155978">
        <w:rPr>
          <w:rFonts w:ascii="Times New Roman" w:hAnsi="Times New Roman" w:cs="Times New Roman"/>
          <w:i/>
          <w:sz w:val="24"/>
          <w:szCs w:val="24"/>
          <w:lang w:val="en-US"/>
        </w:rPr>
        <w:t>Decretum: nominis mutationis</w:t>
      </w:r>
      <w:r w:rsidRPr="00155978">
        <w:rPr>
          <w:rFonts w:ascii="Times New Roman" w:hAnsi="Times New Roman" w:cs="Times New Roman"/>
          <w:sz w:val="24"/>
          <w:szCs w:val="24"/>
          <w:lang w:val="en-US"/>
        </w:rPr>
        <w:t>, in AAS32-1940, 9 luglio 1940, p. 555.</w:t>
      </w:r>
    </w:p>
  </w:footnote>
  <w:footnote w:id="169">
    <w:p w14:paraId="79E57A54" w14:textId="77777777" w:rsidR="00F202D0" w:rsidRPr="0095062C" w:rsidRDefault="00F202D0">
      <w:pPr>
        <w:pStyle w:val="Testonotaapidipagina"/>
        <w:rPr>
          <w:rFonts w:ascii="Times New Roman" w:hAnsi="Times New Roman" w:cs="Times New Roman"/>
          <w:sz w:val="24"/>
          <w:szCs w:val="24"/>
        </w:rPr>
      </w:pPr>
      <w:r w:rsidRPr="0095062C">
        <w:rPr>
          <w:rStyle w:val="Rimandonotaapidipagina"/>
          <w:sz w:val="24"/>
          <w:szCs w:val="24"/>
        </w:rPr>
        <w:footnoteRef/>
      </w:r>
      <w:r w:rsidRPr="0095062C">
        <w:rPr>
          <w:sz w:val="24"/>
          <w:szCs w:val="24"/>
        </w:rPr>
        <w:t xml:space="preserve"> </w:t>
      </w:r>
      <w:r w:rsidRPr="0095062C">
        <w:rPr>
          <w:rFonts w:ascii="Times New Roman" w:hAnsi="Times New Roman" w:cs="Times New Roman"/>
          <w:sz w:val="24"/>
          <w:szCs w:val="24"/>
        </w:rPr>
        <w:t xml:space="preserve">S. Paventi, </w:t>
      </w:r>
      <w:r w:rsidRPr="0095062C">
        <w:rPr>
          <w:rFonts w:ascii="Times New Roman" w:hAnsi="Times New Roman" w:cs="Times New Roman"/>
          <w:i/>
          <w:sz w:val="24"/>
          <w:szCs w:val="24"/>
        </w:rPr>
        <w:t>Pretoria</w:t>
      </w:r>
      <w:r w:rsidRPr="0095062C">
        <w:rPr>
          <w:rFonts w:ascii="Times New Roman" w:hAnsi="Times New Roman" w:cs="Times New Roman"/>
          <w:sz w:val="24"/>
          <w:szCs w:val="24"/>
        </w:rPr>
        <w:t xml:space="preserve">, in </w:t>
      </w:r>
      <w:r w:rsidRPr="0095062C">
        <w:rPr>
          <w:rFonts w:ascii="Times New Roman" w:hAnsi="Times New Roman" w:cs="Times New Roman"/>
          <w:i/>
          <w:sz w:val="24"/>
          <w:szCs w:val="24"/>
        </w:rPr>
        <w:t>Enciclopedia cattolica</w:t>
      </w:r>
      <w:r w:rsidRPr="0095062C">
        <w:rPr>
          <w:rFonts w:ascii="Times New Roman" w:hAnsi="Times New Roman" w:cs="Times New Roman"/>
          <w:sz w:val="24"/>
          <w:szCs w:val="24"/>
        </w:rPr>
        <w:t>, Vol. 9, 1948, cit</w:t>
      </w:r>
      <w:r w:rsidRPr="0095062C">
        <w:rPr>
          <w:rFonts w:ascii="Times New Roman" w:hAnsi="Times New Roman" w:cs="Times New Roman"/>
          <w:i/>
          <w:sz w:val="24"/>
          <w:szCs w:val="24"/>
        </w:rPr>
        <w:t>., passim.</w:t>
      </w:r>
    </w:p>
  </w:footnote>
  <w:footnote w:id="170">
    <w:p w14:paraId="7392ED96" w14:textId="77777777" w:rsidR="00F202D0" w:rsidRPr="00155978" w:rsidRDefault="00F202D0" w:rsidP="00383122">
      <w:pPr>
        <w:rPr>
          <w:rFonts w:ascii="Times New Roman" w:hAnsi="Times New Roman" w:cs="Times New Roman"/>
          <w:sz w:val="24"/>
          <w:szCs w:val="24"/>
          <w:lang w:val="en-US"/>
        </w:rPr>
      </w:pPr>
      <w:r w:rsidRPr="0095062C">
        <w:rPr>
          <w:rStyle w:val="Rimandonotaapidipagina"/>
          <w:sz w:val="24"/>
          <w:szCs w:val="24"/>
        </w:rPr>
        <w:footnoteRef/>
      </w:r>
      <w:r w:rsidRPr="00155978">
        <w:rPr>
          <w:sz w:val="24"/>
          <w:szCs w:val="24"/>
          <w:lang w:val="en-US"/>
        </w:rPr>
        <w:t xml:space="preserve"> </w:t>
      </w:r>
      <w:r w:rsidRPr="00155978">
        <w:rPr>
          <w:rFonts w:ascii="Times New Roman" w:hAnsi="Times New Roman" w:cs="Times New Roman"/>
          <w:i/>
          <w:sz w:val="24"/>
          <w:szCs w:val="24"/>
          <w:lang w:val="en-US"/>
        </w:rPr>
        <w:t>Decretum: vicariatus apostolicus trans wallen sis deinceps «Joannesburgensis » appellabitur</w:t>
      </w:r>
      <w:r w:rsidRPr="00155978">
        <w:rPr>
          <w:rFonts w:ascii="Times New Roman" w:hAnsi="Times New Roman" w:cs="Times New Roman"/>
          <w:sz w:val="24"/>
          <w:szCs w:val="24"/>
          <w:lang w:val="en-US"/>
        </w:rPr>
        <w:t>, in AAS40-1948, 9 aprile 1948, p. 183.</w:t>
      </w:r>
    </w:p>
  </w:footnote>
  <w:footnote w:id="171">
    <w:p w14:paraId="66B1841B" w14:textId="77777777" w:rsidR="00F202D0" w:rsidRPr="0095062C" w:rsidRDefault="00F202D0" w:rsidP="00383122">
      <w:pPr>
        <w:pStyle w:val="Testonotaapidipagina"/>
        <w:rPr>
          <w:sz w:val="24"/>
          <w:szCs w:val="24"/>
        </w:rPr>
      </w:pPr>
      <w:r w:rsidRPr="0095062C">
        <w:rPr>
          <w:rStyle w:val="Rimandonotaapidipagina"/>
          <w:sz w:val="24"/>
          <w:szCs w:val="24"/>
        </w:rPr>
        <w:footnoteRef/>
      </w:r>
      <w:r w:rsidRPr="0095062C">
        <w:rPr>
          <w:sz w:val="24"/>
          <w:szCs w:val="24"/>
        </w:rPr>
        <w:t xml:space="preserve"> </w:t>
      </w:r>
      <w:r w:rsidRPr="0095062C">
        <w:rPr>
          <w:rFonts w:ascii="Times New Roman" w:hAnsi="Times New Roman" w:cs="Times New Roman"/>
          <w:sz w:val="24"/>
          <w:szCs w:val="24"/>
        </w:rPr>
        <w:t xml:space="preserve">S. Paventi, </w:t>
      </w:r>
      <w:r w:rsidRPr="0095062C">
        <w:rPr>
          <w:rFonts w:ascii="Times New Roman" w:hAnsi="Times New Roman" w:cs="Times New Roman"/>
          <w:i/>
          <w:sz w:val="24"/>
          <w:szCs w:val="24"/>
        </w:rPr>
        <w:t>Pretoria</w:t>
      </w:r>
      <w:r w:rsidRPr="0095062C">
        <w:rPr>
          <w:rFonts w:ascii="Times New Roman" w:hAnsi="Times New Roman" w:cs="Times New Roman"/>
          <w:sz w:val="24"/>
          <w:szCs w:val="24"/>
        </w:rPr>
        <w:t>, cit</w:t>
      </w:r>
      <w:r w:rsidRPr="0095062C">
        <w:rPr>
          <w:rFonts w:ascii="Times New Roman" w:hAnsi="Times New Roman" w:cs="Times New Roman"/>
          <w:i/>
          <w:sz w:val="24"/>
          <w:szCs w:val="24"/>
        </w:rPr>
        <w:t>., passim.</w:t>
      </w:r>
    </w:p>
  </w:footnote>
  <w:footnote w:id="172">
    <w:p w14:paraId="43260050" w14:textId="77777777" w:rsidR="00F202D0" w:rsidRPr="0095062C" w:rsidRDefault="00F202D0">
      <w:pPr>
        <w:pStyle w:val="Testonotaapidipagina"/>
        <w:rPr>
          <w:rFonts w:ascii="Times New Roman" w:hAnsi="Times New Roman" w:cs="Times New Roman"/>
          <w:sz w:val="24"/>
          <w:szCs w:val="24"/>
        </w:rPr>
      </w:pPr>
      <w:r w:rsidRPr="0095062C">
        <w:rPr>
          <w:rStyle w:val="Rimandonotaapidipagina"/>
          <w:sz w:val="24"/>
          <w:szCs w:val="24"/>
        </w:rPr>
        <w:footnoteRef/>
      </w:r>
      <w:r w:rsidRPr="0095062C">
        <w:rPr>
          <w:sz w:val="24"/>
          <w:szCs w:val="24"/>
        </w:rPr>
        <w:t xml:space="preserve"> </w:t>
      </w:r>
      <w:r w:rsidRPr="0095062C">
        <w:rPr>
          <w:rFonts w:ascii="Times New Roman" w:hAnsi="Times New Roman" w:cs="Times New Roman"/>
          <w:sz w:val="24"/>
          <w:szCs w:val="24"/>
        </w:rPr>
        <w:t xml:space="preserve">S. Paventi, </w:t>
      </w:r>
      <w:r w:rsidRPr="0095062C">
        <w:rPr>
          <w:rFonts w:ascii="Times New Roman" w:hAnsi="Times New Roman" w:cs="Times New Roman"/>
          <w:i/>
          <w:sz w:val="24"/>
          <w:szCs w:val="24"/>
        </w:rPr>
        <w:t>Keetmanshoop</w:t>
      </w:r>
      <w:r w:rsidRPr="0095062C">
        <w:rPr>
          <w:rFonts w:ascii="Times New Roman" w:hAnsi="Times New Roman" w:cs="Times New Roman"/>
          <w:sz w:val="24"/>
          <w:szCs w:val="24"/>
        </w:rPr>
        <w:t xml:space="preserve">, in </w:t>
      </w:r>
      <w:r w:rsidRPr="0095062C">
        <w:rPr>
          <w:rFonts w:ascii="Times New Roman" w:hAnsi="Times New Roman" w:cs="Times New Roman"/>
          <w:i/>
          <w:sz w:val="24"/>
          <w:szCs w:val="24"/>
        </w:rPr>
        <w:t>Enciclopedia cattolica</w:t>
      </w:r>
      <w:r w:rsidRPr="0095062C">
        <w:rPr>
          <w:rFonts w:ascii="Times New Roman" w:hAnsi="Times New Roman" w:cs="Times New Roman"/>
          <w:sz w:val="24"/>
          <w:szCs w:val="24"/>
        </w:rPr>
        <w:t>, Vol.7, 1948, p. 667.</w:t>
      </w:r>
    </w:p>
  </w:footnote>
  <w:footnote w:id="173">
    <w:p w14:paraId="23E6C43F" w14:textId="77777777" w:rsidR="00F202D0" w:rsidRPr="00163207" w:rsidRDefault="00F202D0" w:rsidP="00383122">
      <w:pPr>
        <w:rPr>
          <w:rFonts w:ascii="Times New Roman" w:hAnsi="Times New Roman" w:cs="Times New Roman"/>
          <w:sz w:val="28"/>
          <w:szCs w:val="28"/>
        </w:rPr>
      </w:pPr>
      <w:r>
        <w:rPr>
          <w:rStyle w:val="Rimandonotaapidipagina"/>
        </w:rPr>
        <w:footnoteRef/>
      </w:r>
      <w:r>
        <w:t xml:space="preserve"> </w:t>
      </w:r>
      <w:r w:rsidRPr="0095062C">
        <w:rPr>
          <w:rFonts w:ascii="Times New Roman" w:hAnsi="Times New Roman" w:cs="Times New Roman"/>
          <w:i/>
          <w:sz w:val="24"/>
          <w:szCs w:val="24"/>
        </w:rPr>
        <w:t>Decretum: de vicariatuum finium immutatione</w:t>
      </w:r>
      <w:r w:rsidRPr="0095062C">
        <w:rPr>
          <w:rFonts w:ascii="Times New Roman" w:hAnsi="Times New Roman" w:cs="Times New Roman"/>
          <w:sz w:val="24"/>
          <w:szCs w:val="24"/>
        </w:rPr>
        <w:t>, in AAS40-1948, 13 maggio 1948, p. 297.</w:t>
      </w:r>
    </w:p>
  </w:footnote>
  <w:footnote w:id="174">
    <w:p w14:paraId="67036DCA" w14:textId="77777777" w:rsidR="00F202D0" w:rsidRPr="00AA0B49" w:rsidRDefault="00F202D0" w:rsidP="00383122">
      <w:pPr>
        <w:rPr>
          <w:rFonts w:ascii="Times New Roman" w:hAnsi="Times New Roman" w:cs="Times New Roman"/>
          <w:b/>
          <w:i/>
          <w:sz w:val="28"/>
          <w:szCs w:val="28"/>
          <w:u w:val="single"/>
        </w:rPr>
      </w:pPr>
      <w:r>
        <w:rPr>
          <w:rStyle w:val="Rimandonotaapidipagina"/>
        </w:rPr>
        <w:footnoteRef/>
      </w:r>
      <w:r>
        <w:t xml:space="preserve"> </w:t>
      </w:r>
      <w:r w:rsidRPr="00F85209">
        <w:rPr>
          <w:rFonts w:ascii="Times New Roman" w:hAnsi="Times New Roman" w:cs="Times New Roman"/>
          <w:i/>
          <w:sz w:val="24"/>
          <w:szCs w:val="24"/>
        </w:rPr>
        <w:t>Decretum: de sedis et nominis mutatione</w:t>
      </w:r>
      <w:r w:rsidRPr="00F85209">
        <w:rPr>
          <w:rFonts w:ascii="Times New Roman" w:hAnsi="Times New Roman" w:cs="Times New Roman"/>
          <w:sz w:val="24"/>
          <w:szCs w:val="24"/>
        </w:rPr>
        <w:t>, in AAS39-1947, 13 giugno 1946, p. 66.</w:t>
      </w:r>
    </w:p>
  </w:footnote>
  <w:footnote w:id="175">
    <w:p w14:paraId="0997D479" w14:textId="77777777" w:rsidR="00F202D0" w:rsidRPr="00982B79" w:rsidRDefault="00F202D0" w:rsidP="00383122">
      <w:pPr>
        <w:rPr>
          <w:rFonts w:ascii="Times New Roman" w:hAnsi="Times New Roman" w:cs="Times New Roman"/>
          <w:sz w:val="24"/>
          <w:szCs w:val="24"/>
        </w:rPr>
      </w:pPr>
      <w:r>
        <w:rPr>
          <w:rStyle w:val="Rimandonotaapidipagina"/>
        </w:rPr>
        <w:footnoteRef/>
      </w:r>
      <w:r>
        <w:t xml:space="preserve"> </w:t>
      </w:r>
      <w:r w:rsidRPr="00E65983">
        <w:rPr>
          <w:rFonts w:ascii="Times New Roman" w:hAnsi="Times New Roman" w:cs="Times New Roman"/>
          <w:i/>
          <w:sz w:val="24"/>
          <w:szCs w:val="24"/>
        </w:rPr>
        <w:t>Decretum: db mutatione finium dioecesium</w:t>
      </w:r>
      <w:r w:rsidRPr="00E65983">
        <w:rPr>
          <w:rFonts w:ascii="Times New Roman" w:hAnsi="Times New Roman" w:cs="Times New Roman"/>
          <w:sz w:val="24"/>
          <w:szCs w:val="24"/>
        </w:rPr>
        <w:t>, in AAS45-1952, febbraio 1952, p. 595.</w:t>
      </w:r>
    </w:p>
  </w:footnote>
  <w:footnote w:id="176">
    <w:p w14:paraId="20BEE3A0" w14:textId="77777777" w:rsidR="00F202D0" w:rsidRPr="00155978" w:rsidRDefault="00F202D0" w:rsidP="00383122">
      <w:pPr>
        <w:rPr>
          <w:rFonts w:ascii="Times New Roman" w:hAnsi="Times New Roman" w:cs="Times New Roman"/>
          <w:sz w:val="24"/>
          <w:szCs w:val="24"/>
        </w:rPr>
      </w:pPr>
      <w:r>
        <w:rPr>
          <w:rStyle w:val="Rimandonotaapidipagina"/>
        </w:rPr>
        <w:footnoteRef/>
      </w:r>
      <w:r>
        <w:t xml:space="preserve"> </w:t>
      </w:r>
      <w:r w:rsidRPr="00155978">
        <w:rPr>
          <w:rFonts w:ascii="Times New Roman" w:hAnsi="Times New Roman" w:cs="Times New Roman"/>
          <w:i/>
          <w:sz w:val="24"/>
          <w:szCs w:val="24"/>
        </w:rPr>
        <w:t>Decretum: dismembrationis et unionis</w:t>
      </w:r>
      <w:r w:rsidRPr="00155978">
        <w:rPr>
          <w:rFonts w:ascii="Times New Roman" w:hAnsi="Times New Roman" w:cs="Times New Roman"/>
          <w:sz w:val="24"/>
          <w:szCs w:val="24"/>
        </w:rPr>
        <w:t>, in AAS45-1953,2 febbraio 1953, p. 187.</w:t>
      </w:r>
    </w:p>
  </w:footnote>
  <w:footnote w:id="177">
    <w:p w14:paraId="562F3768" w14:textId="77777777" w:rsidR="00F202D0" w:rsidRPr="006C2288" w:rsidRDefault="00F202D0" w:rsidP="00383122">
      <w:pPr>
        <w:rPr>
          <w:rFonts w:ascii="Times New Roman" w:hAnsi="Times New Roman" w:cs="Times New Roman"/>
          <w:sz w:val="28"/>
          <w:szCs w:val="28"/>
        </w:rPr>
      </w:pPr>
      <w:r>
        <w:rPr>
          <w:rStyle w:val="Rimandonotaapidipagina"/>
        </w:rPr>
        <w:footnoteRef/>
      </w:r>
      <w:r>
        <w:t xml:space="preserve"> </w:t>
      </w:r>
      <w:r w:rsidRPr="00AA0B49">
        <w:rPr>
          <w:rFonts w:ascii="Times New Roman" w:hAnsi="Times New Roman" w:cs="Times New Roman"/>
          <w:i/>
          <w:sz w:val="24"/>
          <w:szCs w:val="24"/>
        </w:rPr>
        <w:t>Decretum: de vicariatuum finium immutatione</w:t>
      </w:r>
      <w:r w:rsidRPr="00AA0B49">
        <w:rPr>
          <w:rFonts w:ascii="Times New Roman" w:hAnsi="Times New Roman" w:cs="Times New Roman"/>
          <w:sz w:val="24"/>
          <w:szCs w:val="24"/>
        </w:rPr>
        <w:t>, in AAS42-1950, 10 marzo 1950, p. 646.</w:t>
      </w:r>
      <w:r w:rsidRPr="00395F2F">
        <w:rPr>
          <w:rFonts w:ascii="Times New Roman" w:hAnsi="Times New Roman" w:cs="Times New Roman"/>
          <w:sz w:val="28"/>
          <w:szCs w:val="28"/>
        </w:rPr>
        <w:t xml:space="preserve"> </w:t>
      </w:r>
    </w:p>
  </w:footnote>
  <w:footnote w:id="178">
    <w:p w14:paraId="6C6D7927" w14:textId="77777777" w:rsidR="00F202D0" w:rsidRPr="006C2288" w:rsidRDefault="00F202D0">
      <w:pPr>
        <w:pStyle w:val="Testonotaapidipagina"/>
        <w:rPr>
          <w:rFonts w:ascii="Times New Roman" w:hAnsi="Times New Roman" w:cs="Times New Roman"/>
        </w:rPr>
      </w:pPr>
      <w:r>
        <w:rPr>
          <w:rStyle w:val="Rimandonotaapidipagina"/>
        </w:rPr>
        <w:footnoteRef/>
      </w:r>
      <w:r>
        <w:t xml:space="preserve"> </w:t>
      </w:r>
      <w:r w:rsidRPr="006C2288">
        <w:rPr>
          <w:rFonts w:ascii="Times New Roman" w:hAnsi="Times New Roman" w:cs="Times New Roman"/>
          <w:sz w:val="24"/>
          <w:szCs w:val="24"/>
        </w:rPr>
        <w:t>Vedi</w:t>
      </w:r>
      <w:r>
        <w:rPr>
          <w:rFonts w:ascii="Times New Roman" w:hAnsi="Times New Roman" w:cs="Times New Roman"/>
          <w:sz w:val="24"/>
          <w:szCs w:val="24"/>
        </w:rPr>
        <w:t xml:space="preserve"> Figura 5</w:t>
      </w:r>
      <w:r w:rsidRPr="006C2288">
        <w:rPr>
          <w:rFonts w:ascii="Times New Roman" w:hAnsi="Times New Roman" w:cs="Times New Roman"/>
          <w:sz w:val="24"/>
          <w:szCs w:val="24"/>
        </w:rPr>
        <w:t xml:space="preserve"> in Appendice.</w:t>
      </w:r>
    </w:p>
  </w:footnote>
  <w:footnote w:id="179">
    <w:p w14:paraId="3ECDCE58" w14:textId="77777777" w:rsidR="00F202D0" w:rsidRPr="003E01F1" w:rsidRDefault="00F202D0">
      <w:pPr>
        <w:pStyle w:val="Testonotaapidipagina"/>
        <w:rPr>
          <w:rFonts w:ascii="Times New Roman" w:hAnsi="Times New Roman" w:cs="Times New Roman"/>
          <w:sz w:val="24"/>
          <w:szCs w:val="24"/>
        </w:rPr>
      </w:pPr>
      <w:r>
        <w:rPr>
          <w:rStyle w:val="Rimandonotaapidipagina"/>
        </w:rPr>
        <w:footnoteRef/>
      </w:r>
      <w:r>
        <w:t xml:space="preserve"> </w:t>
      </w:r>
      <w:r w:rsidRPr="003E01F1">
        <w:rPr>
          <w:rFonts w:ascii="Times New Roman" w:hAnsi="Times New Roman" w:cs="Times New Roman"/>
          <w:sz w:val="24"/>
          <w:szCs w:val="24"/>
        </w:rPr>
        <w:t>G.</w:t>
      </w:r>
      <w:r>
        <w:rPr>
          <w:rFonts w:ascii="Times New Roman" w:hAnsi="Times New Roman" w:cs="Times New Roman"/>
          <w:sz w:val="24"/>
          <w:szCs w:val="24"/>
        </w:rPr>
        <w:t xml:space="preserve"> </w:t>
      </w:r>
      <w:r w:rsidRPr="003E01F1">
        <w:rPr>
          <w:rFonts w:ascii="Times New Roman" w:hAnsi="Times New Roman" w:cs="Times New Roman"/>
          <w:sz w:val="24"/>
          <w:szCs w:val="24"/>
        </w:rPr>
        <w:t xml:space="preserve">Tragella, </w:t>
      </w:r>
      <w:r w:rsidRPr="003E01F1">
        <w:rPr>
          <w:rFonts w:ascii="Times New Roman" w:hAnsi="Times New Roman" w:cs="Times New Roman"/>
          <w:i/>
          <w:sz w:val="24"/>
          <w:szCs w:val="24"/>
        </w:rPr>
        <w:t>Asia</w:t>
      </w:r>
      <w:r w:rsidRPr="003E01F1">
        <w:rPr>
          <w:rFonts w:ascii="Times New Roman" w:hAnsi="Times New Roman" w:cs="Times New Roman"/>
          <w:sz w:val="24"/>
          <w:szCs w:val="24"/>
        </w:rPr>
        <w:t xml:space="preserve">, in </w:t>
      </w:r>
      <w:r w:rsidRPr="003E01F1">
        <w:rPr>
          <w:rFonts w:ascii="Times New Roman" w:hAnsi="Times New Roman" w:cs="Times New Roman"/>
          <w:i/>
          <w:sz w:val="24"/>
          <w:szCs w:val="24"/>
        </w:rPr>
        <w:t>Enciclopedia cattolica</w:t>
      </w:r>
      <w:r w:rsidRPr="003E01F1">
        <w:rPr>
          <w:rFonts w:ascii="Times New Roman" w:hAnsi="Times New Roman" w:cs="Times New Roman"/>
          <w:sz w:val="24"/>
          <w:szCs w:val="24"/>
        </w:rPr>
        <w:t xml:space="preserve">, Vol.2, 1948, cit., </w:t>
      </w:r>
      <w:r w:rsidRPr="003E01F1">
        <w:rPr>
          <w:rFonts w:ascii="Times New Roman" w:hAnsi="Times New Roman" w:cs="Times New Roman"/>
          <w:i/>
          <w:sz w:val="24"/>
          <w:szCs w:val="24"/>
        </w:rPr>
        <w:t>passim</w:t>
      </w:r>
      <w:r w:rsidRPr="003E01F1">
        <w:rPr>
          <w:rFonts w:ascii="Times New Roman" w:hAnsi="Times New Roman" w:cs="Times New Roman"/>
          <w:sz w:val="24"/>
          <w:szCs w:val="24"/>
        </w:rPr>
        <w:t>.</w:t>
      </w:r>
    </w:p>
  </w:footnote>
  <w:footnote w:id="180">
    <w:p w14:paraId="7871E580" w14:textId="77777777" w:rsidR="00F202D0" w:rsidRPr="00C139C0" w:rsidRDefault="00F202D0">
      <w:pPr>
        <w:pStyle w:val="Testonotaapidipagina"/>
        <w:rPr>
          <w:rFonts w:ascii="Times New Roman" w:hAnsi="Times New Roman" w:cs="Times New Roman"/>
          <w:sz w:val="24"/>
          <w:szCs w:val="24"/>
        </w:rPr>
      </w:pPr>
      <w:r>
        <w:rPr>
          <w:rStyle w:val="Rimandonotaapidipagina"/>
        </w:rPr>
        <w:footnoteRef/>
      </w:r>
      <w:r>
        <w:t xml:space="preserve"> </w:t>
      </w:r>
      <w:r w:rsidRPr="00C139C0">
        <w:rPr>
          <w:rFonts w:ascii="Times New Roman" w:hAnsi="Times New Roman" w:cs="Times New Roman"/>
          <w:sz w:val="24"/>
          <w:szCs w:val="24"/>
        </w:rPr>
        <w:t>Vedi figura 6 in Appendice.</w:t>
      </w:r>
    </w:p>
  </w:footnote>
  <w:footnote w:id="181">
    <w:p w14:paraId="447E500B" w14:textId="77777777" w:rsidR="00F202D0" w:rsidRPr="00BF51A7" w:rsidRDefault="00F202D0" w:rsidP="00383122">
      <w:pPr>
        <w:pStyle w:val="Testonotaapidipagina"/>
        <w:rPr>
          <w:rFonts w:ascii="Times New Roman" w:hAnsi="Times New Roman" w:cs="Times New Roman"/>
          <w:sz w:val="24"/>
          <w:szCs w:val="24"/>
        </w:rPr>
      </w:pPr>
      <w:r w:rsidRPr="006C2288">
        <w:rPr>
          <w:rStyle w:val="Rimandonotaapidipagina"/>
          <w:rFonts w:ascii="Times New Roman" w:hAnsi="Times New Roman" w:cs="Times New Roman"/>
        </w:rPr>
        <w:footnoteRef/>
      </w:r>
      <w:r w:rsidRPr="006C2288">
        <w:rPr>
          <w:rFonts w:ascii="Times New Roman" w:hAnsi="Times New Roman" w:cs="Times New Roman"/>
        </w:rPr>
        <w:t xml:space="preserve"> </w:t>
      </w:r>
      <w:r w:rsidRPr="006C2288">
        <w:rPr>
          <w:rFonts w:ascii="Times New Roman" w:hAnsi="Times New Roman" w:cs="Times New Roman"/>
          <w:sz w:val="24"/>
          <w:szCs w:val="24"/>
        </w:rPr>
        <w:t xml:space="preserve">G. Rommerskirehen, </w:t>
      </w:r>
      <w:r w:rsidRPr="006C2288">
        <w:rPr>
          <w:rFonts w:ascii="Times New Roman" w:hAnsi="Times New Roman" w:cs="Times New Roman"/>
          <w:i/>
          <w:sz w:val="24"/>
          <w:szCs w:val="24"/>
        </w:rPr>
        <w:t>India</w:t>
      </w:r>
      <w:r w:rsidRPr="00BF51A7">
        <w:rPr>
          <w:rFonts w:ascii="Times New Roman" w:hAnsi="Times New Roman" w:cs="Times New Roman"/>
          <w:sz w:val="24"/>
          <w:szCs w:val="24"/>
        </w:rPr>
        <w:t xml:space="preserve">, in </w:t>
      </w:r>
      <w:r w:rsidRPr="00BF51A7">
        <w:rPr>
          <w:rFonts w:ascii="Times New Roman" w:hAnsi="Times New Roman" w:cs="Times New Roman"/>
          <w:i/>
          <w:sz w:val="24"/>
          <w:szCs w:val="24"/>
        </w:rPr>
        <w:t>Enciclopedia cattolica</w:t>
      </w:r>
      <w:r w:rsidRPr="00BF51A7">
        <w:rPr>
          <w:rFonts w:ascii="Times New Roman" w:hAnsi="Times New Roman" w:cs="Times New Roman"/>
          <w:sz w:val="24"/>
          <w:szCs w:val="24"/>
        </w:rPr>
        <w:t>, Vol. 6, 1948, p. 1816.</w:t>
      </w:r>
    </w:p>
  </w:footnote>
  <w:footnote w:id="182">
    <w:p w14:paraId="3CD1893E" w14:textId="77777777" w:rsidR="00F202D0" w:rsidRPr="00B662BA" w:rsidRDefault="00F202D0">
      <w:pPr>
        <w:pStyle w:val="Testonotaapidipagina"/>
        <w:rPr>
          <w:rFonts w:ascii="Times New Roman" w:hAnsi="Times New Roman" w:cs="Times New Roman"/>
          <w:sz w:val="24"/>
          <w:szCs w:val="24"/>
        </w:rPr>
      </w:pPr>
      <w:r>
        <w:rPr>
          <w:rStyle w:val="Rimandonotaapidipagina"/>
        </w:rPr>
        <w:footnoteRef/>
      </w:r>
      <w:r>
        <w:t xml:space="preserve"> </w:t>
      </w:r>
      <w:r w:rsidRPr="00C139C0">
        <w:rPr>
          <w:rFonts w:ascii="Times New Roman" w:hAnsi="Times New Roman" w:cs="Times New Roman"/>
          <w:sz w:val="24"/>
          <w:szCs w:val="24"/>
        </w:rPr>
        <w:t xml:space="preserve">Vedi figura </w:t>
      </w:r>
      <w:r>
        <w:rPr>
          <w:rFonts w:ascii="Times New Roman" w:hAnsi="Times New Roman" w:cs="Times New Roman"/>
          <w:sz w:val="24"/>
          <w:szCs w:val="24"/>
        </w:rPr>
        <w:t>7</w:t>
      </w:r>
      <w:r w:rsidRPr="00C139C0">
        <w:rPr>
          <w:rFonts w:ascii="Times New Roman" w:hAnsi="Times New Roman" w:cs="Times New Roman"/>
          <w:sz w:val="24"/>
          <w:szCs w:val="24"/>
        </w:rPr>
        <w:t xml:space="preserve"> in Appendice.</w:t>
      </w:r>
    </w:p>
  </w:footnote>
  <w:footnote w:id="183">
    <w:p w14:paraId="4D8AE1CB" w14:textId="77777777" w:rsidR="00F202D0" w:rsidRPr="00BF51A7"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BF51A7">
        <w:rPr>
          <w:rFonts w:ascii="Times New Roman" w:hAnsi="Times New Roman" w:cs="Times New Roman"/>
          <w:i/>
          <w:sz w:val="24"/>
          <w:szCs w:val="24"/>
        </w:rPr>
        <w:t>Ibidem.</w:t>
      </w:r>
    </w:p>
  </w:footnote>
  <w:footnote w:id="184">
    <w:p w14:paraId="64051384" w14:textId="77777777" w:rsidR="00F202D0" w:rsidRPr="00513C8A" w:rsidRDefault="00F202D0" w:rsidP="00383122">
      <w:pPr>
        <w:rPr>
          <w:rFonts w:ascii="Times New Roman" w:hAnsi="Times New Roman" w:cs="Times New Roman"/>
          <w:sz w:val="24"/>
          <w:szCs w:val="24"/>
          <w:lang w:val="en-US"/>
        </w:rPr>
      </w:pPr>
      <w:r>
        <w:rPr>
          <w:rStyle w:val="Rimandonotaapidipagina"/>
        </w:rPr>
        <w:footnoteRef/>
      </w:r>
      <w:r w:rsidRPr="00513C8A">
        <w:rPr>
          <w:lang w:val="en-US"/>
        </w:rPr>
        <w:t xml:space="preserve"> </w:t>
      </w:r>
      <w:r w:rsidRPr="00513C8A">
        <w:rPr>
          <w:rFonts w:ascii="Times New Roman" w:hAnsi="Times New Roman" w:cs="Times New Roman"/>
          <w:i/>
          <w:sz w:val="24"/>
          <w:szCs w:val="24"/>
          <w:lang w:val="en-US"/>
        </w:rPr>
        <w:t>Decretum: separationis et unionis</w:t>
      </w:r>
      <w:r w:rsidRPr="00513C8A">
        <w:rPr>
          <w:rFonts w:ascii="Times New Roman" w:hAnsi="Times New Roman" w:cs="Times New Roman"/>
          <w:sz w:val="24"/>
          <w:szCs w:val="24"/>
          <w:lang w:val="en-US"/>
        </w:rPr>
        <w:t>, in AAS39-1947, 10 aprile 1947, p. 316.</w:t>
      </w:r>
    </w:p>
  </w:footnote>
  <w:footnote w:id="185">
    <w:p w14:paraId="31CAA8F0" w14:textId="77777777" w:rsidR="00F202D0" w:rsidRDefault="00F202D0">
      <w:pPr>
        <w:pStyle w:val="Testonotaapidipagina"/>
      </w:pPr>
      <w:r>
        <w:rPr>
          <w:rStyle w:val="Rimandonotaapidipagina"/>
        </w:rPr>
        <w:footnoteRef/>
      </w:r>
      <w:r>
        <w:t xml:space="preserve"> </w:t>
      </w:r>
      <w:r w:rsidRPr="003E01F1">
        <w:rPr>
          <w:rFonts w:ascii="Times New Roman" w:hAnsi="Times New Roman" w:cs="Times New Roman"/>
          <w:sz w:val="24"/>
          <w:szCs w:val="24"/>
        </w:rPr>
        <w:t>G.</w:t>
      </w:r>
      <w:r>
        <w:rPr>
          <w:rFonts w:ascii="Times New Roman" w:hAnsi="Times New Roman" w:cs="Times New Roman"/>
          <w:sz w:val="24"/>
          <w:szCs w:val="24"/>
        </w:rPr>
        <w:t xml:space="preserve"> </w:t>
      </w:r>
      <w:r w:rsidRPr="003E01F1">
        <w:rPr>
          <w:rFonts w:ascii="Times New Roman" w:hAnsi="Times New Roman" w:cs="Times New Roman"/>
          <w:sz w:val="24"/>
          <w:szCs w:val="24"/>
        </w:rPr>
        <w:t>Tragella</w:t>
      </w:r>
      <w:r w:rsidRPr="005B78E3">
        <w:rPr>
          <w:rFonts w:ascii="Times New Roman" w:hAnsi="Times New Roman" w:cs="Times New Roman"/>
          <w:i/>
          <w:sz w:val="24"/>
          <w:szCs w:val="24"/>
        </w:rPr>
        <w:t>, Salem</w:t>
      </w:r>
      <w:r>
        <w:rPr>
          <w:rFonts w:ascii="Times New Roman" w:hAnsi="Times New Roman" w:cs="Times New Roman"/>
          <w:sz w:val="24"/>
          <w:szCs w:val="24"/>
        </w:rPr>
        <w:t xml:space="preserve">, in </w:t>
      </w:r>
      <w:r w:rsidRPr="005B78E3">
        <w:rPr>
          <w:rFonts w:ascii="Times New Roman" w:hAnsi="Times New Roman" w:cs="Times New Roman"/>
          <w:i/>
          <w:sz w:val="24"/>
          <w:szCs w:val="24"/>
        </w:rPr>
        <w:t>Enciclopedia cattolica</w:t>
      </w:r>
      <w:r>
        <w:rPr>
          <w:rFonts w:ascii="Times New Roman" w:hAnsi="Times New Roman" w:cs="Times New Roman"/>
          <w:sz w:val="24"/>
          <w:szCs w:val="24"/>
        </w:rPr>
        <w:t>, Vol. 10, 1948, p. 1656.</w:t>
      </w:r>
    </w:p>
  </w:footnote>
  <w:footnote w:id="186">
    <w:p w14:paraId="46BFCDF0" w14:textId="77777777" w:rsidR="00F202D0" w:rsidRPr="00741EE5" w:rsidRDefault="00F202D0" w:rsidP="00383122">
      <w:pPr>
        <w:rPr>
          <w:rFonts w:ascii="Times New Roman" w:hAnsi="Times New Roman" w:cs="Times New Roman"/>
          <w:sz w:val="24"/>
          <w:szCs w:val="24"/>
        </w:rPr>
      </w:pPr>
      <w:r>
        <w:rPr>
          <w:rStyle w:val="Rimandonotaapidipagina"/>
        </w:rPr>
        <w:footnoteRef/>
      </w:r>
      <w:r>
        <w:t xml:space="preserve"> </w:t>
      </w:r>
      <w:r w:rsidRPr="00793EE2">
        <w:rPr>
          <w:rFonts w:ascii="Times New Roman" w:hAnsi="Times New Roman" w:cs="Times New Roman"/>
          <w:i/>
          <w:sz w:val="24"/>
          <w:szCs w:val="24"/>
        </w:rPr>
        <w:t>Decretum: de muta</w:t>
      </w:r>
      <w:r>
        <w:rPr>
          <w:rFonts w:ascii="Times New Roman" w:hAnsi="Times New Roman" w:cs="Times New Roman"/>
          <w:i/>
          <w:sz w:val="24"/>
          <w:szCs w:val="24"/>
        </w:rPr>
        <w:t>tione nominis ordinariatuum in I</w:t>
      </w:r>
      <w:r w:rsidRPr="00793EE2">
        <w:rPr>
          <w:rFonts w:ascii="Times New Roman" w:hAnsi="Times New Roman" w:cs="Times New Roman"/>
          <w:i/>
          <w:sz w:val="24"/>
          <w:szCs w:val="24"/>
        </w:rPr>
        <w:t>ndia</w:t>
      </w:r>
      <w:r w:rsidRPr="00793EE2">
        <w:rPr>
          <w:rFonts w:ascii="Times New Roman" w:hAnsi="Times New Roman" w:cs="Times New Roman"/>
          <w:sz w:val="24"/>
          <w:szCs w:val="24"/>
        </w:rPr>
        <w:t xml:space="preserve">, in AAS43-1951, </w:t>
      </w:r>
      <w:r>
        <w:rPr>
          <w:rFonts w:ascii="Times New Roman" w:hAnsi="Times New Roman" w:cs="Times New Roman"/>
          <w:sz w:val="24"/>
          <w:szCs w:val="24"/>
        </w:rPr>
        <w:t>1 ottobre 1950, p.</w:t>
      </w:r>
      <w:r w:rsidRPr="00793EE2">
        <w:rPr>
          <w:rFonts w:ascii="Times New Roman" w:hAnsi="Times New Roman" w:cs="Times New Roman"/>
          <w:sz w:val="24"/>
          <w:szCs w:val="24"/>
        </w:rPr>
        <w:t xml:space="preserve"> 127</w:t>
      </w:r>
      <w:r>
        <w:rPr>
          <w:rFonts w:ascii="Times New Roman" w:hAnsi="Times New Roman" w:cs="Times New Roman"/>
          <w:sz w:val="24"/>
          <w:szCs w:val="24"/>
        </w:rPr>
        <w:t>.</w:t>
      </w:r>
    </w:p>
  </w:footnote>
  <w:footnote w:id="187">
    <w:p w14:paraId="474C465B" w14:textId="77777777" w:rsidR="00F202D0" w:rsidRPr="00741EE5"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sidRPr="00741EE5">
        <w:rPr>
          <w:rFonts w:ascii="Times New Roman" w:hAnsi="Times New Roman" w:cs="Times New Roman"/>
          <w:sz w:val="24"/>
          <w:szCs w:val="24"/>
        </w:rPr>
        <w:t>P.Borgna,</w:t>
      </w:r>
      <w:r w:rsidRPr="00741EE5">
        <w:rPr>
          <w:rFonts w:ascii="Times New Roman" w:hAnsi="Times New Roman" w:cs="Times New Roman"/>
          <w:bCs/>
          <w:color w:val="202122"/>
          <w:sz w:val="24"/>
          <w:szCs w:val="24"/>
          <w:shd w:val="clear" w:color="auto" w:fill="FFFFFF"/>
        </w:rPr>
        <w:t xml:space="preserve"> </w:t>
      </w:r>
      <w:r w:rsidRPr="00741EE5">
        <w:rPr>
          <w:rFonts w:ascii="Times New Roman" w:hAnsi="Times New Roman" w:cs="Times New Roman"/>
          <w:bCs/>
          <w:i/>
          <w:color w:val="202122"/>
          <w:sz w:val="24"/>
          <w:szCs w:val="24"/>
          <w:shd w:val="clear" w:color="auto" w:fill="FFFFFF"/>
        </w:rPr>
        <w:t>Vijayawada</w:t>
      </w:r>
      <w:r w:rsidRPr="00741EE5">
        <w:rPr>
          <w:rFonts w:ascii="Times New Roman" w:hAnsi="Times New Roman" w:cs="Times New Roman"/>
          <w:bCs/>
          <w:color w:val="202122"/>
          <w:sz w:val="24"/>
          <w:szCs w:val="24"/>
          <w:shd w:val="clear" w:color="auto" w:fill="FFFFFF"/>
        </w:rPr>
        <w:t xml:space="preserve">, </w:t>
      </w:r>
      <w:r w:rsidRPr="00741EE5">
        <w:rPr>
          <w:rFonts w:ascii="Times New Roman" w:hAnsi="Times New Roman" w:cs="Times New Roman"/>
          <w:color w:val="202122"/>
          <w:sz w:val="24"/>
          <w:szCs w:val="24"/>
        </w:rPr>
        <w:t xml:space="preserve">in </w:t>
      </w:r>
      <w:r w:rsidRPr="00741EE5">
        <w:rPr>
          <w:rFonts w:ascii="Times New Roman" w:hAnsi="Times New Roman" w:cs="Times New Roman"/>
          <w:i/>
          <w:color w:val="202122"/>
          <w:sz w:val="24"/>
          <w:szCs w:val="24"/>
        </w:rPr>
        <w:t>Enciclopedia cattolica</w:t>
      </w:r>
      <w:r w:rsidRPr="00741EE5">
        <w:rPr>
          <w:rFonts w:ascii="Times New Roman" w:hAnsi="Times New Roman" w:cs="Times New Roman"/>
          <w:color w:val="202122"/>
          <w:sz w:val="24"/>
          <w:szCs w:val="24"/>
        </w:rPr>
        <w:t>, Vol. 12, 1948, p.1422.</w:t>
      </w:r>
    </w:p>
  </w:footnote>
  <w:footnote w:id="188">
    <w:p w14:paraId="5433E68D" w14:textId="7C127300" w:rsidR="00F202D0" w:rsidRPr="00741EE5" w:rsidRDefault="00F202D0" w:rsidP="00383122">
      <w:pPr>
        <w:pStyle w:val="Testonotaapidipagina"/>
        <w:rPr>
          <w:sz w:val="24"/>
          <w:szCs w:val="24"/>
        </w:rPr>
      </w:pPr>
      <w:r>
        <w:rPr>
          <w:rStyle w:val="Rimandonotaapidipagina"/>
        </w:rPr>
        <w:footnoteRef/>
      </w:r>
      <w:r>
        <w:t xml:space="preserve"> </w:t>
      </w:r>
      <w:r w:rsidRPr="00741EE5">
        <w:rPr>
          <w:rFonts w:ascii="Times New Roman" w:hAnsi="Times New Roman" w:cs="Times New Roman"/>
          <w:sz w:val="24"/>
          <w:szCs w:val="24"/>
        </w:rPr>
        <w:t>P.</w:t>
      </w:r>
      <w:r>
        <w:rPr>
          <w:rFonts w:ascii="Times New Roman" w:hAnsi="Times New Roman" w:cs="Times New Roman"/>
          <w:sz w:val="24"/>
          <w:szCs w:val="24"/>
        </w:rPr>
        <w:t xml:space="preserve"> </w:t>
      </w:r>
      <w:r w:rsidRPr="00741EE5">
        <w:rPr>
          <w:rFonts w:ascii="Times New Roman" w:hAnsi="Times New Roman" w:cs="Times New Roman"/>
          <w:sz w:val="24"/>
          <w:szCs w:val="24"/>
        </w:rPr>
        <w:t xml:space="preserve">Borgna, </w:t>
      </w:r>
      <w:r w:rsidRPr="00741EE5">
        <w:rPr>
          <w:rFonts w:ascii="Times New Roman" w:hAnsi="Times New Roman" w:cs="Times New Roman"/>
          <w:bCs/>
          <w:i/>
          <w:color w:val="202122"/>
          <w:sz w:val="24"/>
          <w:szCs w:val="24"/>
          <w:shd w:val="clear" w:color="auto" w:fill="FFFFFF"/>
        </w:rPr>
        <w:t>Tiruchirapalli</w:t>
      </w:r>
      <w:r w:rsidRPr="00741EE5">
        <w:rPr>
          <w:rFonts w:ascii="Times New Roman" w:hAnsi="Times New Roman" w:cs="Times New Roman"/>
          <w:bCs/>
          <w:color w:val="202122"/>
          <w:sz w:val="24"/>
          <w:szCs w:val="24"/>
          <w:shd w:val="clear" w:color="auto" w:fill="FFFFFF"/>
        </w:rPr>
        <w:t xml:space="preserve">, </w:t>
      </w:r>
      <w:r w:rsidRPr="00741EE5">
        <w:rPr>
          <w:rFonts w:ascii="Times New Roman" w:hAnsi="Times New Roman" w:cs="Times New Roman"/>
          <w:color w:val="202122"/>
          <w:sz w:val="24"/>
          <w:szCs w:val="24"/>
        </w:rPr>
        <w:t xml:space="preserve">in </w:t>
      </w:r>
      <w:r w:rsidRPr="00741EE5">
        <w:rPr>
          <w:rFonts w:ascii="Times New Roman" w:hAnsi="Times New Roman" w:cs="Times New Roman"/>
          <w:i/>
          <w:color w:val="202122"/>
          <w:sz w:val="24"/>
          <w:szCs w:val="24"/>
        </w:rPr>
        <w:t>Enciclopedia cattolica</w:t>
      </w:r>
      <w:r w:rsidRPr="00741EE5">
        <w:rPr>
          <w:rFonts w:ascii="Times New Roman" w:hAnsi="Times New Roman" w:cs="Times New Roman"/>
          <w:color w:val="202122"/>
          <w:sz w:val="24"/>
          <w:szCs w:val="24"/>
        </w:rPr>
        <w:t>, Vol. 12, 1948, p. 140.</w:t>
      </w:r>
    </w:p>
  </w:footnote>
  <w:footnote w:id="189">
    <w:p w14:paraId="662092BA" w14:textId="77777777" w:rsidR="00F202D0" w:rsidRPr="009F6837" w:rsidRDefault="00F202D0">
      <w:pPr>
        <w:pStyle w:val="Testonotaapidipagina"/>
        <w:rPr>
          <w:rFonts w:ascii="Times New Roman" w:hAnsi="Times New Roman" w:cs="Times New Roman"/>
          <w:sz w:val="24"/>
          <w:szCs w:val="24"/>
        </w:rPr>
      </w:pPr>
      <w:r w:rsidRPr="00741EE5">
        <w:rPr>
          <w:rStyle w:val="Rimandonotaapidipagina"/>
          <w:rFonts w:ascii="Times New Roman" w:hAnsi="Times New Roman" w:cs="Times New Roman"/>
          <w:sz w:val="24"/>
          <w:szCs w:val="24"/>
        </w:rPr>
        <w:footnoteRef/>
      </w:r>
      <w:r w:rsidRPr="00741EE5">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741EE5">
        <w:rPr>
          <w:rFonts w:ascii="Times New Roman" w:hAnsi="Times New Roman" w:cs="Times New Roman"/>
          <w:sz w:val="24"/>
          <w:szCs w:val="24"/>
        </w:rPr>
        <w:t xml:space="preserve">Borgna, </w:t>
      </w:r>
      <w:r w:rsidRPr="00741EE5">
        <w:rPr>
          <w:rFonts w:ascii="Times New Roman" w:hAnsi="Times New Roman" w:cs="Times New Roman"/>
          <w:i/>
          <w:color w:val="202122"/>
          <w:sz w:val="24"/>
          <w:szCs w:val="24"/>
        </w:rPr>
        <w:t>Visakhapatnam</w:t>
      </w:r>
      <w:r w:rsidRPr="00741EE5">
        <w:rPr>
          <w:rFonts w:ascii="Times New Roman" w:hAnsi="Times New Roman" w:cs="Times New Roman"/>
          <w:color w:val="202122"/>
          <w:sz w:val="24"/>
          <w:szCs w:val="24"/>
        </w:rPr>
        <w:t xml:space="preserve">, in </w:t>
      </w:r>
      <w:r w:rsidRPr="00741EE5">
        <w:rPr>
          <w:rFonts w:ascii="Times New Roman" w:hAnsi="Times New Roman" w:cs="Times New Roman"/>
          <w:i/>
          <w:color w:val="202122"/>
          <w:sz w:val="24"/>
          <w:szCs w:val="24"/>
        </w:rPr>
        <w:t>Enciclopedia cattolica</w:t>
      </w:r>
      <w:r w:rsidRPr="00741EE5">
        <w:rPr>
          <w:rFonts w:ascii="Times New Roman" w:hAnsi="Times New Roman" w:cs="Times New Roman"/>
          <w:color w:val="202122"/>
          <w:sz w:val="24"/>
          <w:szCs w:val="24"/>
        </w:rPr>
        <w:t>, Vol. 12, 1948, p. 1474.</w:t>
      </w:r>
    </w:p>
  </w:footnote>
  <w:footnote w:id="190">
    <w:p w14:paraId="0AA9CBCE" w14:textId="77777777" w:rsidR="00F202D0" w:rsidRDefault="00F202D0" w:rsidP="00383122">
      <w:pPr>
        <w:pStyle w:val="Testonotaapidipagina"/>
      </w:pPr>
      <w:r>
        <w:rPr>
          <w:rStyle w:val="Rimandonotaapidipagina"/>
        </w:rPr>
        <w:footnoteRef/>
      </w:r>
      <w:r>
        <w:t xml:space="preserve"> </w:t>
      </w:r>
      <w:r w:rsidRPr="00CE5DD2">
        <w:rPr>
          <w:rFonts w:ascii="Times New Roman" w:hAnsi="Times New Roman" w:cs="Times New Roman"/>
          <w:sz w:val="24"/>
          <w:szCs w:val="24"/>
        </w:rPr>
        <w:t>P.</w:t>
      </w:r>
      <w:r>
        <w:rPr>
          <w:rFonts w:ascii="Times New Roman" w:hAnsi="Times New Roman" w:cs="Times New Roman"/>
          <w:sz w:val="24"/>
          <w:szCs w:val="24"/>
        </w:rPr>
        <w:t xml:space="preserve"> </w:t>
      </w:r>
      <w:r w:rsidRPr="00CE5DD2">
        <w:rPr>
          <w:rFonts w:ascii="Times New Roman" w:hAnsi="Times New Roman" w:cs="Times New Roman"/>
          <w:sz w:val="24"/>
          <w:szCs w:val="24"/>
        </w:rPr>
        <w:t>Borgna,</w:t>
      </w:r>
      <w:r>
        <w:rPr>
          <w:rFonts w:ascii="Times New Roman" w:hAnsi="Times New Roman" w:cs="Times New Roman"/>
          <w:sz w:val="24"/>
          <w:szCs w:val="24"/>
        </w:rPr>
        <w:t xml:space="preserve"> </w:t>
      </w:r>
      <w:r w:rsidRPr="00A02A3E">
        <w:rPr>
          <w:rFonts w:ascii="Times New Roman" w:hAnsi="Times New Roman" w:cs="Times New Roman"/>
          <w:i/>
          <w:sz w:val="24"/>
          <w:szCs w:val="24"/>
        </w:rPr>
        <w:t>Sambalpur</w:t>
      </w:r>
      <w:r>
        <w:rPr>
          <w:rFonts w:ascii="Times New Roman" w:hAnsi="Times New Roman" w:cs="Times New Roman"/>
          <w:sz w:val="24"/>
          <w:szCs w:val="24"/>
        </w:rPr>
        <w:t xml:space="preserve">, in </w:t>
      </w:r>
      <w:r w:rsidRPr="00A02A3E">
        <w:rPr>
          <w:rFonts w:ascii="Times New Roman" w:hAnsi="Times New Roman" w:cs="Times New Roman"/>
          <w:i/>
          <w:sz w:val="24"/>
          <w:szCs w:val="24"/>
        </w:rPr>
        <w:t>Enciclopedia cattolica</w:t>
      </w:r>
      <w:r>
        <w:rPr>
          <w:rFonts w:ascii="Times New Roman" w:hAnsi="Times New Roman" w:cs="Times New Roman"/>
          <w:sz w:val="24"/>
          <w:szCs w:val="24"/>
        </w:rPr>
        <w:t>, Vol. 10, 1948, p. 1740.</w:t>
      </w:r>
    </w:p>
  </w:footnote>
  <w:footnote w:id="191">
    <w:p w14:paraId="2EFC5655" w14:textId="77777777" w:rsidR="00F202D0" w:rsidRDefault="00F202D0" w:rsidP="00383122">
      <w:pPr>
        <w:pStyle w:val="Testonotaapidipagina"/>
      </w:pPr>
      <w:r>
        <w:rPr>
          <w:rStyle w:val="Rimandonotaapidipagina"/>
        </w:rPr>
        <w:footnoteRef/>
      </w:r>
      <w:r>
        <w:t xml:space="preserve"> </w:t>
      </w:r>
      <w:r w:rsidRPr="00513C8A">
        <w:rPr>
          <w:rFonts w:ascii="Times New Roman" w:hAnsi="Times New Roman" w:cs="Times New Roman"/>
          <w:i/>
          <w:sz w:val="24"/>
          <w:szCs w:val="24"/>
        </w:rPr>
        <w:t>Decretum: de finium mutatione</w:t>
      </w:r>
      <w:r w:rsidRPr="00513C8A">
        <w:rPr>
          <w:rFonts w:ascii="Times New Roman" w:hAnsi="Times New Roman" w:cs="Times New Roman"/>
          <w:sz w:val="24"/>
          <w:szCs w:val="24"/>
        </w:rPr>
        <w:t>, in AAS50-1958, 8 novembre 1957, p. 178.</w:t>
      </w:r>
    </w:p>
  </w:footnote>
  <w:footnote w:id="192">
    <w:p w14:paraId="2188D312" w14:textId="77777777" w:rsidR="00F202D0"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sidRPr="00CE5DD2">
        <w:rPr>
          <w:rFonts w:ascii="Times New Roman" w:hAnsi="Times New Roman" w:cs="Times New Roman"/>
          <w:sz w:val="24"/>
          <w:szCs w:val="24"/>
        </w:rPr>
        <w:t>P.</w:t>
      </w:r>
      <w:r>
        <w:rPr>
          <w:rFonts w:ascii="Times New Roman" w:hAnsi="Times New Roman" w:cs="Times New Roman"/>
          <w:sz w:val="24"/>
          <w:szCs w:val="24"/>
        </w:rPr>
        <w:t xml:space="preserve"> </w:t>
      </w:r>
      <w:r w:rsidRPr="00CE5DD2">
        <w:rPr>
          <w:rFonts w:ascii="Times New Roman" w:hAnsi="Times New Roman" w:cs="Times New Roman"/>
          <w:sz w:val="24"/>
          <w:szCs w:val="24"/>
        </w:rPr>
        <w:t>Borgna</w:t>
      </w:r>
      <w:r w:rsidRPr="009853CA">
        <w:rPr>
          <w:rFonts w:ascii="Times New Roman" w:hAnsi="Times New Roman" w:cs="Times New Roman"/>
          <w:i/>
          <w:sz w:val="24"/>
          <w:szCs w:val="24"/>
        </w:rPr>
        <w:t>, Nellore</w:t>
      </w:r>
      <w:r>
        <w:rPr>
          <w:rFonts w:ascii="Times New Roman" w:hAnsi="Times New Roman" w:cs="Times New Roman"/>
          <w:sz w:val="24"/>
          <w:szCs w:val="24"/>
        </w:rPr>
        <w:t xml:space="preserve">, in </w:t>
      </w:r>
      <w:r w:rsidRPr="00A02A3E">
        <w:rPr>
          <w:rFonts w:ascii="Times New Roman" w:hAnsi="Times New Roman" w:cs="Times New Roman"/>
          <w:i/>
          <w:sz w:val="24"/>
          <w:szCs w:val="24"/>
        </w:rPr>
        <w:t>Enciclopedia cattolica</w:t>
      </w:r>
      <w:r>
        <w:rPr>
          <w:rFonts w:ascii="Times New Roman" w:hAnsi="Times New Roman" w:cs="Times New Roman"/>
          <w:sz w:val="24"/>
          <w:szCs w:val="24"/>
        </w:rPr>
        <w:t xml:space="preserve">, Vol.8, 1948, p.1736; </w:t>
      </w:r>
    </w:p>
    <w:p w14:paraId="19162B5D" w14:textId="77777777" w:rsidR="00F202D0" w:rsidRPr="008324EB" w:rsidRDefault="00F202D0" w:rsidP="00383122">
      <w:pPr>
        <w:pStyle w:val="Testonotaapidipagina"/>
        <w:rPr>
          <w:rFonts w:ascii="Times New Roman" w:hAnsi="Times New Roman" w:cs="Times New Roman"/>
          <w:sz w:val="24"/>
          <w:szCs w:val="24"/>
        </w:rPr>
      </w:pPr>
      <w:r>
        <w:rPr>
          <w:rFonts w:ascii="Times New Roman" w:hAnsi="Times New Roman" w:cs="Times New Roman"/>
          <w:sz w:val="24"/>
          <w:szCs w:val="24"/>
        </w:rPr>
        <w:t xml:space="preserve">   </w:t>
      </w:r>
      <w:r w:rsidRPr="008324EB">
        <w:rPr>
          <w:rFonts w:ascii="Times New Roman" w:hAnsi="Times New Roman" w:cs="Times New Roman"/>
          <w:sz w:val="24"/>
          <w:szCs w:val="24"/>
        </w:rPr>
        <w:t>P.</w:t>
      </w:r>
      <w:r>
        <w:rPr>
          <w:rFonts w:ascii="Times New Roman" w:hAnsi="Times New Roman" w:cs="Times New Roman"/>
          <w:sz w:val="24"/>
          <w:szCs w:val="24"/>
        </w:rPr>
        <w:t xml:space="preserve"> </w:t>
      </w:r>
      <w:r w:rsidRPr="008324EB">
        <w:rPr>
          <w:rFonts w:ascii="Times New Roman" w:hAnsi="Times New Roman" w:cs="Times New Roman"/>
          <w:sz w:val="24"/>
          <w:szCs w:val="24"/>
        </w:rPr>
        <w:t xml:space="preserve">Borgna, </w:t>
      </w:r>
      <w:r w:rsidRPr="008324EB">
        <w:rPr>
          <w:rFonts w:ascii="Times New Roman" w:hAnsi="Times New Roman" w:cs="Times New Roman"/>
          <w:i/>
          <w:color w:val="202122"/>
          <w:sz w:val="24"/>
          <w:szCs w:val="24"/>
          <w:shd w:val="clear" w:color="auto" w:fill="FFFFFF"/>
        </w:rPr>
        <w:t>Hyderabad</w:t>
      </w:r>
      <w:r w:rsidRPr="008324EB">
        <w:rPr>
          <w:rFonts w:ascii="Times New Roman" w:hAnsi="Times New Roman" w:cs="Times New Roman"/>
          <w:color w:val="202122"/>
          <w:sz w:val="24"/>
          <w:szCs w:val="24"/>
          <w:shd w:val="clear" w:color="auto" w:fill="FFFFFF"/>
        </w:rPr>
        <w:t xml:space="preserve">, in </w:t>
      </w:r>
      <w:r w:rsidRPr="008324EB">
        <w:rPr>
          <w:rFonts w:ascii="Times New Roman" w:hAnsi="Times New Roman" w:cs="Times New Roman"/>
          <w:i/>
          <w:sz w:val="24"/>
          <w:szCs w:val="24"/>
        </w:rPr>
        <w:t>Enciclopedia cattolica</w:t>
      </w:r>
      <w:r w:rsidRPr="008324EB">
        <w:rPr>
          <w:rFonts w:ascii="Times New Roman" w:hAnsi="Times New Roman" w:cs="Times New Roman"/>
          <w:sz w:val="24"/>
          <w:szCs w:val="24"/>
        </w:rPr>
        <w:t>, Vol.6, 1948, p. 1520.</w:t>
      </w:r>
    </w:p>
    <w:p w14:paraId="028A4FC1" w14:textId="77777777" w:rsidR="00F202D0" w:rsidRDefault="00F202D0" w:rsidP="00383122">
      <w:pPr>
        <w:pStyle w:val="Testonotaapidipagina"/>
      </w:pPr>
    </w:p>
  </w:footnote>
  <w:footnote w:id="193">
    <w:p w14:paraId="0F223EBD" w14:textId="77777777" w:rsidR="00F202D0" w:rsidRDefault="00F202D0" w:rsidP="00383122">
      <w:pPr>
        <w:pStyle w:val="Testonotaapidipagina"/>
      </w:pPr>
      <w:r>
        <w:rPr>
          <w:rStyle w:val="Rimandonotaapidipagina"/>
        </w:rPr>
        <w:footnoteRef/>
      </w:r>
      <w:r>
        <w:t xml:space="preserve"> </w:t>
      </w:r>
      <w:r w:rsidRPr="000A0487">
        <w:rPr>
          <w:rFonts w:ascii="Times New Roman" w:hAnsi="Times New Roman" w:cs="Times New Roman"/>
          <w:i/>
          <w:sz w:val="24"/>
          <w:szCs w:val="24"/>
        </w:rPr>
        <w:t>Decretum: de mutatione finium dioecesium</w:t>
      </w:r>
      <w:r w:rsidRPr="000A0487">
        <w:rPr>
          <w:rFonts w:ascii="Times New Roman" w:hAnsi="Times New Roman" w:cs="Times New Roman"/>
          <w:sz w:val="24"/>
          <w:szCs w:val="24"/>
        </w:rPr>
        <w:t>,</w:t>
      </w:r>
      <w:r>
        <w:rPr>
          <w:rFonts w:ascii="Times New Roman" w:hAnsi="Times New Roman" w:cs="Times New Roman"/>
          <w:sz w:val="24"/>
          <w:szCs w:val="24"/>
        </w:rPr>
        <w:t xml:space="preserve"> </w:t>
      </w:r>
      <w:r w:rsidRPr="000A0487">
        <w:rPr>
          <w:rFonts w:ascii="Times New Roman" w:hAnsi="Times New Roman" w:cs="Times New Roman"/>
          <w:sz w:val="24"/>
          <w:szCs w:val="24"/>
        </w:rPr>
        <w:t xml:space="preserve">in AAS51-1959, </w:t>
      </w:r>
      <w:r>
        <w:rPr>
          <w:rFonts w:ascii="Times New Roman" w:hAnsi="Times New Roman" w:cs="Times New Roman"/>
          <w:sz w:val="24"/>
          <w:szCs w:val="24"/>
        </w:rPr>
        <w:t>3 luglio 1959, p. 654.</w:t>
      </w:r>
    </w:p>
  </w:footnote>
  <w:footnote w:id="194">
    <w:p w14:paraId="2FCD7ECD" w14:textId="77777777" w:rsidR="00F202D0" w:rsidRDefault="00F202D0">
      <w:pPr>
        <w:pStyle w:val="Testonotaapidipagina"/>
      </w:pPr>
      <w:r>
        <w:rPr>
          <w:rStyle w:val="Rimandonotaapidipagina"/>
        </w:rPr>
        <w:footnoteRef/>
      </w:r>
      <w:r>
        <w:t xml:space="preserve"> </w:t>
      </w:r>
      <w:r w:rsidRPr="000C7520">
        <w:rPr>
          <w:rFonts w:ascii="Times New Roman" w:hAnsi="Times New Roman" w:cs="Times New Roman"/>
          <w:i/>
          <w:sz w:val="24"/>
          <w:szCs w:val="24"/>
        </w:rPr>
        <w:t>Decretum: De Provinciae Ecclesiasticae mutatione</w:t>
      </w:r>
      <w:r w:rsidRPr="000C7520">
        <w:rPr>
          <w:rFonts w:ascii="Times New Roman" w:hAnsi="Times New Roman" w:cs="Times New Roman"/>
          <w:sz w:val="24"/>
          <w:szCs w:val="24"/>
        </w:rPr>
        <w:t xml:space="preserve">, in AAS54-1962, </w:t>
      </w:r>
      <w:r>
        <w:rPr>
          <w:rFonts w:ascii="Times New Roman" w:hAnsi="Times New Roman" w:cs="Times New Roman"/>
          <w:sz w:val="24"/>
          <w:szCs w:val="24"/>
        </w:rPr>
        <w:t xml:space="preserve">27 marzo 1962, p. </w:t>
      </w:r>
      <w:r w:rsidRPr="000C7520">
        <w:rPr>
          <w:rFonts w:ascii="Times New Roman" w:hAnsi="Times New Roman" w:cs="Times New Roman"/>
          <w:sz w:val="24"/>
          <w:szCs w:val="24"/>
        </w:rPr>
        <w:t>226</w:t>
      </w:r>
      <w:r>
        <w:rPr>
          <w:rFonts w:ascii="Times New Roman" w:hAnsi="Times New Roman" w:cs="Times New Roman"/>
          <w:sz w:val="24"/>
          <w:szCs w:val="24"/>
        </w:rPr>
        <w:t>.</w:t>
      </w:r>
    </w:p>
  </w:footnote>
  <w:footnote w:id="195">
    <w:p w14:paraId="79865A68" w14:textId="77777777" w:rsidR="00F202D0" w:rsidRDefault="00F202D0">
      <w:pPr>
        <w:pStyle w:val="Testonotaapidipagina"/>
      </w:pPr>
      <w:r>
        <w:rPr>
          <w:rStyle w:val="Rimandonotaapidipagina"/>
        </w:rPr>
        <w:footnoteRef/>
      </w:r>
      <w:r>
        <w:t xml:space="preserve"> </w:t>
      </w:r>
      <w:r w:rsidRPr="0055576F">
        <w:rPr>
          <w:rFonts w:ascii="Times New Roman" w:hAnsi="Times New Roman" w:cs="Times New Roman"/>
          <w:sz w:val="24"/>
          <w:szCs w:val="24"/>
        </w:rPr>
        <w:t>Vedi figura 8 in Appendice.</w:t>
      </w:r>
    </w:p>
  </w:footnote>
  <w:footnote w:id="196">
    <w:p w14:paraId="3247431D" w14:textId="77777777" w:rsidR="00F202D0" w:rsidRDefault="00F202D0" w:rsidP="00383122">
      <w:pPr>
        <w:pStyle w:val="Testonotaapidipagina"/>
      </w:pPr>
      <w:r>
        <w:rPr>
          <w:rStyle w:val="Rimandonotaapidipagina"/>
        </w:rPr>
        <w:footnoteRef/>
      </w:r>
      <w:r>
        <w:t xml:space="preserve"> </w:t>
      </w:r>
      <w:r w:rsidRPr="00741EE5">
        <w:rPr>
          <w:rFonts w:ascii="Times New Roman" w:hAnsi="Times New Roman" w:cs="Times New Roman"/>
          <w:sz w:val="24"/>
          <w:szCs w:val="24"/>
        </w:rPr>
        <w:t>P.</w:t>
      </w:r>
      <w:r>
        <w:rPr>
          <w:rFonts w:ascii="Times New Roman" w:hAnsi="Times New Roman" w:cs="Times New Roman"/>
          <w:sz w:val="24"/>
          <w:szCs w:val="24"/>
        </w:rPr>
        <w:t xml:space="preserve"> </w:t>
      </w:r>
      <w:r w:rsidRPr="00741EE5">
        <w:rPr>
          <w:rFonts w:ascii="Times New Roman" w:hAnsi="Times New Roman" w:cs="Times New Roman"/>
          <w:sz w:val="24"/>
          <w:szCs w:val="24"/>
        </w:rPr>
        <w:t>Borgna,</w:t>
      </w:r>
      <w:r>
        <w:rPr>
          <w:rFonts w:ascii="Times New Roman" w:hAnsi="Times New Roman" w:cs="Times New Roman"/>
          <w:sz w:val="24"/>
          <w:szCs w:val="24"/>
        </w:rPr>
        <w:t xml:space="preserve"> </w:t>
      </w:r>
      <w:r w:rsidRPr="003306EF">
        <w:rPr>
          <w:rFonts w:ascii="Times New Roman" w:hAnsi="Times New Roman" w:cs="Times New Roman"/>
          <w:i/>
          <w:sz w:val="24"/>
          <w:szCs w:val="24"/>
        </w:rPr>
        <w:t>Jubbulpore</w:t>
      </w:r>
      <w:r>
        <w:rPr>
          <w:rFonts w:ascii="Times New Roman" w:hAnsi="Times New Roman" w:cs="Times New Roman"/>
          <w:sz w:val="24"/>
          <w:szCs w:val="24"/>
        </w:rPr>
        <w:t xml:space="preserve">, in </w:t>
      </w:r>
      <w:r w:rsidRPr="003306EF">
        <w:rPr>
          <w:rFonts w:ascii="Times New Roman" w:hAnsi="Times New Roman" w:cs="Times New Roman"/>
          <w:i/>
          <w:sz w:val="24"/>
          <w:szCs w:val="24"/>
        </w:rPr>
        <w:t>Enciclopedia cattolica</w:t>
      </w:r>
      <w:r>
        <w:rPr>
          <w:rFonts w:ascii="Times New Roman" w:hAnsi="Times New Roman" w:cs="Times New Roman"/>
          <w:sz w:val="24"/>
          <w:szCs w:val="24"/>
        </w:rPr>
        <w:t>, Vol. 7, 1948, p. 544.</w:t>
      </w:r>
    </w:p>
  </w:footnote>
  <w:footnote w:id="197">
    <w:p w14:paraId="72E688C6" w14:textId="77777777" w:rsidR="00F202D0" w:rsidRPr="00CE5DD2" w:rsidRDefault="00F202D0" w:rsidP="00383122">
      <w:pPr>
        <w:rPr>
          <w:rFonts w:ascii="Times New Roman" w:hAnsi="Times New Roman" w:cs="Times New Roman"/>
          <w:sz w:val="24"/>
          <w:szCs w:val="24"/>
        </w:rPr>
      </w:pPr>
      <w:r>
        <w:rPr>
          <w:rStyle w:val="Rimandonotaapidipagina"/>
        </w:rPr>
        <w:footnoteRef/>
      </w:r>
      <w:r>
        <w:t xml:space="preserve"> </w:t>
      </w:r>
      <w:r w:rsidRPr="00D97CA5">
        <w:rPr>
          <w:rFonts w:ascii="Times New Roman" w:hAnsi="Times New Roman" w:cs="Times New Roman"/>
          <w:i/>
          <w:sz w:val="24"/>
          <w:szCs w:val="24"/>
        </w:rPr>
        <w:t>Decretum: de mutatione finium akchidioecesium</w:t>
      </w:r>
      <w:r w:rsidRPr="00D97CA5">
        <w:rPr>
          <w:rFonts w:ascii="Times New Roman" w:hAnsi="Times New Roman" w:cs="Times New Roman"/>
          <w:sz w:val="24"/>
          <w:szCs w:val="24"/>
        </w:rPr>
        <w:t>, in AAS43-1951, 8 febbraio 1951, p. 384.</w:t>
      </w:r>
    </w:p>
  </w:footnote>
  <w:footnote w:id="198">
    <w:p w14:paraId="1119FA96" w14:textId="77777777" w:rsidR="00F202D0" w:rsidRPr="00CE5DD2" w:rsidRDefault="00F202D0" w:rsidP="00383122">
      <w:pPr>
        <w:pStyle w:val="Testonotaapidipagina"/>
        <w:rPr>
          <w:sz w:val="24"/>
          <w:szCs w:val="24"/>
        </w:rPr>
      </w:pPr>
      <w:r>
        <w:rPr>
          <w:rStyle w:val="Rimandonotaapidipagina"/>
        </w:rPr>
        <w:footnoteRef/>
      </w:r>
      <w:r>
        <w:t xml:space="preserve"> </w:t>
      </w:r>
      <w:r w:rsidRPr="00CE5DD2">
        <w:rPr>
          <w:rFonts w:ascii="Times New Roman" w:hAnsi="Times New Roman" w:cs="Times New Roman"/>
          <w:sz w:val="24"/>
          <w:szCs w:val="24"/>
        </w:rPr>
        <w:t>P.</w:t>
      </w:r>
      <w:r>
        <w:rPr>
          <w:rFonts w:ascii="Times New Roman" w:hAnsi="Times New Roman" w:cs="Times New Roman"/>
          <w:sz w:val="24"/>
          <w:szCs w:val="24"/>
        </w:rPr>
        <w:t xml:space="preserve"> </w:t>
      </w:r>
      <w:r w:rsidRPr="00CE5DD2">
        <w:rPr>
          <w:rFonts w:ascii="Times New Roman" w:hAnsi="Times New Roman" w:cs="Times New Roman"/>
          <w:sz w:val="24"/>
          <w:szCs w:val="24"/>
        </w:rPr>
        <w:t xml:space="preserve">Borgna, </w:t>
      </w:r>
      <w:r w:rsidRPr="00CE5DD2">
        <w:rPr>
          <w:rFonts w:ascii="Times New Roman" w:hAnsi="Times New Roman" w:cs="Times New Roman"/>
          <w:bCs/>
          <w:i/>
          <w:color w:val="202122"/>
          <w:sz w:val="24"/>
          <w:szCs w:val="24"/>
          <w:shd w:val="clear" w:color="auto" w:fill="FFFFFF"/>
        </w:rPr>
        <w:t>Pondicherry,</w:t>
      </w:r>
      <w:r w:rsidRPr="00CE5DD2">
        <w:rPr>
          <w:rFonts w:ascii="Times New Roman" w:hAnsi="Times New Roman" w:cs="Times New Roman"/>
          <w:bCs/>
          <w:color w:val="202122"/>
          <w:sz w:val="24"/>
          <w:szCs w:val="24"/>
          <w:shd w:val="clear" w:color="auto" w:fill="FFFFFF"/>
        </w:rPr>
        <w:t xml:space="preserve"> in </w:t>
      </w:r>
      <w:r w:rsidRPr="00CE5DD2">
        <w:rPr>
          <w:rFonts w:ascii="Times New Roman" w:hAnsi="Times New Roman" w:cs="Times New Roman"/>
          <w:i/>
          <w:sz w:val="24"/>
          <w:szCs w:val="24"/>
        </w:rPr>
        <w:t>Enciclopedia cattolica</w:t>
      </w:r>
      <w:r w:rsidRPr="00CE5DD2">
        <w:rPr>
          <w:rFonts w:ascii="Times New Roman" w:hAnsi="Times New Roman" w:cs="Times New Roman"/>
          <w:sz w:val="24"/>
          <w:szCs w:val="24"/>
        </w:rPr>
        <w:t>, Vol. 9, 1948, p. 1738.</w:t>
      </w:r>
    </w:p>
  </w:footnote>
  <w:footnote w:id="199">
    <w:p w14:paraId="2CAEFA46" w14:textId="77777777" w:rsidR="00F202D0" w:rsidRDefault="00F202D0">
      <w:pPr>
        <w:pStyle w:val="Testonotaapidipagina"/>
      </w:pPr>
      <w:r>
        <w:rPr>
          <w:rStyle w:val="Rimandonotaapidipagina"/>
        </w:rPr>
        <w:footnoteRef/>
      </w:r>
      <w:r>
        <w:t xml:space="preserve"> </w:t>
      </w:r>
      <w:r w:rsidRPr="00C848BD">
        <w:rPr>
          <w:rFonts w:ascii="Times New Roman" w:hAnsi="Times New Roman" w:cs="Times New Roman"/>
          <w:sz w:val="24"/>
          <w:szCs w:val="24"/>
        </w:rPr>
        <w:t>G.</w:t>
      </w:r>
      <w:r>
        <w:rPr>
          <w:rFonts w:ascii="Times New Roman" w:hAnsi="Times New Roman" w:cs="Times New Roman"/>
          <w:sz w:val="24"/>
          <w:szCs w:val="24"/>
        </w:rPr>
        <w:t xml:space="preserve"> </w:t>
      </w:r>
      <w:r w:rsidRPr="00C848BD">
        <w:rPr>
          <w:rFonts w:ascii="Times New Roman" w:hAnsi="Times New Roman" w:cs="Times New Roman"/>
          <w:sz w:val="24"/>
          <w:szCs w:val="24"/>
        </w:rPr>
        <w:t xml:space="preserve">Tragella, </w:t>
      </w:r>
      <w:r w:rsidRPr="00C848BD">
        <w:rPr>
          <w:rFonts w:ascii="Times New Roman" w:hAnsi="Times New Roman" w:cs="Times New Roman"/>
          <w:i/>
          <w:sz w:val="24"/>
          <w:szCs w:val="24"/>
        </w:rPr>
        <w:t>Calcutta</w:t>
      </w:r>
      <w:r w:rsidRPr="00C848BD">
        <w:rPr>
          <w:rFonts w:ascii="Times New Roman" w:hAnsi="Times New Roman" w:cs="Times New Roman"/>
          <w:sz w:val="24"/>
          <w:szCs w:val="24"/>
        </w:rPr>
        <w:t xml:space="preserve">, in </w:t>
      </w:r>
      <w:r w:rsidRPr="00C848BD">
        <w:rPr>
          <w:rFonts w:ascii="Times New Roman" w:hAnsi="Times New Roman" w:cs="Times New Roman"/>
          <w:i/>
          <w:sz w:val="24"/>
          <w:szCs w:val="24"/>
        </w:rPr>
        <w:t>Enciclopedia cattolica</w:t>
      </w:r>
      <w:r w:rsidRPr="00C848BD">
        <w:rPr>
          <w:rFonts w:ascii="Times New Roman" w:hAnsi="Times New Roman" w:cs="Times New Roman"/>
          <w:sz w:val="24"/>
          <w:szCs w:val="24"/>
        </w:rPr>
        <w:t>, Vol. 3, 1948, p. 332.</w:t>
      </w:r>
    </w:p>
  </w:footnote>
  <w:footnote w:id="200">
    <w:p w14:paraId="4FC42898" w14:textId="77777777" w:rsidR="00F202D0" w:rsidRDefault="00F202D0">
      <w:pPr>
        <w:pStyle w:val="Testonotaapidipagina"/>
      </w:pPr>
      <w:r>
        <w:rPr>
          <w:rStyle w:val="Rimandonotaapidipagina"/>
        </w:rPr>
        <w:footnoteRef/>
      </w:r>
      <w:r>
        <w:t xml:space="preserve"> </w:t>
      </w:r>
      <w:r w:rsidRPr="00513C8A">
        <w:rPr>
          <w:rFonts w:ascii="Times New Roman" w:hAnsi="Times New Roman" w:cs="Times New Roman"/>
          <w:i/>
          <w:sz w:val="24"/>
          <w:szCs w:val="24"/>
        </w:rPr>
        <w:t>Decretum: dismembrationis et unionis</w:t>
      </w:r>
      <w:r w:rsidRPr="00513C8A">
        <w:rPr>
          <w:rFonts w:ascii="Times New Roman" w:hAnsi="Times New Roman" w:cs="Times New Roman"/>
          <w:sz w:val="24"/>
          <w:szCs w:val="24"/>
        </w:rPr>
        <w:t>, in AAS47-1955, 20 maggio 1955, p. 789.</w:t>
      </w:r>
    </w:p>
  </w:footnote>
  <w:footnote w:id="201">
    <w:p w14:paraId="33562EE7" w14:textId="77777777" w:rsidR="00F202D0" w:rsidRPr="002A6219" w:rsidRDefault="00F202D0">
      <w:pPr>
        <w:pStyle w:val="Testonotaapidipagina"/>
        <w:rPr>
          <w:rFonts w:ascii="Times New Roman" w:hAnsi="Times New Roman" w:cs="Times New Roman"/>
          <w:sz w:val="24"/>
          <w:szCs w:val="24"/>
        </w:rPr>
      </w:pPr>
      <w:r>
        <w:rPr>
          <w:rStyle w:val="Rimandonotaapidipagina"/>
        </w:rPr>
        <w:footnoteRef/>
      </w:r>
      <w:r>
        <w:t xml:space="preserve"> </w:t>
      </w:r>
      <w:r w:rsidRPr="002A6219">
        <w:rPr>
          <w:rFonts w:ascii="Times New Roman" w:hAnsi="Times New Roman" w:cs="Times New Roman"/>
          <w:sz w:val="24"/>
          <w:szCs w:val="24"/>
        </w:rPr>
        <w:t>C.</w:t>
      </w:r>
      <w:r>
        <w:rPr>
          <w:rFonts w:ascii="Times New Roman" w:hAnsi="Times New Roman" w:cs="Times New Roman"/>
          <w:sz w:val="24"/>
          <w:szCs w:val="24"/>
        </w:rPr>
        <w:t xml:space="preserve"> </w:t>
      </w:r>
      <w:r w:rsidRPr="002A6219">
        <w:rPr>
          <w:rFonts w:ascii="Times New Roman" w:hAnsi="Times New Roman" w:cs="Times New Roman"/>
          <w:sz w:val="24"/>
          <w:szCs w:val="24"/>
        </w:rPr>
        <w:t xml:space="preserve">Morin, </w:t>
      </w:r>
      <w:r w:rsidRPr="002A6219">
        <w:rPr>
          <w:rFonts w:ascii="Times New Roman" w:hAnsi="Times New Roman" w:cs="Times New Roman"/>
          <w:i/>
          <w:sz w:val="24"/>
          <w:szCs w:val="24"/>
        </w:rPr>
        <w:t>Coccino</w:t>
      </w:r>
      <w:r w:rsidRPr="002A6219">
        <w:rPr>
          <w:rFonts w:ascii="Times New Roman" w:hAnsi="Times New Roman" w:cs="Times New Roman"/>
          <w:sz w:val="24"/>
          <w:szCs w:val="24"/>
        </w:rPr>
        <w:t xml:space="preserve">, in </w:t>
      </w:r>
      <w:r w:rsidRPr="002A6219">
        <w:rPr>
          <w:rFonts w:ascii="Times New Roman" w:hAnsi="Times New Roman" w:cs="Times New Roman"/>
          <w:i/>
          <w:sz w:val="24"/>
          <w:szCs w:val="24"/>
        </w:rPr>
        <w:t>Enciclopedia cattolica</w:t>
      </w:r>
      <w:r w:rsidRPr="002A6219">
        <w:rPr>
          <w:rFonts w:ascii="Times New Roman" w:hAnsi="Times New Roman" w:cs="Times New Roman"/>
          <w:sz w:val="24"/>
          <w:szCs w:val="24"/>
        </w:rPr>
        <w:t>, Vol. 3, 1948, p. 1904.</w:t>
      </w:r>
    </w:p>
  </w:footnote>
  <w:footnote w:id="202">
    <w:p w14:paraId="0C522C0A" w14:textId="77777777" w:rsidR="00F202D0"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sidRPr="00AC5AA9">
        <w:rPr>
          <w:rFonts w:ascii="Times New Roman" w:hAnsi="Times New Roman" w:cs="Times New Roman"/>
          <w:sz w:val="24"/>
          <w:szCs w:val="24"/>
        </w:rPr>
        <w:t>P.</w:t>
      </w:r>
      <w:r>
        <w:rPr>
          <w:rFonts w:ascii="Times New Roman" w:hAnsi="Times New Roman" w:cs="Times New Roman"/>
          <w:sz w:val="24"/>
          <w:szCs w:val="24"/>
        </w:rPr>
        <w:t xml:space="preserve"> </w:t>
      </w:r>
      <w:r w:rsidRPr="00AC5AA9">
        <w:rPr>
          <w:rFonts w:ascii="Times New Roman" w:hAnsi="Times New Roman" w:cs="Times New Roman"/>
          <w:sz w:val="24"/>
          <w:szCs w:val="24"/>
        </w:rPr>
        <w:t>Borgna,</w:t>
      </w:r>
      <w:r>
        <w:rPr>
          <w:rFonts w:ascii="Times New Roman" w:hAnsi="Times New Roman" w:cs="Times New Roman"/>
          <w:sz w:val="24"/>
          <w:szCs w:val="24"/>
        </w:rPr>
        <w:t xml:space="preserve"> </w:t>
      </w:r>
      <w:r w:rsidRPr="00513C8A">
        <w:rPr>
          <w:rFonts w:ascii="Times New Roman" w:hAnsi="Times New Roman" w:cs="Times New Roman"/>
          <w:i/>
          <w:iCs/>
          <w:sz w:val="24"/>
          <w:szCs w:val="24"/>
        </w:rPr>
        <w:t>Trivandrum</w:t>
      </w:r>
      <w:r>
        <w:rPr>
          <w:rFonts w:ascii="Times New Roman" w:hAnsi="Times New Roman" w:cs="Times New Roman"/>
          <w:sz w:val="24"/>
          <w:szCs w:val="24"/>
        </w:rPr>
        <w:t xml:space="preserve">, in </w:t>
      </w:r>
      <w:r w:rsidRPr="00AC5AA9">
        <w:rPr>
          <w:rFonts w:ascii="Times New Roman" w:hAnsi="Times New Roman" w:cs="Times New Roman"/>
          <w:i/>
          <w:sz w:val="24"/>
          <w:szCs w:val="24"/>
        </w:rPr>
        <w:t>Enciclopedia cattolica</w:t>
      </w:r>
      <w:r w:rsidRPr="00AC5AA9">
        <w:rPr>
          <w:rFonts w:ascii="Times New Roman" w:hAnsi="Times New Roman" w:cs="Times New Roman"/>
          <w:sz w:val="24"/>
          <w:szCs w:val="24"/>
        </w:rPr>
        <w:t>,</w:t>
      </w:r>
      <w:r>
        <w:rPr>
          <w:rFonts w:ascii="Times New Roman" w:hAnsi="Times New Roman" w:cs="Times New Roman"/>
          <w:sz w:val="24"/>
          <w:szCs w:val="24"/>
        </w:rPr>
        <w:t xml:space="preserve"> Vol.12, 1948, p. 558.</w:t>
      </w:r>
    </w:p>
    <w:p w14:paraId="4770201F" w14:textId="77777777" w:rsidR="00F202D0" w:rsidRDefault="00F202D0" w:rsidP="00383122">
      <w:pPr>
        <w:pStyle w:val="Testonotaapidipagina"/>
      </w:pPr>
    </w:p>
  </w:footnote>
  <w:footnote w:id="203">
    <w:p w14:paraId="338D30B6" w14:textId="77777777" w:rsidR="00F202D0" w:rsidRDefault="00F202D0" w:rsidP="00383122">
      <w:pPr>
        <w:pStyle w:val="Testonotaapidipagina"/>
      </w:pPr>
      <w:r>
        <w:rPr>
          <w:rStyle w:val="Rimandonotaapidipagina"/>
        </w:rPr>
        <w:footnoteRef/>
      </w:r>
      <w:r>
        <w:t xml:space="preserve"> </w:t>
      </w:r>
      <w:r w:rsidRPr="00AC5AA9">
        <w:rPr>
          <w:rFonts w:ascii="Times New Roman" w:hAnsi="Times New Roman" w:cs="Times New Roman"/>
          <w:sz w:val="24"/>
          <w:szCs w:val="24"/>
        </w:rPr>
        <w:t>P.</w:t>
      </w:r>
      <w:r>
        <w:rPr>
          <w:rFonts w:ascii="Times New Roman" w:hAnsi="Times New Roman" w:cs="Times New Roman"/>
          <w:sz w:val="24"/>
          <w:szCs w:val="24"/>
        </w:rPr>
        <w:t xml:space="preserve"> </w:t>
      </w:r>
      <w:r w:rsidRPr="00AC5AA9">
        <w:rPr>
          <w:rFonts w:ascii="Times New Roman" w:hAnsi="Times New Roman" w:cs="Times New Roman"/>
          <w:sz w:val="24"/>
          <w:szCs w:val="24"/>
        </w:rPr>
        <w:t>Borgna,</w:t>
      </w:r>
      <w:r>
        <w:rPr>
          <w:rFonts w:ascii="Times New Roman" w:hAnsi="Times New Roman" w:cs="Times New Roman"/>
          <w:sz w:val="24"/>
          <w:szCs w:val="24"/>
        </w:rPr>
        <w:t xml:space="preserve"> </w:t>
      </w:r>
      <w:r w:rsidRPr="007B1516">
        <w:rPr>
          <w:rFonts w:ascii="Times New Roman" w:hAnsi="Times New Roman" w:cs="Times New Roman"/>
          <w:i/>
          <w:sz w:val="24"/>
          <w:szCs w:val="24"/>
        </w:rPr>
        <w:t>Delhi e Simla</w:t>
      </w:r>
      <w:r>
        <w:rPr>
          <w:rFonts w:ascii="Times New Roman" w:hAnsi="Times New Roman" w:cs="Times New Roman"/>
          <w:sz w:val="24"/>
          <w:szCs w:val="24"/>
        </w:rPr>
        <w:t xml:space="preserve">, in </w:t>
      </w:r>
      <w:r w:rsidRPr="007B1516">
        <w:rPr>
          <w:rFonts w:ascii="Times New Roman" w:hAnsi="Times New Roman" w:cs="Times New Roman"/>
          <w:i/>
          <w:sz w:val="24"/>
          <w:szCs w:val="24"/>
        </w:rPr>
        <w:t>Enciclopedia cattolica</w:t>
      </w:r>
      <w:r>
        <w:rPr>
          <w:rFonts w:ascii="Times New Roman" w:hAnsi="Times New Roman" w:cs="Times New Roman"/>
          <w:sz w:val="24"/>
          <w:szCs w:val="24"/>
        </w:rPr>
        <w:t>, Vol. 4, 1948, p. 1360.</w:t>
      </w:r>
    </w:p>
  </w:footnote>
  <w:footnote w:id="204">
    <w:p w14:paraId="4A927BBA" w14:textId="77777777" w:rsidR="00F202D0" w:rsidRDefault="00F202D0" w:rsidP="00383122">
      <w:pPr>
        <w:pStyle w:val="Testonotaapidipagina"/>
      </w:pPr>
      <w:r>
        <w:rPr>
          <w:rStyle w:val="Rimandonotaapidipagina"/>
        </w:rPr>
        <w:footnoteRef/>
      </w:r>
      <w:r>
        <w:t xml:space="preserve"> </w:t>
      </w:r>
      <w:r w:rsidRPr="00513C8A">
        <w:rPr>
          <w:rFonts w:ascii="Times New Roman" w:hAnsi="Times New Roman" w:cs="Times New Roman"/>
          <w:i/>
          <w:sz w:val="24"/>
          <w:szCs w:val="24"/>
        </w:rPr>
        <w:t>Decretum: archidioecesis Delhiensis et simlensis deinceps (Delhiensis) tantum appellabitur</w:t>
      </w:r>
      <w:r w:rsidRPr="00513C8A">
        <w:rPr>
          <w:rFonts w:ascii="Times New Roman" w:hAnsi="Times New Roman" w:cs="Times New Roman"/>
          <w:sz w:val="24"/>
          <w:szCs w:val="24"/>
        </w:rPr>
        <w:t>, in AAS51-1959, 4 giugno 1959, p. 653.</w:t>
      </w:r>
    </w:p>
  </w:footnote>
  <w:footnote w:id="205">
    <w:p w14:paraId="70A15E97" w14:textId="77777777" w:rsidR="00F202D0" w:rsidRPr="00AC5AA9" w:rsidRDefault="00F202D0" w:rsidP="00383122">
      <w:pPr>
        <w:pStyle w:val="Testonotaapidipagina"/>
        <w:rPr>
          <w:sz w:val="24"/>
          <w:szCs w:val="24"/>
        </w:rPr>
      </w:pPr>
      <w:r>
        <w:rPr>
          <w:rStyle w:val="Rimandonotaapidipagina"/>
        </w:rPr>
        <w:footnoteRef/>
      </w:r>
      <w:r>
        <w:t xml:space="preserve"> </w:t>
      </w:r>
      <w:r w:rsidRPr="00AC5AA9">
        <w:rPr>
          <w:rFonts w:ascii="Times New Roman" w:hAnsi="Times New Roman" w:cs="Times New Roman"/>
          <w:sz w:val="24"/>
          <w:szCs w:val="24"/>
        </w:rPr>
        <w:t>P.</w:t>
      </w:r>
      <w:r>
        <w:rPr>
          <w:rFonts w:ascii="Times New Roman" w:hAnsi="Times New Roman" w:cs="Times New Roman"/>
          <w:sz w:val="24"/>
          <w:szCs w:val="24"/>
        </w:rPr>
        <w:t xml:space="preserve"> </w:t>
      </w:r>
      <w:r w:rsidRPr="00AC5AA9">
        <w:rPr>
          <w:rFonts w:ascii="Times New Roman" w:hAnsi="Times New Roman" w:cs="Times New Roman"/>
          <w:sz w:val="24"/>
          <w:szCs w:val="24"/>
        </w:rPr>
        <w:t xml:space="preserve">Borgna, </w:t>
      </w:r>
      <w:r w:rsidRPr="00AC5AA9">
        <w:rPr>
          <w:rFonts w:ascii="Times New Roman" w:hAnsi="Times New Roman" w:cs="Times New Roman"/>
          <w:bCs/>
          <w:i/>
          <w:color w:val="202122"/>
          <w:sz w:val="24"/>
          <w:szCs w:val="24"/>
          <w:shd w:val="clear" w:color="auto" w:fill="FFFFFF"/>
        </w:rPr>
        <w:t>Multan</w:t>
      </w:r>
      <w:r w:rsidRPr="00AC5AA9">
        <w:rPr>
          <w:rFonts w:ascii="Times New Roman" w:hAnsi="Times New Roman" w:cs="Times New Roman"/>
          <w:bCs/>
          <w:color w:val="202122"/>
          <w:sz w:val="24"/>
          <w:szCs w:val="24"/>
          <w:shd w:val="clear" w:color="auto" w:fill="FFFFFF"/>
        </w:rPr>
        <w:t xml:space="preserve">, in </w:t>
      </w:r>
      <w:r w:rsidRPr="00AC5AA9">
        <w:rPr>
          <w:rFonts w:ascii="Times New Roman" w:hAnsi="Times New Roman" w:cs="Times New Roman"/>
          <w:i/>
          <w:sz w:val="24"/>
          <w:szCs w:val="24"/>
        </w:rPr>
        <w:t>Enciclopedia cattolica</w:t>
      </w:r>
      <w:r w:rsidRPr="00AC5AA9">
        <w:rPr>
          <w:rFonts w:ascii="Times New Roman" w:hAnsi="Times New Roman" w:cs="Times New Roman"/>
          <w:sz w:val="24"/>
          <w:szCs w:val="24"/>
        </w:rPr>
        <w:t>, Vol. 8, 1948, p. 1511.</w:t>
      </w:r>
    </w:p>
  </w:footnote>
  <w:footnote w:id="206">
    <w:p w14:paraId="79B6C6C1" w14:textId="77777777" w:rsidR="00F202D0" w:rsidRDefault="00F202D0">
      <w:pPr>
        <w:pStyle w:val="Testonotaapidipagina"/>
      </w:pPr>
      <w:r>
        <w:rPr>
          <w:rStyle w:val="Rimandonotaapidipagina"/>
        </w:rPr>
        <w:footnoteRef/>
      </w:r>
      <w:r>
        <w:t xml:space="preserve"> </w:t>
      </w:r>
      <w:r w:rsidRPr="00513C8A">
        <w:rPr>
          <w:rFonts w:ascii="Times New Roman" w:hAnsi="Times New Roman" w:cs="Times New Roman"/>
          <w:i/>
          <w:sz w:val="24"/>
          <w:szCs w:val="24"/>
        </w:rPr>
        <w:t>Decretum: de mutatione finium dioecesium</w:t>
      </w:r>
      <w:r w:rsidRPr="00513C8A">
        <w:rPr>
          <w:rFonts w:ascii="Times New Roman" w:hAnsi="Times New Roman" w:cs="Times New Roman"/>
          <w:sz w:val="24"/>
          <w:szCs w:val="24"/>
        </w:rPr>
        <w:t>, in AAS47-1955, 8 marzo 1955, p. 696.</w:t>
      </w:r>
    </w:p>
  </w:footnote>
  <w:footnote w:id="207">
    <w:p w14:paraId="73F3DCB6" w14:textId="77777777" w:rsidR="00F202D0" w:rsidRPr="000A4053" w:rsidRDefault="00F202D0" w:rsidP="00383122">
      <w:pPr>
        <w:pStyle w:val="Testonotaapidipagina"/>
        <w:rPr>
          <w:rFonts w:ascii="Times New Roman" w:hAnsi="Times New Roman" w:cs="Times New Roman"/>
          <w:sz w:val="24"/>
          <w:szCs w:val="24"/>
        </w:rPr>
      </w:pPr>
      <w:r w:rsidRPr="000A4053">
        <w:rPr>
          <w:rStyle w:val="Rimandonotaapidipagina"/>
          <w:rFonts w:ascii="Times New Roman" w:hAnsi="Times New Roman" w:cs="Times New Roman"/>
          <w:sz w:val="24"/>
          <w:szCs w:val="24"/>
        </w:rPr>
        <w:footnoteRef/>
      </w:r>
      <w:r w:rsidRPr="000A4053">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0A4053">
        <w:rPr>
          <w:rFonts w:ascii="Times New Roman" w:hAnsi="Times New Roman" w:cs="Times New Roman"/>
          <w:sz w:val="24"/>
          <w:szCs w:val="24"/>
        </w:rPr>
        <w:t xml:space="preserve">Borgna, </w:t>
      </w:r>
      <w:r w:rsidRPr="000A4053">
        <w:rPr>
          <w:rFonts w:ascii="Times New Roman" w:hAnsi="Times New Roman" w:cs="Times New Roman"/>
          <w:bCs/>
          <w:i/>
          <w:color w:val="202122"/>
          <w:sz w:val="24"/>
          <w:szCs w:val="24"/>
          <w:shd w:val="clear" w:color="auto" w:fill="FFFFFF"/>
        </w:rPr>
        <w:t>Rawalpindi</w:t>
      </w:r>
      <w:r w:rsidRPr="000A4053">
        <w:rPr>
          <w:rFonts w:ascii="Times New Roman" w:hAnsi="Times New Roman" w:cs="Times New Roman"/>
          <w:bCs/>
          <w:color w:val="202122"/>
          <w:sz w:val="24"/>
          <w:szCs w:val="24"/>
          <w:shd w:val="clear" w:color="auto" w:fill="FFFFFF"/>
        </w:rPr>
        <w:t>,</w:t>
      </w:r>
      <w:r w:rsidRPr="000A4053">
        <w:rPr>
          <w:rFonts w:ascii="Times New Roman" w:hAnsi="Times New Roman" w:cs="Times New Roman"/>
          <w:sz w:val="24"/>
          <w:szCs w:val="24"/>
        </w:rPr>
        <w:t xml:space="preserve"> in </w:t>
      </w:r>
      <w:r w:rsidRPr="000A4053">
        <w:rPr>
          <w:rFonts w:ascii="Times New Roman" w:hAnsi="Times New Roman" w:cs="Times New Roman"/>
          <w:i/>
          <w:sz w:val="24"/>
          <w:szCs w:val="24"/>
        </w:rPr>
        <w:t>Enciclopedia cattolica</w:t>
      </w:r>
      <w:r w:rsidRPr="000A4053">
        <w:rPr>
          <w:rFonts w:ascii="Times New Roman" w:hAnsi="Times New Roman" w:cs="Times New Roman"/>
          <w:sz w:val="24"/>
          <w:szCs w:val="24"/>
        </w:rPr>
        <w:t>, Vol. 10, 1948, p. 576.</w:t>
      </w:r>
    </w:p>
  </w:footnote>
  <w:footnote w:id="208">
    <w:p w14:paraId="6D672308" w14:textId="77777777" w:rsidR="00F202D0" w:rsidRPr="00513C8A" w:rsidRDefault="00F202D0" w:rsidP="00383122">
      <w:pPr>
        <w:rPr>
          <w:rFonts w:ascii="Times New Roman" w:hAnsi="Times New Roman" w:cs="Times New Roman"/>
          <w:sz w:val="24"/>
          <w:szCs w:val="24"/>
        </w:rPr>
      </w:pPr>
      <w:r>
        <w:rPr>
          <w:rStyle w:val="Rimandonotaapidipagina"/>
        </w:rPr>
        <w:footnoteRef/>
      </w:r>
      <w:r>
        <w:t xml:space="preserve"> </w:t>
      </w:r>
      <w:r w:rsidRPr="00513C8A">
        <w:rPr>
          <w:rFonts w:ascii="Times New Roman" w:hAnsi="Times New Roman" w:cs="Times New Roman"/>
          <w:i/>
          <w:sz w:val="24"/>
          <w:szCs w:val="24"/>
        </w:rPr>
        <w:t>Decretum: dioecesis Iessorensis deinceps (Khulnensis ) appellabitur</w:t>
      </w:r>
      <w:r w:rsidRPr="00513C8A">
        <w:rPr>
          <w:rFonts w:ascii="Times New Roman" w:hAnsi="Times New Roman" w:cs="Times New Roman"/>
          <w:sz w:val="24"/>
          <w:szCs w:val="24"/>
        </w:rPr>
        <w:t>, in AAS48-1956, 14 giugno 1956, p. 730.</w:t>
      </w:r>
    </w:p>
  </w:footnote>
  <w:footnote w:id="209">
    <w:p w14:paraId="28B7DFEC" w14:textId="77777777" w:rsidR="00F202D0" w:rsidRDefault="00F202D0">
      <w:pPr>
        <w:pStyle w:val="Testonotaapidipagina"/>
      </w:pPr>
      <w:r>
        <w:rPr>
          <w:rStyle w:val="Rimandonotaapidipagina"/>
        </w:rPr>
        <w:footnoteRef/>
      </w:r>
      <w:r>
        <w:t xml:space="preserve"> </w:t>
      </w:r>
      <w:r w:rsidRPr="00EC702A">
        <w:rPr>
          <w:rFonts w:ascii="Times New Roman" w:hAnsi="Times New Roman" w:cs="Times New Roman"/>
          <w:sz w:val="24"/>
          <w:szCs w:val="24"/>
        </w:rPr>
        <w:t>A.</w:t>
      </w:r>
      <w:r>
        <w:rPr>
          <w:rFonts w:ascii="Times New Roman" w:hAnsi="Times New Roman" w:cs="Times New Roman"/>
          <w:sz w:val="24"/>
          <w:szCs w:val="24"/>
        </w:rPr>
        <w:t xml:space="preserve"> </w:t>
      </w:r>
      <w:r w:rsidRPr="00EC702A">
        <w:rPr>
          <w:rFonts w:ascii="Times New Roman" w:hAnsi="Times New Roman" w:cs="Times New Roman"/>
          <w:sz w:val="24"/>
          <w:szCs w:val="24"/>
        </w:rPr>
        <w:t xml:space="preserve">Pratesi, </w:t>
      </w:r>
      <w:r w:rsidRPr="00EC702A">
        <w:rPr>
          <w:rFonts w:ascii="Times New Roman" w:hAnsi="Times New Roman" w:cs="Times New Roman"/>
          <w:i/>
          <w:sz w:val="24"/>
          <w:szCs w:val="24"/>
        </w:rPr>
        <w:t>Indocina</w:t>
      </w:r>
      <w:r w:rsidRPr="00EC702A">
        <w:rPr>
          <w:rFonts w:ascii="Times New Roman" w:hAnsi="Times New Roman" w:cs="Times New Roman"/>
          <w:sz w:val="24"/>
          <w:szCs w:val="24"/>
        </w:rPr>
        <w:t xml:space="preserve">, in </w:t>
      </w:r>
      <w:r w:rsidRPr="00EC702A">
        <w:rPr>
          <w:rFonts w:ascii="Times New Roman" w:hAnsi="Times New Roman" w:cs="Times New Roman"/>
          <w:i/>
          <w:sz w:val="24"/>
          <w:szCs w:val="24"/>
        </w:rPr>
        <w:t>Enciclopedia cattolica</w:t>
      </w:r>
      <w:r w:rsidRPr="00EC702A">
        <w:rPr>
          <w:rFonts w:ascii="Times New Roman" w:hAnsi="Times New Roman" w:cs="Times New Roman"/>
          <w:sz w:val="24"/>
          <w:szCs w:val="24"/>
        </w:rPr>
        <w:t>, Vol. 6, 1948, p. 1871.</w:t>
      </w:r>
    </w:p>
  </w:footnote>
  <w:footnote w:id="210">
    <w:p w14:paraId="31161782" w14:textId="77777777" w:rsidR="00F202D0" w:rsidRPr="00382637" w:rsidRDefault="00F202D0">
      <w:pPr>
        <w:pStyle w:val="Testonotaapidipagina"/>
        <w:rPr>
          <w:rFonts w:ascii="Times New Roman" w:hAnsi="Times New Roman" w:cs="Times New Roman"/>
          <w:sz w:val="24"/>
          <w:szCs w:val="24"/>
        </w:rPr>
      </w:pPr>
      <w:r>
        <w:rPr>
          <w:rStyle w:val="Rimandonotaapidipagina"/>
        </w:rPr>
        <w:footnoteRef/>
      </w:r>
      <w:r>
        <w:t xml:space="preserve"> </w:t>
      </w:r>
      <w:r w:rsidRPr="00382637">
        <w:rPr>
          <w:rFonts w:ascii="Times New Roman" w:hAnsi="Times New Roman" w:cs="Times New Roman"/>
          <w:sz w:val="24"/>
          <w:szCs w:val="24"/>
        </w:rPr>
        <w:t>Figura 9 in Appendice.</w:t>
      </w:r>
    </w:p>
  </w:footnote>
  <w:footnote w:id="211">
    <w:p w14:paraId="3790A799" w14:textId="77777777" w:rsidR="00F202D0" w:rsidRPr="00426125" w:rsidRDefault="00F202D0" w:rsidP="00383122">
      <w:pPr>
        <w:rPr>
          <w:rFonts w:ascii="Times New Roman" w:hAnsi="Times New Roman" w:cs="Times New Roman"/>
          <w:sz w:val="28"/>
          <w:szCs w:val="28"/>
        </w:rPr>
      </w:pPr>
      <w:r>
        <w:rPr>
          <w:rStyle w:val="Rimandonotaapidipagina"/>
        </w:rPr>
        <w:footnoteRef/>
      </w:r>
      <w:r>
        <w:t xml:space="preserve"> </w:t>
      </w:r>
      <w:r w:rsidRPr="003F2BC2">
        <w:rPr>
          <w:rFonts w:ascii="Times New Roman" w:hAnsi="Times New Roman" w:cs="Times New Roman"/>
          <w:i/>
          <w:sz w:val="24"/>
          <w:szCs w:val="24"/>
        </w:rPr>
        <w:t xml:space="preserve">Decretum: territoria a vicariatu a post. </w:t>
      </w:r>
      <w:r w:rsidRPr="00513C8A">
        <w:rPr>
          <w:rFonts w:ascii="Times New Roman" w:hAnsi="Times New Roman" w:cs="Times New Roman"/>
          <w:i/>
          <w:sz w:val="24"/>
          <w:szCs w:val="24"/>
          <w:lang w:val="fr-FR"/>
        </w:rPr>
        <w:t xml:space="preserve">Birmaniae septentrionalis dismembrantur atque praefecturae a post. </w:t>
      </w:r>
      <w:r w:rsidRPr="003F2BC2">
        <w:rPr>
          <w:rFonts w:ascii="Times New Roman" w:hAnsi="Times New Roman" w:cs="Times New Roman"/>
          <w:i/>
          <w:sz w:val="24"/>
          <w:szCs w:val="24"/>
        </w:rPr>
        <w:t>De keng tung adnectuntur</w:t>
      </w:r>
      <w:r w:rsidRPr="003F2BC2">
        <w:rPr>
          <w:rFonts w:ascii="Times New Roman" w:hAnsi="Times New Roman" w:cs="Times New Roman"/>
          <w:sz w:val="24"/>
          <w:szCs w:val="24"/>
        </w:rPr>
        <w:t>, in AAS28-1936, 9 marzo 1936, p 297.</w:t>
      </w:r>
    </w:p>
  </w:footnote>
  <w:footnote w:id="212">
    <w:p w14:paraId="437A7C76" w14:textId="36BC6CE3" w:rsidR="00F202D0" w:rsidRDefault="00F202D0">
      <w:pPr>
        <w:pStyle w:val="Testonotaapidipagina"/>
      </w:pPr>
      <w:r>
        <w:rPr>
          <w:rStyle w:val="Rimandonotaapidipagina"/>
        </w:rPr>
        <w:footnoteRef/>
      </w:r>
      <w:r>
        <w:t xml:space="preserve"> </w:t>
      </w:r>
      <w:r w:rsidRPr="00426125">
        <w:rPr>
          <w:rFonts w:ascii="Times New Roman" w:hAnsi="Times New Roman" w:cs="Times New Roman"/>
          <w:sz w:val="24"/>
          <w:szCs w:val="24"/>
        </w:rPr>
        <w:t>P.</w:t>
      </w:r>
      <w:r>
        <w:rPr>
          <w:rFonts w:ascii="Times New Roman" w:hAnsi="Times New Roman" w:cs="Times New Roman"/>
          <w:sz w:val="24"/>
          <w:szCs w:val="24"/>
        </w:rPr>
        <w:t xml:space="preserve"> </w:t>
      </w:r>
      <w:r w:rsidRPr="00426125">
        <w:rPr>
          <w:rFonts w:ascii="Times New Roman" w:hAnsi="Times New Roman" w:cs="Times New Roman"/>
          <w:sz w:val="24"/>
          <w:szCs w:val="24"/>
        </w:rPr>
        <w:t xml:space="preserve">Borgna, </w:t>
      </w:r>
      <w:r w:rsidRPr="00426125">
        <w:rPr>
          <w:rFonts w:ascii="Times New Roman" w:hAnsi="Times New Roman" w:cs="Times New Roman"/>
          <w:i/>
          <w:sz w:val="24"/>
          <w:szCs w:val="24"/>
        </w:rPr>
        <w:t>Mandalay</w:t>
      </w:r>
      <w:r w:rsidRPr="00426125">
        <w:rPr>
          <w:rFonts w:ascii="Times New Roman" w:hAnsi="Times New Roman" w:cs="Times New Roman"/>
          <w:sz w:val="24"/>
          <w:szCs w:val="24"/>
        </w:rPr>
        <w:t xml:space="preserve">, in </w:t>
      </w:r>
      <w:r w:rsidRPr="00426125">
        <w:rPr>
          <w:rFonts w:ascii="Times New Roman" w:hAnsi="Times New Roman" w:cs="Times New Roman"/>
          <w:i/>
          <w:sz w:val="24"/>
          <w:szCs w:val="24"/>
        </w:rPr>
        <w:t>Enciclopedia cattolica</w:t>
      </w:r>
      <w:r w:rsidRPr="00426125">
        <w:rPr>
          <w:rFonts w:ascii="Times New Roman" w:hAnsi="Times New Roman" w:cs="Times New Roman"/>
          <w:sz w:val="24"/>
          <w:szCs w:val="24"/>
        </w:rPr>
        <w:t>, Vol. 7, 1948, p.1944.</w:t>
      </w:r>
    </w:p>
  </w:footnote>
  <w:footnote w:id="213">
    <w:p w14:paraId="4D059993" w14:textId="77777777" w:rsidR="00F202D0" w:rsidRPr="003F2BC2"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Pr>
          <w:rFonts w:ascii="Times New Roman" w:hAnsi="Times New Roman" w:cs="Times New Roman"/>
          <w:sz w:val="24"/>
          <w:szCs w:val="24"/>
        </w:rPr>
        <w:t>L. D.</w:t>
      </w:r>
      <w:r w:rsidRPr="003F2BC2">
        <w:rPr>
          <w:rFonts w:ascii="Times New Roman" w:hAnsi="Times New Roman" w:cs="Times New Roman"/>
          <w:sz w:val="24"/>
          <w:szCs w:val="24"/>
        </w:rPr>
        <w:t xml:space="preserve"> Stamp</w:t>
      </w:r>
      <w:r>
        <w:rPr>
          <w:rFonts w:ascii="Times New Roman" w:hAnsi="Times New Roman" w:cs="Times New Roman"/>
          <w:sz w:val="24"/>
          <w:szCs w:val="24"/>
        </w:rPr>
        <w:t xml:space="preserve">, </w:t>
      </w:r>
      <w:r w:rsidRPr="003F2BC2">
        <w:rPr>
          <w:rFonts w:ascii="Times New Roman" w:hAnsi="Times New Roman" w:cs="Times New Roman"/>
          <w:i/>
          <w:sz w:val="24"/>
          <w:szCs w:val="24"/>
        </w:rPr>
        <w:t>Stati degli Shan</w:t>
      </w:r>
      <w:r>
        <w:rPr>
          <w:rFonts w:ascii="Times New Roman" w:hAnsi="Times New Roman" w:cs="Times New Roman"/>
          <w:sz w:val="24"/>
          <w:szCs w:val="24"/>
        </w:rPr>
        <w:t xml:space="preserve">, in </w:t>
      </w:r>
      <w:r w:rsidRPr="003F2BC2">
        <w:rPr>
          <w:rFonts w:ascii="Times New Roman" w:hAnsi="Times New Roman" w:cs="Times New Roman"/>
          <w:i/>
          <w:sz w:val="24"/>
          <w:szCs w:val="24"/>
        </w:rPr>
        <w:t>Enciclopedia italiana</w:t>
      </w:r>
      <w:r>
        <w:rPr>
          <w:rFonts w:ascii="Times New Roman" w:hAnsi="Times New Roman" w:cs="Times New Roman"/>
          <w:sz w:val="24"/>
          <w:szCs w:val="24"/>
        </w:rPr>
        <w:t xml:space="preserve">, 1936, cit., </w:t>
      </w:r>
      <w:r w:rsidRPr="003F2BC2">
        <w:rPr>
          <w:rFonts w:ascii="Times New Roman" w:hAnsi="Times New Roman" w:cs="Times New Roman"/>
          <w:i/>
          <w:sz w:val="24"/>
          <w:szCs w:val="24"/>
        </w:rPr>
        <w:t>passim</w:t>
      </w:r>
      <w:r>
        <w:rPr>
          <w:rFonts w:ascii="Times New Roman" w:hAnsi="Times New Roman" w:cs="Times New Roman"/>
          <w:sz w:val="24"/>
          <w:szCs w:val="24"/>
        </w:rPr>
        <w:t>.</w:t>
      </w:r>
    </w:p>
  </w:footnote>
  <w:footnote w:id="214">
    <w:p w14:paraId="6AE18D04" w14:textId="77777777" w:rsidR="00F202D0" w:rsidRDefault="00F202D0" w:rsidP="00383122">
      <w:pPr>
        <w:pStyle w:val="Testonotaapidipagina"/>
      </w:pPr>
      <w:r>
        <w:rPr>
          <w:rStyle w:val="Rimandonotaapidipagina"/>
        </w:rPr>
        <w:footnoteRef/>
      </w:r>
      <w:r>
        <w:t xml:space="preserve"> </w:t>
      </w:r>
      <w:r w:rsidRPr="004C7ED3">
        <w:rPr>
          <w:rFonts w:ascii="Times New Roman" w:hAnsi="Times New Roman" w:cs="Times New Roman"/>
          <w:i/>
          <w:sz w:val="24"/>
          <w:szCs w:val="24"/>
        </w:rPr>
        <w:t>Decretum: De mutatione finium dioecesium</w:t>
      </w:r>
      <w:r w:rsidRPr="004C7ED3">
        <w:rPr>
          <w:rFonts w:ascii="Times New Roman" w:hAnsi="Times New Roman" w:cs="Times New Roman"/>
          <w:sz w:val="24"/>
          <w:szCs w:val="24"/>
        </w:rPr>
        <w:t xml:space="preserve">, in AAS54-1962, </w:t>
      </w:r>
      <w:r>
        <w:rPr>
          <w:rFonts w:ascii="Times New Roman" w:hAnsi="Times New Roman" w:cs="Times New Roman"/>
          <w:sz w:val="24"/>
          <w:szCs w:val="24"/>
        </w:rPr>
        <w:t>9 luglio 1962, p.</w:t>
      </w:r>
      <w:r w:rsidRPr="004C7ED3">
        <w:rPr>
          <w:rFonts w:ascii="Times New Roman" w:hAnsi="Times New Roman" w:cs="Times New Roman"/>
          <w:sz w:val="24"/>
          <w:szCs w:val="24"/>
        </w:rPr>
        <w:t xml:space="preserve"> 867</w:t>
      </w:r>
      <w:r>
        <w:rPr>
          <w:rFonts w:ascii="Times New Roman" w:hAnsi="Times New Roman" w:cs="Times New Roman"/>
          <w:sz w:val="24"/>
          <w:szCs w:val="24"/>
        </w:rPr>
        <w:t>.</w:t>
      </w:r>
    </w:p>
  </w:footnote>
  <w:footnote w:id="215">
    <w:p w14:paraId="69EBD2E1" w14:textId="77777777" w:rsidR="00F202D0" w:rsidRPr="00E807C1" w:rsidRDefault="00F202D0">
      <w:pPr>
        <w:pStyle w:val="Testonotaapidipagina"/>
        <w:rPr>
          <w:rFonts w:ascii="Times New Roman" w:hAnsi="Times New Roman" w:cs="Times New Roman"/>
          <w:sz w:val="24"/>
          <w:szCs w:val="24"/>
        </w:rPr>
      </w:pPr>
      <w:r>
        <w:t xml:space="preserve"> </w:t>
      </w:r>
      <w:r>
        <w:rPr>
          <w:rStyle w:val="Rimandonotaapidipagina"/>
        </w:rPr>
        <w:footnoteRef/>
      </w:r>
      <w:r>
        <w:t xml:space="preserve"> </w:t>
      </w:r>
      <w:r w:rsidRPr="00E807C1">
        <w:rPr>
          <w:rFonts w:ascii="Times New Roman" w:hAnsi="Times New Roman" w:cs="Times New Roman"/>
          <w:sz w:val="24"/>
          <w:szCs w:val="24"/>
        </w:rPr>
        <w:t>C.</w:t>
      </w:r>
      <w:r>
        <w:rPr>
          <w:rFonts w:ascii="Times New Roman" w:hAnsi="Times New Roman" w:cs="Times New Roman"/>
          <w:sz w:val="24"/>
          <w:szCs w:val="24"/>
        </w:rPr>
        <w:t xml:space="preserve"> </w:t>
      </w:r>
      <w:r w:rsidRPr="00E807C1">
        <w:rPr>
          <w:rFonts w:ascii="Times New Roman" w:hAnsi="Times New Roman" w:cs="Times New Roman"/>
          <w:sz w:val="24"/>
          <w:szCs w:val="24"/>
        </w:rPr>
        <w:t xml:space="preserve">Morin, </w:t>
      </w:r>
      <w:r w:rsidRPr="00E807C1">
        <w:rPr>
          <w:rFonts w:ascii="Times New Roman" w:hAnsi="Times New Roman" w:cs="Times New Roman"/>
          <w:i/>
          <w:sz w:val="24"/>
          <w:szCs w:val="24"/>
        </w:rPr>
        <w:t>Birmania meridionale</w:t>
      </w:r>
      <w:r w:rsidRPr="00E807C1">
        <w:rPr>
          <w:rFonts w:ascii="Times New Roman" w:hAnsi="Times New Roman" w:cs="Times New Roman"/>
          <w:sz w:val="24"/>
          <w:szCs w:val="24"/>
        </w:rPr>
        <w:t xml:space="preserve">, in </w:t>
      </w:r>
      <w:r w:rsidRPr="00E807C1">
        <w:rPr>
          <w:rFonts w:ascii="Times New Roman" w:hAnsi="Times New Roman" w:cs="Times New Roman"/>
          <w:i/>
          <w:sz w:val="24"/>
          <w:szCs w:val="24"/>
        </w:rPr>
        <w:t>Enciclopedia cattolica</w:t>
      </w:r>
      <w:r w:rsidRPr="00E807C1">
        <w:rPr>
          <w:rFonts w:ascii="Times New Roman" w:hAnsi="Times New Roman" w:cs="Times New Roman"/>
          <w:sz w:val="24"/>
          <w:szCs w:val="24"/>
        </w:rPr>
        <w:t>, Vol. 2, 1948, p. 1672.</w:t>
      </w:r>
    </w:p>
  </w:footnote>
  <w:footnote w:id="216">
    <w:p w14:paraId="1705E878" w14:textId="77777777" w:rsidR="00F202D0" w:rsidRDefault="00F202D0" w:rsidP="00383122">
      <w:pPr>
        <w:pStyle w:val="Testonotaapidipagina"/>
      </w:pPr>
      <w:r>
        <w:rPr>
          <w:rStyle w:val="Rimandonotaapidipagina"/>
        </w:rPr>
        <w:footnoteRef/>
      </w:r>
      <w:r>
        <w:t xml:space="preserve"> </w:t>
      </w:r>
      <w:r w:rsidRPr="00513C8A">
        <w:rPr>
          <w:rFonts w:ascii="Times New Roman" w:hAnsi="Times New Roman" w:cs="Times New Roman"/>
          <w:i/>
          <w:sz w:val="24"/>
          <w:szCs w:val="24"/>
        </w:rPr>
        <w:t>Decretum: vicariatus apostolicus Birmaniae meridionalis deinceps (De rangoo )  nuncupabitur</w:t>
      </w:r>
      <w:r w:rsidRPr="00513C8A">
        <w:rPr>
          <w:rFonts w:ascii="Times New Roman" w:hAnsi="Times New Roman" w:cs="Times New Roman"/>
          <w:sz w:val="24"/>
          <w:szCs w:val="24"/>
        </w:rPr>
        <w:t>, in AAS45-1953, 7 marzo 1953, p. 619.</w:t>
      </w:r>
    </w:p>
  </w:footnote>
  <w:footnote w:id="217">
    <w:p w14:paraId="58B3F831" w14:textId="77777777" w:rsidR="00F202D0" w:rsidRPr="00946F4A" w:rsidRDefault="00F202D0">
      <w:pPr>
        <w:pStyle w:val="Testonotaapidipagina"/>
        <w:rPr>
          <w:rFonts w:ascii="Times New Roman" w:hAnsi="Times New Roman" w:cs="Times New Roman"/>
          <w:sz w:val="24"/>
          <w:szCs w:val="24"/>
        </w:rPr>
      </w:pPr>
      <w:r>
        <w:rPr>
          <w:rStyle w:val="Rimandonotaapidipagina"/>
        </w:rPr>
        <w:footnoteRef/>
      </w:r>
      <w:r>
        <w:t xml:space="preserve"> </w:t>
      </w:r>
      <w:r w:rsidRPr="00946F4A">
        <w:rPr>
          <w:rFonts w:ascii="Times New Roman" w:hAnsi="Times New Roman" w:cs="Times New Roman"/>
          <w:sz w:val="24"/>
          <w:szCs w:val="24"/>
        </w:rPr>
        <w:t>V.</w:t>
      </w:r>
      <w:r>
        <w:rPr>
          <w:rFonts w:ascii="Times New Roman" w:hAnsi="Times New Roman" w:cs="Times New Roman"/>
          <w:sz w:val="24"/>
          <w:szCs w:val="24"/>
        </w:rPr>
        <w:t xml:space="preserve"> </w:t>
      </w:r>
      <w:r w:rsidRPr="00946F4A">
        <w:rPr>
          <w:rFonts w:ascii="Times New Roman" w:hAnsi="Times New Roman" w:cs="Times New Roman"/>
          <w:sz w:val="24"/>
          <w:szCs w:val="24"/>
        </w:rPr>
        <w:t xml:space="preserve">Belgeri, </w:t>
      </w:r>
      <w:r w:rsidRPr="00946F4A">
        <w:rPr>
          <w:rFonts w:ascii="Times New Roman" w:hAnsi="Times New Roman" w:cs="Times New Roman"/>
          <w:i/>
          <w:sz w:val="24"/>
          <w:szCs w:val="24"/>
        </w:rPr>
        <w:t>Akyab</w:t>
      </w:r>
      <w:r w:rsidRPr="00946F4A">
        <w:rPr>
          <w:rFonts w:ascii="Times New Roman" w:hAnsi="Times New Roman" w:cs="Times New Roman"/>
          <w:sz w:val="24"/>
          <w:szCs w:val="24"/>
        </w:rPr>
        <w:t xml:space="preserve">, in </w:t>
      </w:r>
      <w:r w:rsidRPr="00946F4A">
        <w:rPr>
          <w:rFonts w:ascii="Times New Roman" w:hAnsi="Times New Roman" w:cs="Times New Roman"/>
          <w:i/>
          <w:sz w:val="24"/>
          <w:szCs w:val="24"/>
        </w:rPr>
        <w:t>Enciclopedia cattolica</w:t>
      </w:r>
      <w:r w:rsidRPr="00946F4A">
        <w:rPr>
          <w:rFonts w:ascii="Times New Roman" w:hAnsi="Times New Roman" w:cs="Times New Roman"/>
          <w:sz w:val="24"/>
          <w:szCs w:val="24"/>
        </w:rPr>
        <w:t>, Vol.1, 1948, p. 619.</w:t>
      </w:r>
    </w:p>
  </w:footnote>
  <w:footnote w:id="218">
    <w:p w14:paraId="0B455D46" w14:textId="77777777" w:rsidR="00F202D0" w:rsidRDefault="00F202D0" w:rsidP="00383122">
      <w:pPr>
        <w:pStyle w:val="Testonotaapidipagina"/>
      </w:pPr>
      <w:r>
        <w:rPr>
          <w:rStyle w:val="Rimandonotaapidipagina"/>
        </w:rPr>
        <w:footnoteRef/>
      </w:r>
      <w:r>
        <w:t xml:space="preserve"> </w:t>
      </w:r>
      <w:r w:rsidRPr="00B64354">
        <w:rPr>
          <w:rFonts w:ascii="Times New Roman" w:hAnsi="Times New Roman" w:cs="Times New Roman"/>
          <w:i/>
          <w:sz w:val="24"/>
          <w:szCs w:val="24"/>
        </w:rPr>
        <w:t>Decre</w:t>
      </w:r>
      <w:r>
        <w:rPr>
          <w:rFonts w:ascii="Times New Roman" w:hAnsi="Times New Roman" w:cs="Times New Roman"/>
          <w:i/>
          <w:sz w:val="24"/>
          <w:szCs w:val="24"/>
        </w:rPr>
        <w:t>tum: praefectura apostolica de A</w:t>
      </w:r>
      <w:r w:rsidRPr="00B64354">
        <w:rPr>
          <w:rFonts w:ascii="Times New Roman" w:hAnsi="Times New Roman" w:cs="Times New Roman"/>
          <w:i/>
          <w:sz w:val="24"/>
          <w:szCs w:val="24"/>
        </w:rPr>
        <w:t>kyab, muta</w:t>
      </w:r>
      <w:r>
        <w:rPr>
          <w:rFonts w:ascii="Times New Roman" w:hAnsi="Times New Roman" w:cs="Times New Roman"/>
          <w:i/>
          <w:sz w:val="24"/>
          <w:szCs w:val="24"/>
        </w:rPr>
        <w:t>ta sede, (Promensis</w:t>
      </w:r>
      <w:r w:rsidRPr="00B64354">
        <w:rPr>
          <w:rFonts w:ascii="Times New Roman" w:hAnsi="Times New Roman" w:cs="Times New Roman"/>
          <w:i/>
          <w:sz w:val="24"/>
          <w:szCs w:val="24"/>
        </w:rPr>
        <w:t>) appellabitur</w:t>
      </w:r>
      <w:r w:rsidRPr="00B64354">
        <w:rPr>
          <w:rFonts w:ascii="Times New Roman" w:hAnsi="Times New Roman" w:cs="Times New Roman"/>
          <w:sz w:val="24"/>
          <w:szCs w:val="24"/>
        </w:rPr>
        <w:t>, in AAS50-1958,</w:t>
      </w:r>
      <w:r>
        <w:rPr>
          <w:rFonts w:ascii="Times New Roman" w:hAnsi="Times New Roman" w:cs="Times New Roman"/>
          <w:sz w:val="24"/>
          <w:szCs w:val="24"/>
        </w:rPr>
        <w:t xml:space="preserve"> 19 settembre 1957, p. 104.</w:t>
      </w:r>
    </w:p>
  </w:footnote>
  <w:footnote w:id="219">
    <w:p w14:paraId="7F18085D" w14:textId="77777777" w:rsidR="00F202D0" w:rsidRDefault="00F202D0">
      <w:pPr>
        <w:pStyle w:val="Testonotaapidipagina"/>
      </w:pPr>
      <w:r>
        <w:rPr>
          <w:rStyle w:val="Rimandonotaapidipagina"/>
        </w:rPr>
        <w:footnoteRef/>
      </w:r>
      <w:r>
        <w:t xml:space="preserve"> </w:t>
      </w:r>
      <w:r w:rsidRPr="00A26F4D">
        <w:rPr>
          <w:rFonts w:ascii="Times New Roman" w:hAnsi="Times New Roman" w:cs="Times New Roman"/>
          <w:sz w:val="24"/>
          <w:szCs w:val="24"/>
        </w:rPr>
        <w:t>E.</w:t>
      </w:r>
      <w:r>
        <w:rPr>
          <w:rFonts w:ascii="Times New Roman" w:hAnsi="Times New Roman" w:cs="Times New Roman"/>
          <w:sz w:val="24"/>
          <w:szCs w:val="24"/>
        </w:rPr>
        <w:t xml:space="preserve"> </w:t>
      </w:r>
      <w:r w:rsidRPr="00A26F4D">
        <w:rPr>
          <w:rFonts w:ascii="Times New Roman" w:hAnsi="Times New Roman" w:cs="Times New Roman"/>
          <w:sz w:val="24"/>
          <w:szCs w:val="24"/>
        </w:rPr>
        <w:t xml:space="preserve">Pecoraio, </w:t>
      </w:r>
      <w:r w:rsidRPr="00A26F4D">
        <w:rPr>
          <w:rFonts w:ascii="Times New Roman" w:hAnsi="Times New Roman" w:cs="Times New Roman"/>
          <w:i/>
          <w:sz w:val="24"/>
          <w:szCs w:val="24"/>
        </w:rPr>
        <w:t>Vinh</w:t>
      </w:r>
      <w:r w:rsidRPr="00A26F4D">
        <w:rPr>
          <w:rFonts w:ascii="Times New Roman" w:hAnsi="Times New Roman" w:cs="Times New Roman"/>
          <w:sz w:val="24"/>
          <w:szCs w:val="24"/>
        </w:rPr>
        <w:t xml:space="preserve">, in </w:t>
      </w:r>
      <w:r w:rsidRPr="00A26F4D">
        <w:rPr>
          <w:rFonts w:ascii="Times New Roman" w:hAnsi="Times New Roman" w:cs="Times New Roman"/>
          <w:i/>
          <w:sz w:val="24"/>
          <w:szCs w:val="24"/>
        </w:rPr>
        <w:t>Enciclopedia cattolica</w:t>
      </w:r>
      <w:r w:rsidRPr="00A26F4D">
        <w:rPr>
          <w:rFonts w:ascii="Times New Roman" w:hAnsi="Times New Roman" w:cs="Times New Roman"/>
          <w:sz w:val="24"/>
          <w:szCs w:val="24"/>
        </w:rPr>
        <w:t>, Vol. 12, 1948, p.1448.</w:t>
      </w:r>
    </w:p>
  </w:footnote>
  <w:footnote w:id="220">
    <w:p w14:paraId="5805D1FE" w14:textId="77777777" w:rsidR="00F202D0" w:rsidRPr="00A26F4D"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A26F4D">
        <w:rPr>
          <w:rFonts w:ascii="Times New Roman" w:hAnsi="Times New Roman" w:cs="Times New Roman"/>
          <w:i/>
          <w:sz w:val="24"/>
          <w:szCs w:val="24"/>
        </w:rPr>
        <w:t>Ibidem.</w:t>
      </w:r>
    </w:p>
  </w:footnote>
  <w:footnote w:id="221">
    <w:p w14:paraId="7255E100" w14:textId="77777777" w:rsidR="00F202D0" w:rsidRPr="006361A8" w:rsidRDefault="00F202D0" w:rsidP="00383122">
      <w:pPr>
        <w:rPr>
          <w:rFonts w:ascii="Times New Roman" w:hAnsi="Times New Roman" w:cs="Times New Roman"/>
          <w:sz w:val="24"/>
          <w:szCs w:val="24"/>
        </w:rPr>
      </w:pPr>
      <w:r>
        <w:rPr>
          <w:rStyle w:val="Rimandonotaapidipagina"/>
        </w:rPr>
        <w:footnoteRef/>
      </w:r>
      <w:r>
        <w:t xml:space="preserve"> </w:t>
      </w:r>
      <w:r w:rsidRPr="00F03392">
        <w:rPr>
          <w:rFonts w:ascii="Times New Roman" w:hAnsi="Times New Roman" w:cs="Times New Roman"/>
          <w:i/>
          <w:sz w:val="24"/>
          <w:szCs w:val="24"/>
        </w:rPr>
        <w:t>Decretum:</w:t>
      </w:r>
      <w:r>
        <w:rPr>
          <w:rFonts w:ascii="Times New Roman" w:hAnsi="Times New Roman" w:cs="Times New Roman"/>
          <w:i/>
          <w:sz w:val="24"/>
          <w:szCs w:val="24"/>
        </w:rPr>
        <w:t xml:space="preserve"> vicariatus apostolicus de Vinh</w:t>
      </w:r>
      <w:r w:rsidRPr="00F03392">
        <w:rPr>
          <w:rFonts w:ascii="Times New Roman" w:hAnsi="Times New Roman" w:cs="Times New Roman"/>
          <w:i/>
          <w:sz w:val="24"/>
          <w:szCs w:val="24"/>
        </w:rPr>
        <w:t>clero saeculari indosinensi concreditur</w:t>
      </w:r>
      <w:r w:rsidRPr="00F03392">
        <w:rPr>
          <w:rFonts w:ascii="Times New Roman" w:hAnsi="Times New Roman" w:cs="Times New Roman"/>
          <w:sz w:val="24"/>
          <w:szCs w:val="24"/>
        </w:rPr>
        <w:t>,</w:t>
      </w:r>
      <w:r>
        <w:rPr>
          <w:rFonts w:ascii="Times New Roman" w:hAnsi="Times New Roman" w:cs="Times New Roman"/>
          <w:sz w:val="24"/>
          <w:szCs w:val="24"/>
        </w:rPr>
        <w:t xml:space="preserve"> 14 giugno 1951,</w:t>
      </w:r>
      <w:r w:rsidRPr="00F03392">
        <w:rPr>
          <w:rFonts w:ascii="Times New Roman" w:hAnsi="Times New Roman" w:cs="Times New Roman"/>
          <w:sz w:val="24"/>
          <w:szCs w:val="24"/>
        </w:rPr>
        <w:t xml:space="preserve"> in AAS43-195</w:t>
      </w:r>
      <w:r>
        <w:rPr>
          <w:rFonts w:ascii="Times New Roman" w:hAnsi="Times New Roman" w:cs="Times New Roman"/>
          <w:sz w:val="24"/>
          <w:szCs w:val="24"/>
        </w:rPr>
        <w:t>1, p.</w:t>
      </w:r>
      <w:r w:rsidRPr="00F03392">
        <w:rPr>
          <w:rFonts w:ascii="Times New Roman" w:hAnsi="Times New Roman" w:cs="Times New Roman"/>
          <w:sz w:val="24"/>
          <w:szCs w:val="24"/>
        </w:rPr>
        <w:t xml:space="preserve"> 865</w:t>
      </w:r>
      <w:r>
        <w:rPr>
          <w:rFonts w:ascii="Times New Roman" w:hAnsi="Times New Roman" w:cs="Times New Roman"/>
          <w:sz w:val="24"/>
          <w:szCs w:val="24"/>
        </w:rPr>
        <w:t>.</w:t>
      </w:r>
    </w:p>
  </w:footnote>
  <w:footnote w:id="222">
    <w:p w14:paraId="63A5B422" w14:textId="77777777" w:rsidR="00F202D0" w:rsidRDefault="00F202D0">
      <w:pPr>
        <w:pStyle w:val="Testonotaapidipagina"/>
      </w:pPr>
      <w:r>
        <w:rPr>
          <w:rStyle w:val="Rimandonotaapidipagina"/>
        </w:rPr>
        <w:footnoteRef/>
      </w:r>
      <w:r>
        <w:t xml:space="preserve"> </w:t>
      </w:r>
      <w:r w:rsidRPr="00513C8A">
        <w:rPr>
          <w:rFonts w:ascii="Times New Roman" w:hAnsi="Times New Roman" w:cs="Times New Roman"/>
          <w:i/>
          <w:sz w:val="24"/>
          <w:szCs w:val="24"/>
        </w:rPr>
        <w:t>Decretum: De mutatione finium dioecesium</w:t>
      </w:r>
      <w:r w:rsidRPr="00513C8A">
        <w:rPr>
          <w:rFonts w:ascii="Times New Roman" w:hAnsi="Times New Roman" w:cs="Times New Roman"/>
          <w:sz w:val="24"/>
          <w:szCs w:val="24"/>
        </w:rPr>
        <w:t>, in AAS53-1961, 24 novembre1960, p. 229.</w:t>
      </w:r>
    </w:p>
  </w:footnote>
  <w:footnote w:id="223">
    <w:p w14:paraId="66FC755C" w14:textId="77777777" w:rsidR="00F202D0" w:rsidRDefault="00F202D0">
      <w:pPr>
        <w:pStyle w:val="Testonotaapidipagina"/>
      </w:pPr>
      <w:r>
        <w:rPr>
          <w:rStyle w:val="Rimandonotaapidipagina"/>
        </w:rPr>
        <w:footnoteRef/>
      </w:r>
      <w:r>
        <w:t xml:space="preserve"> </w:t>
      </w:r>
      <w:r w:rsidRPr="003A173C">
        <w:rPr>
          <w:rFonts w:ascii="Times New Roman" w:hAnsi="Times New Roman" w:cs="Times New Roman"/>
          <w:sz w:val="24"/>
          <w:szCs w:val="24"/>
        </w:rPr>
        <w:t>E.</w:t>
      </w:r>
      <w:r>
        <w:rPr>
          <w:rFonts w:ascii="Times New Roman" w:hAnsi="Times New Roman" w:cs="Times New Roman"/>
          <w:sz w:val="24"/>
          <w:szCs w:val="24"/>
        </w:rPr>
        <w:t xml:space="preserve"> </w:t>
      </w:r>
      <w:r w:rsidRPr="003A173C">
        <w:rPr>
          <w:rFonts w:ascii="Times New Roman" w:hAnsi="Times New Roman" w:cs="Times New Roman"/>
          <w:sz w:val="24"/>
          <w:szCs w:val="24"/>
        </w:rPr>
        <w:t xml:space="preserve">Pecoraio, </w:t>
      </w:r>
      <w:r w:rsidRPr="003A173C">
        <w:rPr>
          <w:rFonts w:ascii="Times New Roman" w:hAnsi="Times New Roman" w:cs="Times New Roman"/>
          <w:i/>
          <w:sz w:val="24"/>
          <w:szCs w:val="24"/>
        </w:rPr>
        <w:t>Vientiane</w:t>
      </w:r>
      <w:r w:rsidRPr="003A173C">
        <w:rPr>
          <w:rFonts w:ascii="Times New Roman" w:hAnsi="Times New Roman" w:cs="Times New Roman"/>
          <w:sz w:val="24"/>
          <w:szCs w:val="24"/>
        </w:rPr>
        <w:t xml:space="preserve">, in </w:t>
      </w:r>
      <w:r w:rsidRPr="003A173C">
        <w:rPr>
          <w:rFonts w:ascii="Times New Roman" w:hAnsi="Times New Roman" w:cs="Times New Roman"/>
          <w:i/>
          <w:sz w:val="24"/>
          <w:szCs w:val="24"/>
        </w:rPr>
        <w:t>Enciclopedia cattolica</w:t>
      </w:r>
      <w:r w:rsidRPr="003A173C">
        <w:rPr>
          <w:rFonts w:ascii="Times New Roman" w:hAnsi="Times New Roman" w:cs="Times New Roman"/>
          <w:sz w:val="24"/>
          <w:szCs w:val="24"/>
        </w:rPr>
        <w:t>, Vol. 12, 1948, p. 1409.</w:t>
      </w:r>
    </w:p>
  </w:footnote>
  <w:footnote w:id="224">
    <w:p w14:paraId="7E2F31AB" w14:textId="77777777" w:rsidR="00F202D0" w:rsidRPr="00513C8A" w:rsidRDefault="00F202D0">
      <w:pPr>
        <w:pStyle w:val="Testonotaapidipagina"/>
        <w:rPr>
          <w:lang w:val="en-US"/>
        </w:rPr>
      </w:pPr>
      <w:r>
        <w:rPr>
          <w:rStyle w:val="Rimandonotaapidipagina"/>
        </w:rPr>
        <w:footnoteRef/>
      </w:r>
      <w:r w:rsidRPr="00513C8A">
        <w:rPr>
          <w:lang w:val="en-US"/>
        </w:rPr>
        <w:t xml:space="preserve"> </w:t>
      </w:r>
      <w:r w:rsidRPr="00513C8A">
        <w:rPr>
          <w:rFonts w:ascii="Times New Roman" w:hAnsi="Times New Roman" w:cs="Times New Roman"/>
          <w:i/>
          <w:sz w:val="24"/>
          <w:szCs w:val="24"/>
          <w:lang w:val="en-US"/>
        </w:rPr>
        <w:t>Ibidem.</w:t>
      </w:r>
    </w:p>
  </w:footnote>
  <w:footnote w:id="225">
    <w:p w14:paraId="739178DC" w14:textId="77777777" w:rsidR="00F202D0" w:rsidRPr="00513C8A" w:rsidRDefault="00F202D0" w:rsidP="00383122">
      <w:pPr>
        <w:pStyle w:val="Testonotaapidipagina"/>
        <w:rPr>
          <w:lang w:val="en-US"/>
        </w:rPr>
      </w:pPr>
      <w:r>
        <w:rPr>
          <w:rStyle w:val="Rimandonotaapidipagina"/>
        </w:rPr>
        <w:footnoteRef/>
      </w:r>
      <w:r w:rsidRPr="00513C8A">
        <w:rPr>
          <w:lang w:val="en-US"/>
        </w:rPr>
        <w:t xml:space="preserve"> </w:t>
      </w:r>
      <w:r w:rsidRPr="00426AFA">
        <w:rPr>
          <w:rFonts w:ascii="Times New Roman" w:hAnsi="Times New Roman" w:cs="Times New Roman"/>
          <w:i/>
          <w:sz w:val="24"/>
          <w:szCs w:val="24"/>
          <w:lang w:val="en-US"/>
        </w:rPr>
        <w:t>Decretum: separationis et unionis</w:t>
      </w:r>
      <w:r w:rsidRPr="00426AFA">
        <w:rPr>
          <w:rFonts w:ascii="Times New Roman" w:hAnsi="Times New Roman" w:cs="Times New Roman"/>
          <w:sz w:val="24"/>
          <w:szCs w:val="24"/>
          <w:lang w:val="en-US"/>
        </w:rPr>
        <w:t>, in AAS50-1958, 14 febbraio 1958, p. 229.</w:t>
      </w:r>
    </w:p>
  </w:footnote>
  <w:footnote w:id="226">
    <w:p w14:paraId="2ED686FC" w14:textId="77777777" w:rsidR="00F202D0" w:rsidRPr="00742E55" w:rsidRDefault="00F202D0">
      <w:pPr>
        <w:pStyle w:val="Testonotaapidipagina"/>
        <w:rPr>
          <w:rFonts w:ascii="Times New Roman" w:hAnsi="Times New Roman" w:cs="Times New Roman"/>
          <w:sz w:val="24"/>
          <w:szCs w:val="24"/>
        </w:rPr>
      </w:pPr>
      <w:r>
        <w:rPr>
          <w:rStyle w:val="Rimandonotaapidipagina"/>
        </w:rPr>
        <w:footnoteRef/>
      </w:r>
      <w:r>
        <w:t xml:space="preserve"> </w:t>
      </w:r>
      <w:r w:rsidRPr="00742E55">
        <w:rPr>
          <w:rFonts w:ascii="Times New Roman" w:hAnsi="Times New Roman" w:cs="Times New Roman"/>
          <w:sz w:val="24"/>
          <w:szCs w:val="24"/>
        </w:rPr>
        <w:t>Vedi figura 10 in Appendice.</w:t>
      </w:r>
    </w:p>
  </w:footnote>
  <w:footnote w:id="227">
    <w:p w14:paraId="77053D26" w14:textId="77777777" w:rsidR="00F202D0" w:rsidRDefault="00F202D0">
      <w:pPr>
        <w:pStyle w:val="Testonotaapidipagina"/>
      </w:pPr>
      <w:r>
        <w:rPr>
          <w:rStyle w:val="Rimandonotaapidipagina"/>
        </w:rPr>
        <w:footnoteRef/>
      </w:r>
      <w:r>
        <w:t xml:space="preserve"> </w:t>
      </w:r>
      <w:r w:rsidRPr="00D46769">
        <w:rPr>
          <w:rFonts w:ascii="Times New Roman" w:hAnsi="Times New Roman" w:cs="Times New Roman"/>
          <w:sz w:val="24"/>
          <w:szCs w:val="24"/>
        </w:rPr>
        <w:t>G.</w:t>
      </w:r>
      <w:r>
        <w:rPr>
          <w:rFonts w:ascii="Times New Roman" w:hAnsi="Times New Roman" w:cs="Times New Roman"/>
          <w:sz w:val="24"/>
          <w:szCs w:val="24"/>
        </w:rPr>
        <w:t xml:space="preserve">  </w:t>
      </w:r>
      <w:r w:rsidRPr="00D46769">
        <w:rPr>
          <w:rFonts w:ascii="Times New Roman" w:hAnsi="Times New Roman" w:cs="Times New Roman"/>
          <w:sz w:val="24"/>
          <w:szCs w:val="24"/>
        </w:rPr>
        <w:t xml:space="preserve">Carandente, </w:t>
      </w:r>
      <w:r w:rsidRPr="00D46769">
        <w:rPr>
          <w:rFonts w:ascii="Times New Roman" w:hAnsi="Times New Roman" w:cs="Times New Roman"/>
          <w:i/>
          <w:sz w:val="24"/>
          <w:szCs w:val="24"/>
        </w:rPr>
        <w:t>Cina</w:t>
      </w:r>
      <w:r w:rsidRPr="00D46769">
        <w:rPr>
          <w:rFonts w:ascii="Times New Roman" w:hAnsi="Times New Roman" w:cs="Times New Roman"/>
          <w:sz w:val="24"/>
          <w:szCs w:val="24"/>
        </w:rPr>
        <w:t xml:space="preserve">, in </w:t>
      </w:r>
      <w:r w:rsidRPr="00D46769">
        <w:rPr>
          <w:rFonts w:ascii="Times New Roman" w:hAnsi="Times New Roman" w:cs="Times New Roman"/>
          <w:i/>
          <w:sz w:val="24"/>
          <w:szCs w:val="24"/>
        </w:rPr>
        <w:t>Enciclopedia cattolica</w:t>
      </w:r>
      <w:r w:rsidRPr="00D46769">
        <w:rPr>
          <w:rFonts w:ascii="Times New Roman" w:hAnsi="Times New Roman" w:cs="Times New Roman"/>
          <w:sz w:val="24"/>
          <w:szCs w:val="24"/>
        </w:rPr>
        <w:t>, Vol. 3, 1948, p. 1670.</w:t>
      </w:r>
    </w:p>
  </w:footnote>
  <w:footnote w:id="228">
    <w:p w14:paraId="1F07BF36" w14:textId="77777777" w:rsidR="00F202D0" w:rsidRPr="00061DF1" w:rsidRDefault="00F202D0">
      <w:pPr>
        <w:pStyle w:val="Testonotaapidipagina"/>
        <w:rPr>
          <w:rFonts w:ascii="Times New Roman" w:hAnsi="Times New Roman" w:cs="Times New Roman"/>
          <w:sz w:val="24"/>
          <w:szCs w:val="24"/>
        </w:rPr>
      </w:pPr>
      <w:r>
        <w:rPr>
          <w:rStyle w:val="Rimandonotaapidipagina"/>
        </w:rPr>
        <w:footnoteRef/>
      </w:r>
      <w:r>
        <w:t xml:space="preserve"> </w:t>
      </w:r>
      <w:r w:rsidRPr="00061DF1">
        <w:rPr>
          <w:rFonts w:ascii="Times New Roman" w:hAnsi="Times New Roman" w:cs="Times New Roman"/>
          <w:sz w:val="24"/>
          <w:szCs w:val="24"/>
        </w:rPr>
        <w:t>A.</w:t>
      </w:r>
      <w:r>
        <w:rPr>
          <w:rFonts w:ascii="Times New Roman" w:hAnsi="Times New Roman" w:cs="Times New Roman"/>
          <w:sz w:val="24"/>
          <w:szCs w:val="24"/>
        </w:rPr>
        <w:t xml:space="preserve"> </w:t>
      </w:r>
      <w:r w:rsidRPr="00061DF1">
        <w:rPr>
          <w:rFonts w:ascii="Times New Roman" w:hAnsi="Times New Roman" w:cs="Times New Roman"/>
          <w:sz w:val="24"/>
          <w:szCs w:val="24"/>
        </w:rPr>
        <w:t xml:space="preserve">Pucci, </w:t>
      </w:r>
      <w:r w:rsidRPr="00061DF1">
        <w:rPr>
          <w:rFonts w:ascii="Times New Roman" w:hAnsi="Times New Roman" w:cs="Times New Roman"/>
          <w:i/>
          <w:sz w:val="24"/>
          <w:szCs w:val="24"/>
        </w:rPr>
        <w:t>Kiangsi</w:t>
      </w:r>
      <w:r w:rsidRPr="00061DF1">
        <w:rPr>
          <w:rFonts w:ascii="Times New Roman" w:hAnsi="Times New Roman" w:cs="Times New Roman"/>
          <w:sz w:val="24"/>
          <w:szCs w:val="24"/>
        </w:rPr>
        <w:t xml:space="preserve">, in </w:t>
      </w:r>
      <w:r w:rsidRPr="00061DF1">
        <w:rPr>
          <w:rFonts w:ascii="Times New Roman" w:hAnsi="Times New Roman" w:cs="Times New Roman"/>
          <w:i/>
          <w:sz w:val="24"/>
          <w:szCs w:val="24"/>
        </w:rPr>
        <w:t>Enciclopedia cattolica</w:t>
      </w:r>
      <w:r w:rsidRPr="00061DF1">
        <w:rPr>
          <w:rFonts w:ascii="Times New Roman" w:hAnsi="Times New Roman" w:cs="Times New Roman"/>
          <w:sz w:val="24"/>
          <w:szCs w:val="24"/>
        </w:rPr>
        <w:t>, Vol. 7, 1948, p. 688.</w:t>
      </w:r>
    </w:p>
  </w:footnote>
  <w:footnote w:id="229">
    <w:p w14:paraId="073F3D62" w14:textId="77777777" w:rsidR="00F202D0" w:rsidRPr="00F87737" w:rsidRDefault="00F202D0" w:rsidP="00383122">
      <w:pPr>
        <w:rPr>
          <w:rFonts w:ascii="Times New Roman" w:hAnsi="Times New Roman" w:cs="Times New Roman"/>
          <w:sz w:val="28"/>
          <w:szCs w:val="28"/>
        </w:rPr>
      </w:pPr>
      <w:r>
        <w:rPr>
          <w:rStyle w:val="Rimandonotaapidipagina"/>
        </w:rPr>
        <w:footnoteRef/>
      </w:r>
      <w:r>
        <w:t xml:space="preserve"> </w:t>
      </w:r>
      <w:r w:rsidRPr="00F87737">
        <w:rPr>
          <w:rFonts w:ascii="Times New Roman" w:hAnsi="Times New Roman" w:cs="Times New Roman"/>
          <w:i/>
          <w:sz w:val="24"/>
          <w:szCs w:val="24"/>
        </w:rPr>
        <w:t>Decretum: immutatur nomen vicariatus apostolici de Fu-Kow</w:t>
      </w:r>
      <w:r w:rsidRPr="00F87737">
        <w:rPr>
          <w:rFonts w:ascii="Times New Roman" w:hAnsi="Times New Roman" w:cs="Times New Roman"/>
          <w:sz w:val="24"/>
          <w:szCs w:val="24"/>
        </w:rPr>
        <w:t>, in AAS13-1921,1 giugno 1921, p 443.</w:t>
      </w:r>
    </w:p>
  </w:footnote>
  <w:footnote w:id="230">
    <w:p w14:paraId="20228603" w14:textId="77777777" w:rsidR="00F202D0" w:rsidRPr="006329D3" w:rsidRDefault="00F202D0" w:rsidP="00383122">
      <w:pPr>
        <w:rPr>
          <w:rFonts w:ascii="Times New Roman" w:hAnsi="Times New Roman" w:cs="Times New Roman"/>
          <w:sz w:val="24"/>
          <w:szCs w:val="24"/>
        </w:rPr>
      </w:pPr>
      <w:r>
        <w:rPr>
          <w:rStyle w:val="Rimandonotaapidipagina"/>
        </w:rPr>
        <w:footnoteRef/>
      </w:r>
      <w:r>
        <w:t xml:space="preserve"> </w:t>
      </w:r>
      <w:r w:rsidRPr="00F87737">
        <w:rPr>
          <w:rFonts w:ascii="Times New Roman" w:hAnsi="Times New Roman" w:cs="Times New Roman"/>
          <w:i/>
          <w:sz w:val="24"/>
          <w:szCs w:val="24"/>
        </w:rPr>
        <w:t>Decretum sedes vicariatus apostolici de Kuam-Tom occidentali et Hainan, in Sinis, transfertur ad urbem Pakhoi</w:t>
      </w:r>
      <w:r w:rsidRPr="00F87737">
        <w:rPr>
          <w:rFonts w:ascii="Times New Roman" w:hAnsi="Times New Roman" w:cs="Times New Roman"/>
          <w:sz w:val="24"/>
          <w:szCs w:val="24"/>
        </w:rPr>
        <w:t xml:space="preserve">, in AAS-14-1922, 5 agosto 1922, p 503. </w:t>
      </w:r>
    </w:p>
  </w:footnote>
  <w:footnote w:id="231">
    <w:p w14:paraId="677BD769" w14:textId="77777777" w:rsidR="00F202D0" w:rsidRDefault="00F202D0" w:rsidP="00383122">
      <w:pPr>
        <w:pStyle w:val="Testonotaapidipagina"/>
      </w:pPr>
      <w:r>
        <w:rPr>
          <w:rStyle w:val="Rimandonotaapidipagina"/>
        </w:rPr>
        <w:footnoteRef/>
      </w:r>
      <w:r>
        <w:t xml:space="preserve"> </w:t>
      </w:r>
      <w:r w:rsidRPr="00061DF1">
        <w:rPr>
          <w:rFonts w:ascii="Times New Roman" w:hAnsi="Times New Roman" w:cs="Times New Roman"/>
          <w:sz w:val="24"/>
          <w:szCs w:val="24"/>
        </w:rPr>
        <w:t>A.</w:t>
      </w:r>
      <w:r>
        <w:rPr>
          <w:rFonts w:ascii="Times New Roman" w:hAnsi="Times New Roman" w:cs="Times New Roman"/>
          <w:sz w:val="24"/>
          <w:szCs w:val="24"/>
        </w:rPr>
        <w:t xml:space="preserve"> </w:t>
      </w:r>
      <w:r w:rsidRPr="00061DF1">
        <w:rPr>
          <w:rFonts w:ascii="Times New Roman" w:hAnsi="Times New Roman" w:cs="Times New Roman"/>
          <w:sz w:val="24"/>
          <w:szCs w:val="24"/>
        </w:rPr>
        <w:t>Pucci,</w:t>
      </w:r>
      <w:r>
        <w:rPr>
          <w:rFonts w:ascii="Times New Roman" w:hAnsi="Times New Roman" w:cs="Times New Roman"/>
          <w:sz w:val="24"/>
          <w:szCs w:val="24"/>
        </w:rPr>
        <w:t xml:space="preserve"> </w:t>
      </w:r>
      <w:r w:rsidRPr="006329D3">
        <w:rPr>
          <w:rFonts w:ascii="Times New Roman" w:hAnsi="Times New Roman" w:cs="Times New Roman"/>
          <w:sz w:val="24"/>
          <w:szCs w:val="24"/>
        </w:rPr>
        <w:t>Yüanling</w:t>
      </w:r>
      <w:r>
        <w:rPr>
          <w:rFonts w:ascii="Times New Roman" w:hAnsi="Times New Roman" w:cs="Times New Roman"/>
          <w:sz w:val="24"/>
          <w:szCs w:val="24"/>
        </w:rPr>
        <w:t xml:space="preserve">, in </w:t>
      </w:r>
      <w:r w:rsidRPr="00061DF1">
        <w:rPr>
          <w:rFonts w:ascii="Times New Roman" w:hAnsi="Times New Roman" w:cs="Times New Roman"/>
          <w:i/>
          <w:sz w:val="24"/>
          <w:szCs w:val="24"/>
        </w:rPr>
        <w:t>Enciclopedia cattolica</w:t>
      </w:r>
      <w:r w:rsidRPr="00061DF1">
        <w:rPr>
          <w:rFonts w:ascii="Times New Roman" w:hAnsi="Times New Roman" w:cs="Times New Roman"/>
          <w:sz w:val="24"/>
          <w:szCs w:val="24"/>
        </w:rPr>
        <w:t>, Vol.</w:t>
      </w:r>
      <w:r>
        <w:rPr>
          <w:rFonts w:ascii="Times New Roman" w:hAnsi="Times New Roman" w:cs="Times New Roman"/>
          <w:sz w:val="24"/>
          <w:szCs w:val="24"/>
        </w:rPr>
        <w:t xml:space="preserve"> 12, 1948, p. 1748.</w:t>
      </w:r>
    </w:p>
  </w:footnote>
  <w:footnote w:id="232">
    <w:p w14:paraId="1503CB70" w14:textId="77777777" w:rsidR="00F202D0" w:rsidRPr="00F634DB" w:rsidRDefault="00F202D0" w:rsidP="00383122">
      <w:pPr>
        <w:rPr>
          <w:rFonts w:ascii="Times New Roman" w:hAnsi="Times New Roman" w:cs="Times New Roman"/>
          <w:sz w:val="28"/>
          <w:szCs w:val="28"/>
        </w:rPr>
      </w:pPr>
      <w:r>
        <w:rPr>
          <w:rStyle w:val="Rimandonotaapidipagina"/>
        </w:rPr>
        <w:footnoteRef/>
      </w:r>
      <w:r>
        <w:t xml:space="preserve"> </w:t>
      </w:r>
      <w:r w:rsidRPr="006329D3">
        <w:rPr>
          <w:rFonts w:ascii="Times New Roman" w:hAnsi="Times New Roman" w:cs="Times New Roman"/>
          <w:i/>
          <w:sz w:val="24"/>
          <w:szCs w:val="24"/>
        </w:rPr>
        <w:t>Decretum immutatur nomen vicariatus apostolici de Shenchow</w:t>
      </w:r>
      <w:r w:rsidRPr="006329D3">
        <w:rPr>
          <w:rFonts w:ascii="Times New Roman" w:hAnsi="Times New Roman" w:cs="Times New Roman"/>
          <w:sz w:val="24"/>
          <w:szCs w:val="24"/>
        </w:rPr>
        <w:t xml:space="preserve"> in AAS17-1935, 10 dicembre 1934, p 22.</w:t>
      </w:r>
    </w:p>
  </w:footnote>
  <w:footnote w:id="233">
    <w:p w14:paraId="4DA03791" w14:textId="77777777" w:rsidR="00F202D0" w:rsidRDefault="00F202D0">
      <w:pPr>
        <w:pStyle w:val="Testonotaapidipagina"/>
      </w:pPr>
      <w:r>
        <w:rPr>
          <w:rStyle w:val="Rimandonotaapidipagina"/>
        </w:rPr>
        <w:footnoteRef/>
      </w:r>
      <w:r>
        <w:t xml:space="preserve"> </w:t>
      </w:r>
      <w:r w:rsidRPr="00742E55">
        <w:rPr>
          <w:rFonts w:ascii="Times New Roman" w:hAnsi="Times New Roman" w:cs="Times New Roman"/>
          <w:sz w:val="24"/>
          <w:szCs w:val="24"/>
        </w:rPr>
        <w:t>Vedi figura 11 in Appendice</w:t>
      </w:r>
      <w:r>
        <w:t>.</w:t>
      </w:r>
    </w:p>
  </w:footnote>
  <w:footnote w:id="234">
    <w:p w14:paraId="16809224" w14:textId="77777777" w:rsidR="00F202D0" w:rsidRPr="00F634DB" w:rsidRDefault="00F202D0" w:rsidP="00383122">
      <w:pPr>
        <w:pStyle w:val="Testonotaapidipagina"/>
        <w:rPr>
          <w:sz w:val="24"/>
          <w:szCs w:val="24"/>
        </w:rPr>
      </w:pPr>
      <w:r>
        <w:rPr>
          <w:rStyle w:val="Rimandonotaapidipagina"/>
        </w:rPr>
        <w:footnoteRef/>
      </w:r>
      <w:r>
        <w:t xml:space="preserve"> </w:t>
      </w:r>
      <w:r w:rsidRPr="00F634DB">
        <w:rPr>
          <w:rFonts w:ascii="Times New Roman" w:hAnsi="Times New Roman" w:cs="Times New Roman"/>
          <w:sz w:val="24"/>
          <w:szCs w:val="24"/>
        </w:rPr>
        <w:t>A.</w:t>
      </w:r>
      <w:r>
        <w:rPr>
          <w:rFonts w:ascii="Times New Roman" w:hAnsi="Times New Roman" w:cs="Times New Roman"/>
          <w:sz w:val="24"/>
          <w:szCs w:val="24"/>
        </w:rPr>
        <w:t xml:space="preserve"> </w:t>
      </w:r>
      <w:r w:rsidRPr="00F634DB">
        <w:rPr>
          <w:rFonts w:ascii="Times New Roman" w:hAnsi="Times New Roman" w:cs="Times New Roman"/>
          <w:sz w:val="24"/>
          <w:szCs w:val="24"/>
        </w:rPr>
        <w:t xml:space="preserve">Pucci, </w:t>
      </w:r>
      <w:r w:rsidRPr="00F634DB">
        <w:rPr>
          <w:rFonts w:ascii="Times New Roman" w:hAnsi="Times New Roman" w:cs="Times New Roman"/>
          <w:i/>
          <w:sz w:val="24"/>
          <w:szCs w:val="24"/>
        </w:rPr>
        <w:t>Kiamusze</w:t>
      </w:r>
      <w:r w:rsidRPr="00F634DB">
        <w:rPr>
          <w:rFonts w:ascii="Times New Roman" w:hAnsi="Times New Roman" w:cs="Times New Roman"/>
          <w:sz w:val="24"/>
          <w:szCs w:val="24"/>
        </w:rPr>
        <w:t xml:space="preserve">, in </w:t>
      </w:r>
      <w:r w:rsidRPr="00F634DB">
        <w:rPr>
          <w:rFonts w:ascii="Times New Roman" w:hAnsi="Times New Roman" w:cs="Times New Roman"/>
          <w:i/>
          <w:sz w:val="24"/>
          <w:szCs w:val="24"/>
        </w:rPr>
        <w:t>Enciclopedia cattolica</w:t>
      </w:r>
      <w:r w:rsidRPr="00F634DB">
        <w:rPr>
          <w:rFonts w:ascii="Times New Roman" w:hAnsi="Times New Roman" w:cs="Times New Roman"/>
          <w:sz w:val="24"/>
          <w:szCs w:val="24"/>
        </w:rPr>
        <w:t>, Vol. 7, 1948, p. 687.</w:t>
      </w:r>
    </w:p>
  </w:footnote>
  <w:footnote w:id="235">
    <w:p w14:paraId="5D732819" w14:textId="77777777" w:rsidR="00F202D0" w:rsidRPr="00195D9B" w:rsidRDefault="00F202D0" w:rsidP="00383122">
      <w:pPr>
        <w:rPr>
          <w:rFonts w:ascii="Times New Roman" w:hAnsi="Times New Roman" w:cs="Times New Roman"/>
          <w:sz w:val="24"/>
          <w:szCs w:val="24"/>
        </w:rPr>
      </w:pPr>
      <w:r>
        <w:rPr>
          <w:rStyle w:val="Rimandonotaapidipagina"/>
        </w:rPr>
        <w:footnoteRef/>
      </w:r>
      <w:r>
        <w:t xml:space="preserve"> </w:t>
      </w:r>
      <w:r w:rsidRPr="00F634DB">
        <w:rPr>
          <w:rFonts w:ascii="Times New Roman" w:hAnsi="Times New Roman" w:cs="Times New Roman"/>
          <w:i/>
          <w:sz w:val="24"/>
          <w:szCs w:val="24"/>
        </w:rPr>
        <w:t>Decretum: quo missio sui iuris de Ilan in Manciuria in posterum missio sui iuris de Kiamusze appellabitur</w:t>
      </w:r>
      <w:r w:rsidRPr="00F634DB">
        <w:rPr>
          <w:rFonts w:ascii="Times New Roman" w:hAnsi="Times New Roman" w:cs="Times New Roman"/>
          <w:sz w:val="24"/>
          <w:szCs w:val="24"/>
        </w:rPr>
        <w:t>, in AAS29-1937, 13 aprile 1937, p 309.</w:t>
      </w:r>
    </w:p>
  </w:footnote>
  <w:footnote w:id="236">
    <w:p w14:paraId="25D629B1" w14:textId="77777777" w:rsidR="00F202D0" w:rsidRDefault="00F202D0" w:rsidP="00383122">
      <w:pPr>
        <w:pStyle w:val="Testonotaapidipagina"/>
      </w:pPr>
      <w:r>
        <w:rPr>
          <w:rStyle w:val="Rimandonotaapidipagina"/>
        </w:rPr>
        <w:footnoteRef/>
      </w:r>
      <w:r>
        <w:t xml:space="preserve"> </w:t>
      </w:r>
      <w:r w:rsidRPr="00F634DB">
        <w:rPr>
          <w:rFonts w:ascii="Times New Roman" w:hAnsi="Times New Roman" w:cs="Times New Roman"/>
          <w:sz w:val="24"/>
          <w:szCs w:val="24"/>
        </w:rPr>
        <w:t>A.</w:t>
      </w:r>
      <w:r>
        <w:rPr>
          <w:rFonts w:ascii="Times New Roman" w:hAnsi="Times New Roman" w:cs="Times New Roman"/>
          <w:sz w:val="24"/>
          <w:szCs w:val="24"/>
        </w:rPr>
        <w:t xml:space="preserve"> </w:t>
      </w:r>
      <w:r w:rsidRPr="00F634DB">
        <w:rPr>
          <w:rFonts w:ascii="Times New Roman" w:hAnsi="Times New Roman" w:cs="Times New Roman"/>
          <w:sz w:val="24"/>
          <w:szCs w:val="24"/>
        </w:rPr>
        <w:t>Pucci,</w:t>
      </w:r>
      <w:r w:rsidRPr="00195D9B">
        <w:rPr>
          <w:rFonts w:ascii="Times New Roman" w:hAnsi="Times New Roman" w:cs="Times New Roman"/>
          <w:sz w:val="28"/>
          <w:szCs w:val="28"/>
        </w:rPr>
        <w:t xml:space="preserve"> </w:t>
      </w:r>
      <w:r w:rsidRPr="00195D9B">
        <w:rPr>
          <w:rFonts w:ascii="Times New Roman" w:hAnsi="Times New Roman" w:cs="Times New Roman"/>
          <w:i/>
          <w:sz w:val="24"/>
          <w:szCs w:val="24"/>
        </w:rPr>
        <w:t>Lishui</w:t>
      </w:r>
      <w:r w:rsidRPr="00F634DB">
        <w:rPr>
          <w:rFonts w:ascii="Times New Roman" w:hAnsi="Times New Roman" w:cs="Times New Roman"/>
          <w:sz w:val="24"/>
          <w:szCs w:val="24"/>
        </w:rPr>
        <w:t xml:space="preserve"> , in </w:t>
      </w:r>
      <w:r w:rsidRPr="00F634DB">
        <w:rPr>
          <w:rFonts w:ascii="Times New Roman" w:hAnsi="Times New Roman" w:cs="Times New Roman"/>
          <w:i/>
          <w:sz w:val="24"/>
          <w:szCs w:val="24"/>
        </w:rPr>
        <w:t>Enciclopedia cattolica</w:t>
      </w:r>
      <w:r w:rsidRPr="00F634DB">
        <w:rPr>
          <w:rFonts w:ascii="Times New Roman" w:hAnsi="Times New Roman" w:cs="Times New Roman"/>
          <w:sz w:val="24"/>
          <w:szCs w:val="24"/>
        </w:rPr>
        <w:t xml:space="preserve">, Vol. </w:t>
      </w:r>
      <w:r>
        <w:rPr>
          <w:rFonts w:ascii="Times New Roman" w:hAnsi="Times New Roman" w:cs="Times New Roman"/>
          <w:sz w:val="24"/>
          <w:szCs w:val="24"/>
        </w:rPr>
        <w:t>7</w:t>
      </w:r>
      <w:r w:rsidRPr="00F634DB">
        <w:rPr>
          <w:rFonts w:ascii="Times New Roman" w:hAnsi="Times New Roman" w:cs="Times New Roman"/>
          <w:sz w:val="24"/>
          <w:szCs w:val="24"/>
        </w:rPr>
        <w:t>, 1948, p.</w:t>
      </w:r>
      <w:r>
        <w:rPr>
          <w:rFonts w:ascii="Times New Roman" w:hAnsi="Times New Roman" w:cs="Times New Roman"/>
          <w:sz w:val="24"/>
          <w:szCs w:val="24"/>
        </w:rPr>
        <w:t xml:space="preserve"> 1412.</w:t>
      </w:r>
    </w:p>
  </w:footnote>
  <w:footnote w:id="237">
    <w:p w14:paraId="240A2047" w14:textId="77777777" w:rsidR="00F202D0" w:rsidRPr="00153A77" w:rsidRDefault="00F202D0" w:rsidP="00383122">
      <w:pPr>
        <w:rPr>
          <w:rFonts w:ascii="Times New Roman" w:hAnsi="Times New Roman" w:cs="Times New Roman"/>
          <w:sz w:val="24"/>
          <w:szCs w:val="24"/>
        </w:rPr>
      </w:pPr>
      <w:r>
        <w:rPr>
          <w:rStyle w:val="Rimandonotaapidipagina"/>
        </w:rPr>
        <w:footnoteRef/>
      </w:r>
      <w:r>
        <w:t xml:space="preserve"> </w:t>
      </w:r>
      <w:r w:rsidRPr="00195D9B">
        <w:rPr>
          <w:rFonts w:ascii="Times New Roman" w:hAnsi="Times New Roman" w:cs="Times New Roman"/>
          <w:i/>
          <w:sz w:val="24"/>
          <w:szCs w:val="24"/>
        </w:rPr>
        <w:t>Decretum: q</w:t>
      </w:r>
      <w:r>
        <w:rPr>
          <w:rFonts w:ascii="Times New Roman" w:hAnsi="Times New Roman" w:cs="Times New Roman"/>
          <w:i/>
          <w:sz w:val="24"/>
          <w:szCs w:val="24"/>
        </w:rPr>
        <w:t>uo praefectura apostolica «de Chuchow in posterum «</w:t>
      </w:r>
      <w:r w:rsidRPr="00195D9B">
        <w:rPr>
          <w:rFonts w:ascii="Times New Roman" w:hAnsi="Times New Roman" w:cs="Times New Roman"/>
          <w:i/>
          <w:sz w:val="24"/>
          <w:szCs w:val="24"/>
        </w:rPr>
        <w:t>de L</w:t>
      </w:r>
      <w:r>
        <w:rPr>
          <w:rFonts w:ascii="Times New Roman" w:hAnsi="Times New Roman" w:cs="Times New Roman"/>
          <w:i/>
          <w:sz w:val="24"/>
          <w:szCs w:val="24"/>
        </w:rPr>
        <w:t>ishui</w:t>
      </w:r>
      <w:r w:rsidRPr="00195D9B">
        <w:rPr>
          <w:rFonts w:ascii="Times New Roman" w:hAnsi="Times New Roman" w:cs="Times New Roman"/>
          <w:i/>
          <w:sz w:val="24"/>
          <w:szCs w:val="24"/>
        </w:rPr>
        <w:t>» appellabitur</w:t>
      </w:r>
      <w:r w:rsidRPr="00195D9B">
        <w:rPr>
          <w:rFonts w:ascii="Times New Roman" w:hAnsi="Times New Roman" w:cs="Times New Roman"/>
          <w:sz w:val="24"/>
          <w:szCs w:val="24"/>
        </w:rPr>
        <w:t>, in AAS29-1937, 28 maggio 1937, p 310.</w:t>
      </w:r>
    </w:p>
  </w:footnote>
  <w:footnote w:id="238">
    <w:p w14:paraId="33850761" w14:textId="77777777" w:rsidR="00F202D0" w:rsidRDefault="00F202D0" w:rsidP="00383122">
      <w:pPr>
        <w:rPr>
          <w:rFonts w:ascii="Times New Roman" w:hAnsi="Times New Roman" w:cs="Times New Roman"/>
          <w:sz w:val="28"/>
          <w:szCs w:val="28"/>
        </w:rPr>
      </w:pPr>
      <w:r>
        <w:rPr>
          <w:rStyle w:val="Rimandonotaapidipagina"/>
        </w:rPr>
        <w:footnoteRef/>
      </w:r>
      <w:r>
        <w:t xml:space="preserve"> </w:t>
      </w:r>
      <w:r w:rsidRPr="00153A77">
        <w:rPr>
          <w:rFonts w:ascii="Times New Roman" w:hAnsi="Times New Roman" w:cs="Times New Roman"/>
          <w:i/>
          <w:sz w:val="24"/>
          <w:szCs w:val="24"/>
        </w:rPr>
        <w:t>Decretum: de mutatione finium vicariatuum</w:t>
      </w:r>
      <w:r w:rsidRPr="00153A77">
        <w:rPr>
          <w:rFonts w:ascii="Times New Roman" w:hAnsi="Times New Roman" w:cs="Times New Roman"/>
          <w:sz w:val="24"/>
          <w:szCs w:val="24"/>
        </w:rPr>
        <w:t>, in AAS30-1938, 9 febbraio 1938, p 162.</w:t>
      </w:r>
    </w:p>
    <w:p w14:paraId="1178E7F0" w14:textId="77777777" w:rsidR="00F202D0" w:rsidRDefault="00F202D0">
      <w:pPr>
        <w:pStyle w:val="Testonotaapidipagina"/>
      </w:pPr>
    </w:p>
  </w:footnote>
  <w:footnote w:id="239">
    <w:p w14:paraId="6666918A" w14:textId="77777777" w:rsidR="00F202D0" w:rsidRPr="008E546B"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sidRPr="008E546B">
        <w:rPr>
          <w:rFonts w:ascii="Times New Roman" w:hAnsi="Times New Roman" w:cs="Times New Roman"/>
          <w:sz w:val="24"/>
          <w:szCs w:val="24"/>
        </w:rPr>
        <w:t>E.</w:t>
      </w:r>
      <w:r>
        <w:rPr>
          <w:rFonts w:ascii="Times New Roman" w:hAnsi="Times New Roman" w:cs="Times New Roman"/>
          <w:sz w:val="24"/>
          <w:szCs w:val="24"/>
        </w:rPr>
        <w:t xml:space="preserve"> </w:t>
      </w:r>
      <w:r w:rsidRPr="008E546B">
        <w:rPr>
          <w:rFonts w:ascii="Times New Roman" w:hAnsi="Times New Roman" w:cs="Times New Roman"/>
          <w:sz w:val="24"/>
          <w:szCs w:val="24"/>
        </w:rPr>
        <w:t xml:space="preserve">Pecoraio, </w:t>
      </w:r>
      <w:r w:rsidRPr="008E546B">
        <w:rPr>
          <w:rFonts w:ascii="Times New Roman" w:hAnsi="Times New Roman" w:cs="Times New Roman"/>
          <w:i/>
          <w:color w:val="0D0D0D" w:themeColor="text1" w:themeTint="F2"/>
          <w:sz w:val="24"/>
          <w:szCs w:val="24"/>
        </w:rPr>
        <w:t>Tsitsikar</w:t>
      </w:r>
      <w:r w:rsidRPr="008E546B">
        <w:rPr>
          <w:rFonts w:ascii="Times New Roman" w:hAnsi="Times New Roman" w:cs="Times New Roman"/>
          <w:color w:val="0D0D0D" w:themeColor="text1" w:themeTint="F2"/>
          <w:sz w:val="24"/>
          <w:szCs w:val="24"/>
        </w:rPr>
        <w:t xml:space="preserve">, in </w:t>
      </w:r>
      <w:r w:rsidRPr="008E546B">
        <w:rPr>
          <w:rFonts w:ascii="Times New Roman" w:hAnsi="Times New Roman" w:cs="Times New Roman"/>
          <w:i/>
          <w:color w:val="0D0D0D" w:themeColor="text1" w:themeTint="F2"/>
          <w:sz w:val="24"/>
          <w:szCs w:val="24"/>
        </w:rPr>
        <w:t>Enciclopedia cattolica</w:t>
      </w:r>
      <w:r w:rsidRPr="008E546B">
        <w:rPr>
          <w:rFonts w:ascii="Times New Roman" w:hAnsi="Times New Roman" w:cs="Times New Roman"/>
          <w:color w:val="0D0D0D" w:themeColor="text1" w:themeTint="F2"/>
          <w:sz w:val="24"/>
          <w:szCs w:val="24"/>
        </w:rPr>
        <w:t>, Vol.12, 1948, p. 592.</w:t>
      </w:r>
    </w:p>
  </w:footnote>
  <w:footnote w:id="240">
    <w:p w14:paraId="07EA538C" w14:textId="77777777" w:rsidR="00F202D0" w:rsidRPr="00984600" w:rsidRDefault="00F202D0" w:rsidP="00383122">
      <w:pPr>
        <w:pStyle w:val="Testonotaapidipagina"/>
        <w:rPr>
          <w:sz w:val="24"/>
          <w:szCs w:val="24"/>
        </w:rPr>
      </w:pPr>
      <w:r>
        <w:rPr>
          <w:rStyle w:val="Rimandonotaapidipagina"/>
        </w:rPr>
        <w:footnoteRef/>
      </w:r>
      <w:r>
        <w:t xml:space="preserve"> </w:t>
      </w:r>
      <w:r w:rsidRPr="00984600">
        <w:rPr>
          <w:rFonts w:ascii="Times New Roman" w:hAnsi="Times New Roman" w:cs="Times New Roman"/>
          <w:i/>
          <w:sz w:val="24"/>
          <w:szCs w:val="24"/>
        </w:rPr>
        <w:t>Decretum: e vicariatu apostolico de Kirin pars septemtrionalis Seiungitur atque praefecturae apostolicae de Tsitsihar adnectitur</w:t>
      </w:r>
      <w:r w:rsidRPr="00984600">
        <w:rPr>
          <w:rFonts w:ascii="Times New Roman" w:hAnsi="Times New Roman" w:cs="Times New Roman"/>
          <w:sz w:val="24"/>
          <w:szCs w:val="24"/>
        </w:rPr>
        <w:t>, in AAS30-1938,15 marzo 1939, p. 308.</w:t>
      </w:r>
    </w:p>
  </w:footnote>
  <w:footnote w:id="241">
    <w:p w14:paraId="4393D15D" w14:textId="77777777" w:rsidR="00F202D0" w:rsidRPr="00513C8A" w:rsidRDefault="00F202D0" w:rsidP="00383122">
      <w:pPr>
        <w:rPr>
          <w:rFonts w:ascii="Times New Roman" w:hAnsi="Times New Roman" w:cs="Times New Roman"/>
          <w:sz w:val="24"/>
          <w:szCs w:val="24"/>
          <w:lang w:val="en-US"/>
        </w:rPr>
      </w:pPr>
      <w:r>
        <w:rPr>
          <w:rStyle w:val="Rimandonotaapidipagina"/>
        </w:rPr>
        <w:footnoteRef/>
      </w:r>
      <w:r w:rsidRPr="00513C8A">
        <w:rPr>
          <w:lang w:val="en-US"/>
        </w:rPr>
        <w:t xml:space="preserve"> </w:t>
      </w:r>
      <w:r w:rsidRPr="00513C8A">
        <w:rPr>
          <w:rFonts w:ascii="Times New Roman" w:hAnsi="Times New Roman" w:cs="Times New Roman"/>
          <w:i/>
          <w:sz w:val="24"/>
          <w:szCs w:val="24"/>
          <w:lang w:val="en-US"/>
        </w:rPr>
        <w:t>Decretum: dismembrationis et unionis</w:t>
      </w:r>
      <w:r w:rsidRPr="00513C8A">
        <w:rPr>
          <w:rFonts w:ascii="Times New Roman" w:hAnsi="Times New Roman" w:cs="Times New Roman"/>
          <w:sz w:val="24"/>
          <w:szCs w:val="24"/>
          <w:lang w:val="en-US"/>
        </w:rPr>
        <w:t>, in AAS33-1941, 20 febbraio 1941, p. 124.</w:t>
      </w:r>
    </w:p>
  </w:footnote>
  <w:footnote w:id="242">
    <w:p w14:paraId="18D3BCC5" w14:textId="77777777" w:rsidR="00F202D0" w:rsidRPr="00673632" w:rsidRDefault="00F202D0" w:rsidP="00383122">
      <w:pPr>
        <w:rPr>
          <w:rFonts w:ascii="Times New Roman" w:hAnsi="Times New Roman" w:cs="Times New Roman"/>
          <w:sz w:val="24"/>
          <w:szCs w:val="24"/>
        </w:rPr>
      </w:pPr>
      <w:r>
        <w:rPr>
          <w:rStyle w:val="Rimandonotaapidipagina"/>
        </w:rPr>
        <w:footnoteRef/>
      </w:r>
      <w:r>
        <w:t xml:space="preserve"> </w:t>
      </w:r>
      <w:r w:rsidRPr="00673632">
        <w:rPr>
          <w:rFonts w:ascii="Times New Roman" w:hAnsi="Times New Roman" w:cs="Times New Roman"/>
          <w:i/>
          <w:sz w:val="24"/>
          <w:szCs w:val="24"/>
        </w:rPr>
        <w:t>Decretum: db mutatione finium dioecesium ac sedis episcopalis translatione</w:t>
      </w:r>
      <w:r w:rsidRPr="00673632">
        <w:rPr>
          <w:rFonts w:ascii="Times New Roman" w:hAnsi="Times New Roman" w:cs="Times New Roman"/>
          <w:sz w:val="24"/>
          <w:szCs w:val="24"/>
        </w:rPr>
        <w:t>, in AAS40-1948, 8 gennaio 1948, p. 121.</w:t>
      </w:r>
    </w:p>
  </w:footnote>
  <w:footnote w:id="243">
    <w:p w14:paraId="0DFD9F32" w14:textId="77777777" w:rsidR="00F202D0" w:rsidRPr="00923F92" w:rsidRDefault="00F202D0">
      <w:pPr>
        <w:pStyle w:val="Testonotaapidipagina"/>
        <w:rPr>
          <w:rFonts w:ascii="Times New Roman" w:hAnsi="Times New Roman" w:cs="Times New Roman"/>
          <w:sz w:val="24"/>
          <w:szCs w:val="24"/>
        </w:rPr>
      </w:pPr>
      <w:r>
        <w:rPr>
          <w:rStyle w:val="Rimandonotaapidipagina"/>
        </w:rPr>
        <w:footnoteRef/>
      </w:r>
      <w:r>
        <w:t xml:space="preserve"> </w:t>
      </w:r>
      <w:r w:rsidRPr="00923F92">
        <w:rPr>
          <w:rFonts w:ascii="Times New Roman" w:hAnsi="Times New Roman" w:cs="Times New Roman"/>
          <w:sz w:val="24"/>
          <w:szCs w:val="24"/>
        </w:rPr>
        <w:t>Vedi figura 12 in Appendice.</w:t>
      </w:r>
    </w:p>
  </w:footnote>
  <w:footnote w:id="244">
    <w:p w14:paraId="55D0FB88" w14:textId="77777777" w:rsidR="00F202D0" w:rsidRPr="00EE5B56" w:rsidRDefault="00F202D0">
      <w:pPr>
        <w:pStyle w:val="Testonotaapidipagina"/>
        <w:rPr>
          <w:sz w:val="24"/>
          <w:szCs w:val="24"/>
        </w:rPr>
      </w:pPr>
      <w:r>
        <w:rPr>
          <w:rStyle w:val="Rimandonotaapidipagina"/>
        </w:rPr>
        <w:footnoteRef/>
      </w:r>
      <w:r>
        <w:t xml:space="preserve"> </w:t>
      </w:r>
      <w:r>
        <w:rPr>
          <w:rFonts w:ascii="Times New Roman" w:hAnsi="Times New Roman" w:cs="Times New Roman"/>
          <w:i/>
          <w:sz w:val="24"/>
          <w:szCs w:val="24"/>
        </w:rPr>
        <w:t>Decretum</w:t>
      </w:r>
      <w:r w:rsidRPr="00EE5B56">
        <w:rPr>
          <w:rFonts w:ascii="Times New Roman" w:hAnsi="Times New Roman" w:cs="Times New Roman"/>
          <w:i/>
          <w:sz w:val="24"/>
          <w:szCs w:val="24"/>
        </w:rPr>
        <w:t>: delegati apostolici in Iaponi a munera ad vicariatu S. apostolico sinsu - larum carolinen, Marianen , et Marshall extenduntur</w:t>
      </w:r>
      <w:r w:rsidRPr="00EE5B56">
        <w:rPr>
          <w:rFonts w:ascii="Times New Roman" w:hAnsi="Times New Roman" w:cs="Times New Roman"/>
          <w:sz w:val="24"/>
          <w:szCs w:val="24"/>
        </w:rPr>
        <w:t>, in AAS13- 1921 , 8 marzo 1921, p 149</w:t>
      </w:r>
    </w:p>
  </w:footnote>
  <w:footnote w:id="245">
    <w:p w14:paraId="4D4E7D5A" w14:textId="77777777" w:rsidR="00F202D0" w:rsidRPr="00EE5B56" w:rsidRDefault="00F202D0" w:rsidP="00383122">
      <w:pPr>
        <w:rPr>
          <w:rFonts w:ascii="Times New Roman" w:hAnsi="Times New Roman" w:cs="Times New Roman"/>
          <w:sz w:val="28"/>
          <w:szCs w:val="28"/>
        </w:rPr>
      </w:pPr>
      <w:r>
        <w:rPr>
          <w:rStyle w:val="Rimandonotaapidipagina"/>
        </w:rPr>
        <w:footnoteRef/>
      </w:r>
      <w:r>
        <w:t xml:space="preserve"> </w:t>
      </w:r>
      <w:r w:rsidRPr="00285FA9">
        <w:rPr>
          <w:rFonts w:ascii="Times New Roman" w:hAnsi="Times New Roman" w:cs="Times New Roman"/>
          <w:i/>
          <w:sz w:val="24"/>
          <w:szCs w:val="24"/>
        </w:rPr>
        <w:t>Decretum: de iurisdictionis ordinaria et translatione</w:t>
      </w:r>
      <w:r w:rsidRPr="00285FA9">
        <w:rPr>
          <w:rFonts w:ascii="Times New Roman" w:hAnsi="Times New Roman" w:cs="Times New Roman"/>
          <w:sz w:val="24"/>
          <w:szCs w:val="24"/>
        </w:rPr>
        <w:t>, in AAS39-1947,13 gennaio 1947, p. 273.</w:t>
      </w:r>
      <w:r>
        <w:rPr>
          <w:rFonts w:ascii="Times New Roman" w:hAnsi="Times New Roman" w:cs="Times New Roman"/>
          <w:sz w:val="28"/>
          <w:szCs w:val="28"/>
        </w:rPr>
        <w:t xml:space="preserve"> </w:t>
      </w:r>
    </w:p>
  </w:footnote>
  <w:footnote w:id="246">
    <w:p w14:paraId="572BC394" w14:textId="77777777" w:rsidR="00F202D0" w:rsidRDefault="00F202D0" w:rsidP="00383122">
      <w:pPr>
        <w:pStyle w:val="Testonotaapidipagina"/>
      </w:pPr>
      <w:r>
        <w:rPr>
          <w:rStyle w:val="Rimandonotaapidipagina"/>
        </w:rPr>
        <w:footnoteRef/>
      </w:r>
      <w:r>
        <w:t xml:space="preserve"> </w:t>
      </w:r>
      <w:r w:rsidRPr="008E546B">
        <w:rPr>
          <w:rFonts w:ascii="Times New Roman" w:hAnsi="Times New Roman" w:cs="Times New Roman"/>
          <w:sz w:val="24"/>
          <w:szCs w:val="24"/>
        </w:rPr>
        <w:t>E.</w:t>
      </w:r>
      <w:r>
        <w:rPr>
          <w:rFonts w:ascii="Times New Roman" w:hAnsi="Times New Roman" w:cs="Times New Roman"/>
          <w:sz w:val="24"/>
          <w:szCs w:val="24"/>
        </w:rPr>
        <w:t xml:space="preserve"> </w:t>
      </w:r>
      <w:r w:rsidRPr="008E546B">
        <w:rPr>
          <w:rFonts w:ascii="Times New Roman" w:hAnsi="Times New Roman" w:cs="Times New Roman"/>
          <w:sz w:val="24"/>
          <w:szCs w:val="24"/>
        </w:rPr>
        <w:t>Pecoraio,</w:t>
      </w:r>
      <w:r>
        <w:rPr>
          <w:rFonts w:ascii="Times New Roman" w:hAnsi="Times New Roman" w:cs="Times New Roman"/>
          <w:sz w:val="24"/>
          <w:szCs w:val="24"/>
        </w:rPr>
        <w:t xml:space="preserve"> </w:t>
      </w:r>
      <w:r w:rsidRPr="005F380F">
        <w:rPr>
          <w:rFonts w:ascii="Times New Roman" w:hAnsi="Times New Roman" w:cs="Times New Roman"/>
          <w:i/>
          <w:sz w:val="24"/>
          <w:szCs w:val="24"/>
        </w:rPr>
        <w:t>Guam</w:t>
      </w:r>
      <w:r>
        <w:rPr>
          <w:rFonts w:ascii="Times New Roman" w:hAnsi="Times New Roman" w:cs="Times New Roman"/>
          <w:sz w:val="24"/>
          <w:szCs w:val="24"/>
        </w:rPr>
        <w:t xml:space="preserve">, in </w:t>
      </w:r>
      <w:r w:rsidRPr="005F380F">
        <w:rPr>
          <w:rFonts w:ascii="Times New Roman" w:hAnsi="Times New Roman" w:cs="Times New Roman"/>
          <w:i/>
          <w:sz w:val="24"/>
          <w:szCs w:val="24"/>
        </w:rPr>
        <w:t>Enciclopedia cattolica</w:t>
      </w:r>
      <w:r>
        <w:rPr>
          <w:rFonts w:ascii="Times New Roman" w:hAnsi="Times New Roman" w:cs="Times New Roman"/>
          <w:sz w:val="24"/>
          <w:szCs w:val="24"/>
        </w:rPr>
        <w:t>, Vol. 6, 1948, p. 1198.</w:t>
      </w:r>
    </w:p>
  </w:footnote>
  <w:footnote w:id="247">
    <w:p w14:paraId="44FAF575" w14:textId="77777777" w:rsidR="00F202D0" w:rsidRDefault="00F202D0" w:rsidP="00383122">
      <w:pPr>
        <w:pStyle w:val="Testonotaapidipagina"/>
      </w:pPr>
      <w:r>
        <w:rPr>
          <w:rStyle w:val="Rimandonotaapidipagina"/>
        </w:rPr>
        <w:footnoteRef/>
      </w:r>
      <w:r>
        <w:t xml:space="preserve"> </w:t>
      </w:r>
      <w:r w:rsidRPr="008755CB">
        <w:rPr>
          <w:rFonts w:ascii="Times New Roman" w:hAnsi="Times New Roman" w:cs="Times New Roman"/>
          <w:i/>
          <w:sz w:val="24"/>
          <w:szCs w:val="24"/>
        </w:rPr>
        <w:t>Ibidem.</w:t>
      </w:r>
    </w:p>
    <w:p w14:paraId="6AA76A89" w14:textId="77777777" w:rsidR="00F202D0" w:rsidRDefault="00F202D0" w:rsidP="00383122">
      <w:pPr>
        <w:pStyle w:val="Testonotaapidipagina"/>
      </w:pPr>
    </w:p>
  </w:footnote>
  <w:footnote w:id="248">
    <w:p w14:paraId="33AEEC3A" w14:textId="77777777" w:rsidR="00F202D0" w:rsidRPr="000A3A56" w:rsidRDefault="00F202D0" w:rsidP="00383122">
      <w:pPr>
        <w:rPr>
          <w:rFonts w:ascii="Times New Roman" w:hAnsi="Times New Roman" w:cs="Times New Roman"/>
          <w:sz w:val="24"/>
          <w:szCs w:val="24"/>
        </w:rPr>
      </w:pPr>
      <w:r>
        <w:rPr>
          <w:rStyle w:val="Rimandonotaapidipagina"/>
        </w:rPr>
        <w:footnoteRef/>
      </w:r>
      <w:r>
        <w:t xml:space="preserve"> </w:t>
      </w:r>
      <w:r w:rsidRPr="000A3A56">
        <w:rPr>
          <w:rFonts w:ascii="Times New Roman" w:hAnsi="Times New Roman" w:cs="Times New Roman"/>
          <w:i/>
          <w:sz w:val="24"/>
          <w:szCs w:val="24"/>
        </w:rPr>
        <w:t>Decretum: territorium insulae Wakb vicariatui. Apostolico guamensi adnectitur</w:t>
      </w:r>
      <w:r w:rsidRPr="000A3A56">
        <w:rPr>
          <w:rFonts w:ascii="Times New Roman" w:hAnsi="Times New Roman" w:cs="Times New Roman"/>
          <w:sz w:val="24"/>
          <w:szCs w:val="24"/>
        </w:rPr>
        <w:t>, in AAS40-1948, 17 giugno 1948, p. 470.</w:t>
      </w:r>
    </w:p>
  </w:footnote>
  <w:footnote w:id="249">
    <w:p w14:paraId="58A93A78" w14:textId="77777777" w:rsidR="00F202D0" w:rsidRPr="00513C8A" w:rsidRDefault="00F202D0" w:rsidP="00383122">
      <w:pPr>
        <w:rPr>
          <w:rFonts w:ascii="Times New Roman" w:hAnsi="Times New Roman" w:cs="Times New Roman"/>
          <w:sz w:val="28"/>
          <w:szCs w:val="28"/>
          <w:lang w:val="en-US"/>
        </w:rPr>
      </w:pPr>
      <w:r>
        <w:rPr>
          <w:rStyle w:val="Rimandonotaapidipagina"/>
        </w:rPr>
        <w:footnoteRef/>
      </w:r>
      <w:r w:rsidRPr="00513C8A">
        <w:rPr>
          <w:lang w:val="en-US"/>
        </w:rPr>
        <w:t xml:space="preserve"> </w:t>
      </w:r>
      <w:r w:rsidRPr="00513C8A">
        <w:rPr>
          <w:rFonts w:ascii="Times New Roman" w:hAnsi="Times New Roman" w:cs="Times New Roman"/>
          <w:i/>
          <w:sz w:val="24"/>
          <w:szCs w:val="24"/>
          <w:lang w:val="en-US"/>
        </w:rPr>
        <w:t>Decretum sedes dioecesis hakodatensis restituitur in urbe m. Hakodatè</w:t>
      </w:r>
      <w:r w:rsidRPr="00513C8A">
        <w:rPr>
          <w:rFonts w:ascii="Times New Roman" w:hAnsi="Times New Roman" w:cs="Times New Roman"/>
          <w:sz w:val="24"/>
          <w:szCs w:val="24"/>
          <w:lang w:val="en-US"/>
        </w:rPr>
        <w:t>, in AAS 16-1924, 25 febbraio 1924, pp 22-27.</w:t>
      </w:r>
    </w:p>
  </w:footnote>
  <w:footnote w:id="250">
    <w:p w14:paraId="6F34FFC8" w14:textId="77777777" w:rsidR="00F202D0" w:rsidRPr="00854C25" w:rsidRDefault="00F202D0" w:rsidP="00383122">
      <w:pPr>
        <w:rPr>
          <w:rFonts w:ascii="Times New Roman" w:hAnsi="Times New Roman" w:cs="Times New Roman"/>
          <w:sz w:val="24"/>
          <w:szCs w:val="24"/>
        </w:rPr>
      </w:pPr>
      <w:r>
        <w:rPr>
          <w:rStyle w:val="Rimandonotaapidipagina"/>
        </w:rPr>
        <w:footnoteRef/>
      </w:r>
      <w:r>
        <w:t xml:space="preserve"> </w:t>
      </w:r>
      <w:r w:rsidRPr="00697824">
        <w:rPr>
          <w:rFonts w:ascii="Times New Roman" w:hAnsi="Times New Roman" w:cs="Times New Roman"/>
          <w:i/>
          <w:sz w:val="24"/>
          <w:szCs w:val="24"/>
        </w:rPr>
        <w:t>Decretum: dioecesis hacodatensis in posterum sendaiensis nuncupabitur,</w:t>
      </w:r>
      <w:r w:rsidRPr="00697824">
        <w:rPr>
          <w:rFonts w:ascii="Times New Roman" w:hAnsi="Times New Roman" w:cs="Times New Roman"/>
          <w:sz w:val="24"/>
          <w:szCs w:val="24"/>
        </w:rPr>
        <w:t xml:space="preserve"> in A</w:t>
      </w:r>
      <w:r>
        <w:rPr>
          <w:rFonts w:ascii="Times New Roman" w:hAnsi="Times New Roman" w:cs="Times New Roman"/>
          <w:sz w:val="24"/>
          <w:szCs w:val="24"/>
        </w:rPr>
        <w:t>SS28-1936, 9 marzo 1936, p 235.</w:t>
      </w:r>
    </w:p>
  </w:footnote>
  <w:footnote w:id="251">
    <w:p w14:paraId="5F4594F7" w14:textId="77777777" w:rsidR="00F202D0" w:rsidRDefault="00F202D0">
      <w:pPr>
        <w:pStyle w:val="Testonotaapidipagina"/>
      </w:pPr>
      <w:r>
        <w:rPr>
          <w:rStyle w:val="Rimandonotaapidipagina"/>
        </w:rPr>
        <w:footnoteRef/>
      </w:r>
      <w:r>
        <w:t xml:space="preserve"> </w:t>
      </w:r>
      <w:r w:rsidRPr="00854C25">
        <w:rPr>
          <w:rFonts w:ascii="Times New Roman" w:hAnsi="Times New Roman" w:cs="Times New Roman"/>
          <w:sz w:val="24"/>
          <w:szCs w:val="24"/>
        </w:rPr>
        <w:t>C.</w:t>
      </w:r>
      <w:r>
        <w:rPr>
          <w:rFonts w:ascii="Times New Roman" w:hAnsi="Times New Roman" w:cs="Times New Roman"/>
          <w:sz w:val="24"/>
          <w:szCs w:val="24"/>
        </w:rPr>
        <w:t xml:space="preserve"> </w:t>
      </w:r>
      <w:r w:rsidRPr="00854C25">
        <w:rPr>
          <w:rFonts w:ascii="Times New Roman" w:hAnsi="Times New Roman" w:cs="Times New Roman"/>
          <w:sz w:val="24"/>
          <w:szCs w:val="24"/>
        </w:rPr>
        <w:t xml:space="preserve">Crivelli, </w:t>
      </w:r>
      <w:r w:rsidRPr="00854C25">
        <w:rPr>
          <w:rFonts w:ascii="Times New Roman" w:hAnsi="Times New Roman" w:cs="Times New Roman"/>
          <w:i/>
          <w:sz w:val="24"/>
          <w:szCs w:val="24"/>
        </w:rPr>
        <w:t>America</w:t>
      </w:r>
      <w:r w:rsidRPr="00854C25">
        <w:rPr>
          <w:rFonts w:ascii="Times New Roman" w:hAnsi="Times New Roman" w:cs="Times New Roman"/>
          <w:sz w:val="24"/>
          <w:szCs w:val="24"/>
        </w:rPr>
        <w:t xml:space="preserve">, in </w:t>
      </w:r>
      <w:r w:rsidRPr="00854C25">
        <w:rPr>
          <w:rFonts w:ascii="Times New Roman" w:hAnsi="Times New Roman" w:cs="Times New Roman"/>
          <w:i/>
          <w:sz w:val="24"/>
          <w:szCs w:val="24"/>
        </w:rPr>
        <w:t>Enciclopedia cattolica</w:t>
      </w:r>
      <w:r w:rsidRPr="00854C25">
        <w:rPr>
          <w:rFonts w:ascii="Times New Roman" w:hAnsi="Times New Roman" w:cs="Times New Roman"/>
          <w:sz w:val="24"/>
          <w:szCs w:val="24"/>
        </w:rPr>
        <w:t>, Vol.1, 1948, pp. 1051-1052.</w:t>
      </w:r>
    </w:p>
  </w:footnote>
  <w:footnote w:id="252">
    <w:p w14:paraId="0B70A492" w14:textId="77777777" w:rsidR="00F202D0" w:rsidRDefault="00F202D0">
      <w:pPr>
        <w:pStyle w:val="Testonotaapidipagina"/>
      </w:pPr>
      <w:r>
        <w:rPr>
          <w:rStyle w:val="Rimandonotaapidipagina"/>
        </w:rPr>
        <w:footnoteRef/>
      </w:r>
      <w:r>
        <w:t xml:space="preserve"> </w:t>
      </w:r>
      <w:r w:rsidRPr="008755CB">
        <w:rPr>
          <w:rFonts w:ascii="Times New Roman" w:hAnsi="Times New Roman" w:cs="Times New Roman"/>
          <w:i/>
          <w:sz w:val="24"/>
          <w:szCs w:val="24"/>
        </w:rPr>
        <w:t>Ibidem.</w:t>
      </w:r>
    </w:p>
  </w:footnote>
  <w:footnote w:id="253">
    <w:p w14:paraId="7B662A89" w14:textId="77777777" w:rsidR="00F202D0" w:rsidRDefault="00F202D0">
      <w:pPr>
        <w:pStyle w:val="Testonotaapidipagina"/>
      </w:pPr>
      <w:r>
        <w:rPr>
          <w:rStyle w:val="Rimandonotaapidipagina"/>
        </w:rPr>
        <w:footnoteRef/>
      </w:r>
      <w:r>
        <w:t xml:space="preserve"> </w:t>
      </w:r>
      <w:r w:rsidRPr="008755CB">
        <w:rPr>
          <w:rFonts w:ascii="Times New Roman" w:hAnsi="Times New Roman" w:cs="Times New Roman"/>
          <w:i/>
          <w:sz w:val="24"/>
          <w:szCs w:val="24"/>
        </w:rPr>
        <w:t>Ibidem.</w:t>
      </w:r>
    </w:p>
  </w:footnote>
  <w:footnote w:id="254">
    <w:p w14:paraId="197ABE23" w14:textId="77777777" w:rsidR="00F202D0" w:rsidRDefault="00F202D0">
      <w:pPr>
        <w:pStyle w:val="Testonotaapidipagina"/>
      </w:pPr>
      <w:r>
        <w:rPr>
          <w:rStyle w:val="Rimandonotaapidipagina"/>
        </w:rPr>
        <w:footnoteRef/>
      </w:r>
      <w:r>
        <w:t xml:space="preserve"> </w:t>
      </w:r>
      <w:r w:rsidRPr="008755CB">
        <w:rPr>
          <w:rFonts w:ascii="Times New Roman" w:hAnsi="Times New Roman" w:cs="Times New Roman"/>
          <w:i/>
          <w:sz w:val="24"/>
          <w:szCs w:val="24"/>
        </w:rPr>
        <w:t>Ibidem.</w:t>
      </w:r>
    </w:p>
  </w:footnote>
  <w:footnote w:id="255">
    <w:p w14:paraId="14DCFBA4" w14:textId="77777777" w:rsidR="00F202D0" w:rsidRPr="00923F92" w:rsidRDefault="00F202D0">
      <w:pPr>
        <w:pStyle w:val="Testonotaapidipagina"/>
        <w:rPr>
          <w:rFonts w:ascii="Times New Roman" w:hAnsi="Times New Roman" w:cs="Times New Roman"/>
          <w:sz w:val="24"/>
          <w:szCs w:val="24"/>
        </w:rPr>
      </w:pPr>
      <w:r>
        <w:rPr>
          <w:rStyle w:val="Rimandonotaapidipagina"/>
        </w:rPr>
        <w:footnoteRef/>
      </w:r>
      <w:r>
        <w:t xml:space="preserve"> </w:t>
      </w:r>
      <w:r w:rsidRPr="00923F92">
        <w:rPr>
          <w:rFonts w:ascii="Times New Roman" w:hAnsi="Times New Roman" w:cs="Times New Roman"/>
          <w:sz w:val="24"/>
          <w:szCs w:val="24"/>
        </w:rPr>
        <w:t>Vedi figura 13 in Appendice.</w:t>
      </w:r>
    </w:p>
  </w:footnote>
  <w:footnote w:id="256">
    <w:p w14:paraId="7CAE7B85" w14:textId="77777777" w:rsidR="00F202D0" w:rsidRPr="00735AEE" w:rsidRDefault="00F202D0">
      <w:pPr>
        <w:pStyle w:val="Testonotaapidipagina"/>
        <w:rPr>
          <w:rFonts w:ascii="Times New Roman" w:hAnsi="Times New Roman" w:cs="Times New Roman"/>
          <w:sz w:val="24"/>
          <w:szCs w:val="24"/>
        </w:rPr>
      </w:pPr>
      <w:r>
        <w:rPr>
          <w:rStyle w:val="Rimandonotaapidipagina"/>
        </w:rPr>
        <w:footnoteRef/>
      </w:r>
      <w:r>
        <w:t xml:space="preserve"> </w:t>
      </w:r>
      <w:r w:rsidRPr="00735AEE">
        <w:rPr>
          <w:rFonts w:ascii="Times New Roman" w:hAnsi="Times New Roman" w:cs="Times New Roman"/>
          <w:sz w:val="24"/>
          <w:szCs w:val="24"/>
        </w:rPr>
        <w:t>G.</w:t>
      </w:r>
      <w:r>
        <w:rPr>
          <w:rFonts w:ascii="Times New Roman" w:hAnsi="Times New Roman" w:cs="Times New Roman"/>
          <w:sz w:val="24"/>
          <w:szCs w:val="24"/>
        </w:rPr>
        <w:t xml:space="preserve"> </w:t>
      </w:r>
      <w:r w:rsidRPr="00735AEE">
        <w:rPr>
          <w:rFonts w:ascii="Times New Roman" w:hAnsi="Times New Roman" w:cs="Times New Roman"/>
          <w:sz w:val="24"/>
          <w:szCs w:val="24"/>
        </w:rPr>
        <w:t xml:space="preserve">Monticone, </w:t>
      </w:r>
      <w:r w:rsidRPr="00735AEE">
        <w:rPr>
          <w:rFonts w:ascii="Times New Roman" w:hAnsi="Times New Roman" w:cs="Times New Roman"/>
          <w:i/>
          <w:sz w:val="24"/>
          <w:szCs w:val="24"/>
        </w:rPr>
        <w:t>Arauca</w:t>
      </w:r>
      <w:r w:rsidRPr="00735AEE">
        <w:rPr>
          <w:rFonts w:ascii="Times New Roman" w:hAnsi="Times New Roman" w:cs="Times New Roman"/>
          <w:sz w:val="24"/>
          <w:szCs w:val="24"/>
        </w:rPr>
        <w:t xml:space="preserve">, in </w:t>
      </w:r>
      <w:r w:rsidRPr="00735AEE">
        <w:rPr>
          <w:rFonts w:ascii="Times New Roman" w:hAnsi="Times New Roman" w:cs="Times New Roman"/>
          <w:i/>
          <w:sz w:val="24"/>
          <w:szCs w:val="24"/>
        </w:rPr>
        <w:t>Enciclopedia cattolica</w:t>
      </w:r>
      <w:r w:rsidRPr="00735AEE">
        <w:rPr>
          <w:rFonts w:ascii="Times New Roman" w:hAnsi="Times New Roman" w:cs="Times New Roman"/>
          <w:sz w:val="24"/>
          <w:szCs w:val="24"/>
        </w:rPr>
        <w:t>, Vol.1, 1948, p. 1770.</w:t>
      </w:r>
    </w:p>
  </w:footnote>
  <w:footnote w:id="257">
    <w:p w14:paraId="4CC59F51" w14:textId="77777777" w:rsidR="00F202D0" w:rsidRPr="003A30B3" w:rsidRDefault="00F202D0" w:rsidP="00383122">
      <w:pPr>
        <w:rPr>
          <w:rFonts w:ascii="Times New Roman" w:hAnsi="Times New Roman" w:cs="Times New Roman"/>
          <w:sz w:val="24"/>
          <w:szCs w:val="24"/>
        </w:rPr>
      </w:pPr>
      <w:r>
        <w:rPr>
          <w:rStyle w:val="Rimandonotaapidipagina"/>
        </w:rPr>
        <w:footnoteRef/>
      </w:r>
      <w:r>
        <w:t xml:space="preserve"> </w:t>
      </w:r>
      <w:r w:rsidRPr="00735AEE">
        <w:rPr>
          <w:rFonts w:ascii="Times New Roman" w:hAnsi="Times New Roman" w:cs="Times New Roman"/>
          <w:i/>
          <w:sz w:val="24"/>
          <w:szCs w:val="24"/>
        </w:rPr>
        <w:t>Decretum: de finium mutatione</w:t>
      </w:r>
      <w:r w:rsidRPr="00735AEE">
        <w:rPr>
          <w:rFonts w:ascii="Times New Roman" w:hAnsi="Times New Roman" w:cs="Times New Roman"/>
          <w:sz w:val="24"/>
          <w:szCs w:val="24"/>
        </w:rPr>
        <w:t>, in AAS30-1938, 30 marzo 1938, p 268.</w:t>
      </w:r>
    </w:p>
  </w:footnote>
  <w:footnote w:id="258">
    <w:p w14:paraId="547DC5F5" w14:textId="77777777" w:rsidR="00F202D0" w:rsidRPr="003A30B3" w:rsidRDefault="00F202D0" w:rsidP="00383122">
      <w:pPr>
        <w:pStyle w:val="Testonotaapidipagina"/>
        <w:rPr>
          <w:rFonts w:ascii="Times New Roman" w:hAnsi="Times New Roman" w:cs="Times New Roman"/>
        </w:rPr>
      </w:pPr>
      <w:r>
        <w:rPr>
          <w:rStyle w:val="Rimandonotaapidipagina"/>
        </w:rPr>
        <w:footnoteRef/>
      </w:r>
      <w:r>
        <w:t xml:space="preserve"> </w:t>
      </w:r>
      <w:r w:rsidRPr="003A30B3">
        <w:rPr>
          <w:rFonts w:ascii="Times New Roman" w:hAnsi="Times New Roman" w:cs="Times New Roman"/>
          <w:sz w:val="24"/>
          <w:szCs w:val="24"/>
        </w:rPr>
        <w:t>A.</w:t>
      </w:r>
      <w:r>
        <w:rPr>
          <w:rFonts w:ascii="Times New Roman" w:hAnsi="Times New Roman" w:cs="Times New Roman"/>
          <w:sz w:val="24"/>
          <w:szCs w:val="24"/>
        </w:rPr>
        <w:t xml:space="preserve"> </w:t>
      </w:r>
      <w:r w:rsidRPr="003A30B3">
        <w:rPr>
          <w:rFonts w:ascii="Times New Roman" w:hAnsi="Times New Roman" w:cs="Times New Roman"/>
          <w:sz w:val="24"/>
          <w:szCs w:val="24"/>
        </w:rPr>
        <w:t xml:space="preserve">Mazza, </w:t>
      </w:r>
      <w:r w:rsidRPr="003A30B3">
        <w:rPr>
          <w:rFonts w:ascii="Times New Roman" w:hAnsi="Times New Roman" w:cs="Times New Roman"/>
          <w:i/>
          <w:color w:val="0D0D0D" w:themeColor="text1" w:themeTint="F2"/>
          <w:sz w:val="24"/>
          <w:szCs w:val="24"/>
        </w:rPr>
        <w:t>Pilcomayo</w:t>
      </w:r>
      <w:r w:rsidRPr="003A30B3">
        <w:rPr>
          <w:rFonts w:ascii="Times New Roman" w:hAnsi="Times New Roman" w:cs="Times New Roman"/>
          <w:color w:val="0D0D0D" w:themeColor="text1" w:themeTint="F2"/>
          <w:sz w:val="24"/>
          <w:szCs w:val="24"/>
        </w:rPr>
        <w:t xml:space="preserve">, in </w:t>
      </w:r>
      <w:r w:rsidRPr="003A30B3">
        <w:rPr>
          <w:rFonts w:ascii="Times New Roman" w:hAnsi="Times New Roman" w:cs="Times New Roman"/>
          <w:i/>
          <w:color w:val="0D0D0D" w:themeColor="text1" w:themeTint="F2"/>
          <w:sz w:val="24"/>
          <w:szCs w:val="24"/>
        </w:rPr>
        <w:t>Enciclopedia cattolica</w:t>
      </w:r>
      <w:r w:rsidRPr="003A30B3">
        <w:rPr>
          <w:rFonts w:ascii="Times New Roman" w:hAnsi="Times New Roman" w:cs="Times New Roman"/>
          <w:color w:val="0D0D0D" w:themeColor="text1" w:themeTint="F2"/>
          <w:sz w:val="24"/>
          <w:szCs w:val="24"/>
        </w:rPr>
        <w:t>, Vol.9, 1948, p. 1478.</w:t>
      </w:r>
    </w:p>
  </w:footnote>
  <w:footnote w:id="259">
    <w:p w14:paraId="7820388B" w14:textId="77777777" w:rsidR="00F202D0" w:rsidRPr="00D143B6" w:rsidRDefault="00F202D0" w:rsidP="00383122">
      <w:pPr>
        <w:rPr>
          <w:rFonts w:ascii="Times New Roman" w:hAnsi="Times New Roman" w:cs="Times New Roman"/>
          <w:sz w:val="24"/>
          <w:szCs w:val="24"/>
        </w:rPr>
      </w:pPr>
      <w:r>
        <w:rPr>
          <w:rStyle w:val="Rimandonotaapidipagina"/>
        </w:rPr>
        <w:footnoteRef/>
      </w:r>
      <w:r>
        <w:t xml:space="preserve"> </w:t>
      </w:r>
      <w:r w:rsidRPr="003A30B3">
        <w:rPr>
          <w:rFonts w:ascii="Times New Roman" w:hAnsi="Times New Roman" w:cs="Times New Roman"/>
          <w:i/>
          <w:sz w:val="24"/>
          <w:szCs w:val="24"/>
        </w:rPr>
        <w:t>Decretum: de finium mutatione</w:t>
      </w:r>
      <w:r w:rsidRPr="003A30B3">
        <w:rPr>
          <w:rFonts w:ascii="Times New Roman" w:hAnsi="Times New Roman" w:cs="Times New Roman"/>
          <w:sz w:val="24"/>
          <w:szCs w:val="24"/>
        </w:rPr>
        <w:t>, in AAS3</w:t>
      </w:r>
      <w:r>
        <w:rPr>
          <w:rFonts w:ascii="Times New Roman" w:hAnsi="Times New Roman" w:cs="Times New Roman"/>
          <w:sz w:val="24"/>
          <w:szCs w:val="24"/>
        </w:rPr>
        <w:t>6-1944, 12 maggio 1944, p. 178.</w:t>
      </w:r>
    </w:p>
  </w:footnote>
  <w:footnote w:id="260">
    <w:p w14:paraId="072625F5" w14:textId="77777777" w:rsidR="00F202D0" w:rsidRDefault="00F202D0" w:rsidP="00383122">
      <w:pPr>
        <w:pStyle w:val="Testonotaapidipagina"/>
      </w:pPr>
      <w:r>
        <w:rPr>
          <w:rStyle w:val="Rimandonotaapidipagina"/>
        </w:rPr>
        <w:footnoteRef/>
      </w:r>
      <w:r>
        <w:t xml:space="preserve"> </w:t>
      </w:r>
      <w:r w:rsidRPr="003A30B3">
        <w:rPr>
          <w:rFonts w:ascii="Times New Roman" w:hAnsi="Times New Roman" w:cs="Times New Roman"/>
          <w:sz w:val="24"/>
          <w:szCs w:val="24"/>
        </w:rPr>
        <w:t>A.</w:t>
      </w:r>
      <w:r>
        <w:rPr>
          <w:rFonts w:ascii="Times New Roman" w:hAnsi="Times New Roman" w:cs="Times New Roman"/>
          <w:sz w:val="24"/>
          <w:szCs w:val="24"/>
        </w:rPr>
        <w:t xml:space="preserve"> </w:t>
      </w:r>
      <w:r w:rsidRPr="003A30B3">
        <w:rPr>
          <w:rFonts w:ascii="Times New Roman" w:hAnsi="Times New Roman" w:cs="Times New Roman"/>
          <w:sz w:val="24"/>
          <w:szCs w:val="24"/>
        </w:rPr>
        <w:t>Mazza,</w:t>
      </w:r>
      <w:r>
        <w:rPr>
          <w:rFonts w:ascii="Times New Roman" w:hAnsi="Times New Roman" w:cs="Times New Roman"/>
          <w:sz w:val="24"/>
          <w:szCs w:val="24"/>
        </w:rPr>
        <w:t xml:space="preserve"> </w:t>
      </w:r>
      <w:r w:rsidRPr="00D143B6">
        <w:rPr>
          <w:rFonts w:ascii="Times New Roman" w:hAnsi="Times New Roman" w:cs="Times New Roman"/>
          <w:i/>
          <w:sz w:val="24"/>
          <w:szCs w:val="24"/>
        </w:rPr>
        <w:t>Chaco Parguayano</w:t>
      </w:r>
      <w:r>
        <w:rPr>
          <w:rFonts w:ascii="Times New Roman" w:hAnsi="Times New Roman" w:cs="Times New Roman"/>
          <w:sz w:val="24"/>
          <w:szCs w:val="24"/>
        </w:rPr>
        <w:t xml:space="preserve">, in </w:t>
      </w:r>
      <w:r w:rsidRPr="00735AEE">
        <w:rPr>
          <w:rFonts w:ascii="Times New Roman" w:hAnsi="Times New Roman" w:cs="Times New Roman"/>
          <w:i/>
          <w:sz w:val="24"/>
          <w:szCs w:val="24"/>
        </w:rPr>
        <w:t>Enciclopedia cattolica</w:t>
      </w:r>
      <w:r w:rsidRPr="00735AEE">
        <w:rPr>
          <w:rFonts w:ascii="Times New Roman" w:hAnsi="Times New Roman" w:cs="Times New Roman"/>
          <w:sz w:val="24"/>
          <w:szCs w:val="24"/>
        </w:rPr>
        <w:t>, Vol.</w:t>
      </w:r>
      <w:r>
        <w:rPr>
          <w:rFonts w:ascii="Times New Roman" w:hAnsi="Times New Roman" w:cs="Times New Roman"/>
          <w:sz w:val="24"/>
          <w:szCs w:val="24"/>
        </w:rPr>
        <w:t xml:space="preserve"> 3, 1948, p. 1368.</w:t>
      </w:r>
    </w:p>
  </w:footnote>
  <w:footnote w:id="261">
    <w:p w14:paraId="5D8AEC69" w14:textId="77777777" w:rsidR="00F202D0" w:rsidRPr="00D143B6" w:rsidRDefault="00F202D0" w:rsidP="00383122">
      <w:pPr>
        <w:rPr>
          <w:rFonts w:ascii="Times New Roman" w:hAnsi="Times New Roman" w:cs="Times New Roman"/>
          <w:sz w:val="24"/>
          <w:szCs w:val="24"/>
        </w:rPr>
      </w:pPr>
      <w:r>
        <w:rPr>
          <w:rStyle w:val="Rimandonotaapidipagina"/>
        </w:rPr>
        <w:footnoteRef/>
      </w:r>
      <w:r>
        <w:t xml:space="preserve"> </w:t>
      </w:r>
      <w:r w:rsidRPr="00F03392">
        <w:rPr>
          <w:rFonts w:ascii="Times New Roman" w:hAnsi="Times New Roman" w:cs="Times New Roman"/>
          <w:i/>
          <w:sz w:val="24"/>
          <w:szCs w:val="24"/>
        </w:rPr>
        <w:t>Decre</w:t>
      </w:r>
      <w:r>
        <w:rPr>
          <w:rFonts w:ascii="Times New Roman" w:hAnsi="Times New Roman" w:cs="Times New Roman"/>
          <w:i/>
          <w:sz w:val="24"/>
          <w:szCs w:val="24"/>
        </w:rPr>
        <w:t>tum: vicariatus apostolicus de C</w:t>
      </w:r>
      <w:r w:rsidRPr="00F03392">
        <w:rPr>
          <w:rFonts w:ascii="Times New Roman" w:hAnsi="Times New Roman" w:cs="Times New Roman"/>
          <w:i/>
          <w:sz w:val="24"/>
          <w:szCs w:val="24"/>
        </w:rPr>
        <w:t>haco deinceps cuevensis appellabitur</w:t>
      </w:r>
      <w:r w:rsidRPr="00F03392">
        <w:rPr>
          <w:rFonts w:ascii="Times New Roman" w:hAnsi="Times New Roman" w:cs="Times New Roman"/>
          <w:sz w:val="24"/>
          <w:szCs w:val="24"/>
        </w:rPr>
        <w:t>,</w:t>
      </w:r>
      <w:r>
        <w:rPr>
          <w:rFonts w:ascii="Times New Roman" w:hAnsi="Times New Roman" w:cs="Times New Roman"/>
          <w:sz w:val="24"/>
          <w:szCs w:val="24"/>
        </w:rPr>
        <w:t xml:space="preserve"> </w:t>
      </w:r>
      <w:r w:rsidRPr="00F03392">
        <w:rPr>
          <w:rFonts w:ascii="Times New Roman" w:hAnsi="Times New Roman" w:cs="Times New Roman"/>
          <w:sz w:val="24"/>
          <w:szCs w:val="24"/>
        </w:rPr>
        <w:t xml:space="preserve">in AAS43-1951, </w:t>
      </w:r>
      <w:r>
        <w:rPr>
          <w:rFonts w:ascii="Times New Roman" w:hAnsi="Times New Roman" w:cs="Times New Roman"/>
          <w:sz w:val="24"/>
          <w:szCs w:val="24"/>
        </w:rPr>
        <w:t>8 febbraio 1951, p.</w:t>
      </w:r>
      <w:r w:rsidRPr="00F03392">
        <w:rPr>
          <w:rFonts w:ascii="Times New Roman" w:hAnsi="Times New Roman" w:cs="Times New Roman"/>
          <w:sz w:val="24"/>
          <w:szCs w:val="24"/>
        </w:rPr>
        <w:t xml:space="preserve"> 481</w:t>
      </w:r>
      <w:r>
        <w:rPr>
          <w:rFonts w:ascii="Times New Roman" w:hAnsi="Times New Roman" w:cs="Times New Roman"/>
          <w:sz w:val="24"/>
          <w:szCs w:val="24"/>
        </w:rPr>
        <w:t>.</w:t>
      </w:r>
    </w:p>
  </w:footnote>
  <w:footnote w:id="262">
    <w:p w14:paraId="359C7221" w14:textId="77777777" w:rsidR="00F202D0" w:rsidRPr="0059204E" w:rsidRDefault="00F202D0">
      <w:pPr>
        <w:pStyle w:val="Testonotaapidipagina"/>
        <w:rPr>
          <w:rFonts w:ascii="Times New Roman" w:hAnsi="Times New Roman" w:cs="Times New Roman"/>
          <w:sz w:val="24"/>
          <w:szCs w:val="24"/>
        </w:rPr>
      </w:pPr>
      <w:r>
        <w:rPr>
          <w:rStyle w:val="Rimandonotaapidipagina"/>
        </w:rPr>
        <w:footnoteRef/>
      </w:r>
      <w:r>
        <w:t xml:space="preserve"> </w:t>
      </w:r>
      <w:r w:rsidRPr="0059204E">
        <w:rPr>
          <w:rFonts w:ascii="Times New Roman" w:hAnsi="Times New Roman" w:cs="Times New Roman"/>
          <w:sz w:val="24"/>
          <w:szCs w:val="24"/>
        </w:rPr>
        <w:t>A.</w:t>
      </w:r>
      <w:r>
        <w:rPr>
          <w:rFonts w:ascii="Times New Roman" w:hAnsi="Times New Roman" w:cs="Times New Roman"/>
          <w:sz w:val="24"/>
          <w:szCs w:val="24"/>
        </w:rPr>
        <w:t xml:space="preserve"> </w:t>
      </w:r>
      <w:r w:rsidRPr="0059204E">
        <w:rPr>
          <w:rFonts w:ascii="Times New Roman" w:hAnsi="Times New Roman" w:cs="Times New Roman"/>
          <w:sz w:val="24"/>
          <w:szCs w:val="24"/>
        </w:rPr>
        <w:t xml:space="preserve">Mazza, </w:t>
      </w:r>
      <w:r w:rsidRPr="0059204E">
        <w:rPr>
          <w:rFonts w:ascii="Times New Roman" w:hAnsi="Times New Roman" w:cs="Times New Roman"/>
          <w:i/>
          <w:sz w:val="24"/>
          <w:szCs w:val="24"/>
        </w:rPr>
        <w:t>Iquitos</w:t>
      </w:r>
      <w:r w:rsidRPr="0059204E">
        <w:rPr>
          <w:rFonts w:ascii="Times New Roman" w:hAnsi="Times New Roman" w:cs="Times New Roman"/>
          <w:sz w:val="24"/>
          <w:szCs w:val="24"/>
        </w:rPr>
        <w:t xml:space="preserve">, in </w:t>
      </w:r>
      <w:r w:rsidRPr="0059204E">
        <w:rPr>
          <w:rFonts w:ascii="Times New Roman" w:hAnsi="Times New Roman" w:cs="Times New Roman"/>
          <w:i/>
          <w:sz w:val="24"/>
          <w:szCs w:val="24"/>
        </w:rPr>
        <w:t>Enciclopedia cattolica</w:t>
      </w:r>
      <w:r w:rsidRPr="0059204E">
        <w:rPr>
          <w:rFonts w:ascii="Times New Roman" w:hAnsi="Times New Roman" w:cs="Times New Roman"/>
          <w:sz w:val="24"/>
          <w:szCs w:val="24"/>
        </w:rPr>
        <w:t>, Vol. 7, 1948, p. 184.</w:t>
      </w:r>
    </w:p>
  </w:footnote>
  <w:footnote w:id="263">
    <w:p w14:paraId="4DD32ABD" w14:textId="77777777" w:rsidR="00F202D0" w:rsidRDefault="00F202D0">
      <w:pPr>
        <w:pStyle w:val="Testonotaapidipagina"/>
      </w:pPr>
      <w:r>
        <w:rPr>
          <w:rStyle w:val="Rimandonotaapidipagina"/>
        </w:rPr>
        <w:footnoteRef/>
      </w:r>
      <w:r>
        <w:t xml:space="preserve"> </w:t>
      </w:r>
      <w:r w:rsidRPr="0059204E">
        <w:rPr>
          <w:rFonts w:ascii="Times New Roman" w:hAnsi="Times New Roman" w:cs="Times New Roman"/>
          <w:i/>
          <w:sz w:val="24"/>
          <w:szCs w:val="24"/>
        </w:rPr>
        <w:t>Ibidem</w:t>
      </w:r>
      <w:r w:rsidRPr="0059204E">
        <w:rPr>
          <w:rFonts w:ascii="Times New Roman" w:hAnsi="Times New Roman" w:cs="Times New Roman"/>
          <w:sz w:val="24"/>
          <w:szCs w:val="24"/>
        </w:rPr>
        <w:t>.</w:t>
      </w:r>
    </w:p>
  </w:footnote>
  <w:footnote w:id="264">
    <w:p w14:paraId="391B6AD4" w14:textId="77777777" w:rsidR="00F202D0" w:rsidRPr="00C92A49" w:rsidRDefault="00F202D0">
      <w:pPr>
        <w:pStyle w:val="Testonotaapidipagina"/>
        <w:rPr>
          <w:sz w:val="24"/>
          <w:szCs w:val="24"/>
        </w:rPr>
      </w:pPr>
      <w:r>
        <w:rPr>
          <w:rStyle w:val="Rimandonotaapidipagina"/>
        </w:rPr>
        <w:footnoteRef/>
      </w:r>
      <w:r>
        <w:t xml:space="preserve"> </w:t>
      </w:r>
      <w:r w:rsidRPr="00C92A49">
        <w:rPr>
          <w:rFonts w:ascii="Times New Roman" w:hAnsi="Times New Roman" w:cs="Times New Roman"/>
          <w:i/>
          <w:sz w:val="24"/>
          <w:szCs w:val="24"/>
        </w:rPr>
        <w:t>Decretum: vicariatus apostolicus s. Leonis de amazones in posterum de Iquitok appellabitur</w:t>
      </w:r>
      <w:r w:rsidRPr="00C92A49">
        <w:rPr>
          <w:rFonts w:ascii="Times New Roman" w:hAnsi="Times New Roman" w:cs="Times New Roman"/>
          <w:sz w:val="24"/>
          <w:szCs w:val="24"/>
        </w:rPr>
        <w:t>, in AAS38-1945, 1 agosto 1945, p. 269.</w:t>
      </w:r>
    </w:p>
  </w:footnote>
  <w:footnote w:id="265">
    <w:p w14:paraId="6BDE1C82" w14:textId="77777777" w:rsidR="00F202D0" w:rsidRDefault="00F202D0">
      <w:pPr>
        <w:pStyle w:val="Testonotaapidipagina"/>
      </w:pPr>
      <w:r>
        <w:rPr>
          <w:rStyle w:val="Rimandonotaapidipagina"/>
        </w:rPr>
        <w:footnoteRef/>
      </w:r>
      <w:r>
        <w:t xml:space="preserve"> </w:t>
      </w:r>
      <w:r w:rsidRPr="008124EA">
        <w:rPr>
          <w:rFonts w:ascii="Times New Roman" w:hAnsi="Times New Roman" w:cs="Times New Roman"/>
          <w:i/>
          <w:sz w:val="24"/>
          <w:szCs w:val="24"/>
        </w:rPr>
        <w:t>Decretum: vicariatus apostolicus de Urubamba et Matre dei deinceps ( Portus Maldonadi ) appellabitur</w:t>
      </w:r>
      <w:r w:rsidRPr="008124EA">
        <w:rPr>
          <w:rFonts w:ascii="Times New Roman" w:hAnsi="Times New Roman" w:cs="Times New Roman"/>
          <w:sz w:val="24"/>
          <w:szCs w:val="24"/>
        </w:rPr>
        <w:t>, in AAS41-1949, 10 marzo 1949, p. 429.</w:t>
      </w:r>
    </w:p>
  </w:footnote>
  <w:footnote w:id="266">
    <w:p w14:paraId="42F88ABB" w14:textId="77777777" w:rsidR="00F202D0" w:rsidRDefault="00F202D0">
      <w:pPr>
        <w:pStyle w:val="Testonotaapidipagina"/>
      </w:pPr>
      <w:r>
        <w:rPr>
          <w:rStyle w:val="Rimandonotaapidipagina"/>
        </w:rPr>
        <w:footnoteRef/>
      </w:r>
      <w:r>
        <w:t xml:space="preserve"> </w:t>
      </w:r>
      <w:r w:rsidRPr="00A452F6">
        <w:rPr>
          <w:rFonts w:ascii="Times New Roman" w:hAnsi="Times New Roman" w:cs="Times New Roman"/>
          <w:i/>
          <w:sz w:val="24"/>
          <w:szCs w:val="24"/>
        </w:rPr>
        <w:t>Decre</w:t>
      </w:r>
      <w:r>
        <w:rPr>
          <w:rFonts w:ascii="Times New Roman" w:hAnsi="Times New Roman" w:cs="Times New Roman"/>
          <w:i/>
          <w:sz w:val="24"/>
          <w:szCs w:val="24"/>
        </w:rPr>
        <w:t>tum: vicariatuum apostolicorum zamorensis, de M</w:t>
      </w:r>
      <w:r w:rsidRPr="00A452F6">
        <w:rPr>
          <w:rFonts w:ascii="Times New Roman" w:hAnsi="Times New Roman" w:cs="Times New Roman"/>
          <w:i/>
          <w:sz w:val="24"/>
          <w:szCs w:val="24"/>
        </w:rPr>
        <w:t>éndez ac napensis et p</w:t>
      </w:r>
      <w:r>
        <w:rPr>
          <w:rFonts w:ascii="Times New Roman" w:hAnsi="Times New Roman" w:cs="Times New Roman"/>
          <w:i/>
          <w:sz w:val="24"/>
          <w:szCs w:val="24"/>
        </w:rPr>
        <w:t>raefecturarum apostolicarum de C</w:t>
      </w:r>
      <w:r w:rsidRPr="00A452F6">
        <w:rPr>
          <w:rFonts w:ascii="Times New Roman" w:hAnsi="Times New Roman" w:cs="Times New Roman"/>
          <w:i/>
          <w:sz w:val="24"/>
          <w:szCs w:val="24"/>
        </w:rPr>
        <w:t>anelos ac s. Michaelis de sucumbios fines statuuntur</w:t>
      </w:r>
      <w:r w:rsidRPr="00A452F6">
        <w:rPr>
          <w:rFonts w:ascii="Times New Roman" w:hAnsi="Times New Roman" w:cs="Times New Roman"/>
          <w:sz w:val="24"/>
          <w:szCs w:val="24"/>
        </w:rPr>
        <w:t xml:space="preserve">, in AAS45-1952, </w:t>
      </w:r>
      <w:r>
        <w:rPr>
          <w:rFonts w:ascii="Times New Roman" w:hAnsi="Times New Roman" w:cs="Times New Roman"/>
          <w:sz w:val="24"/>
          <w:szCs w:val="24"/>
        </w:rPr>
        <w:t>aprile 1951, pp.</w:t>
      </w:r>
      <w:r w:rsidRPr="00A452F6">
        <w:rPr>
          <w:rFonts w:ascii="Times New Roman" w:hAnsi="Times New Roman" w:cs="Times New Roman"/>
          <w:sz w:val="24"/>
          <w:szCs w:val="24"/>
        </w:rPr>
        <w:t xml:space="preserve"> 283</w:t>
      </w:r>
      <w:r>
        <w:rPr>
          <w:rFonts w:ascii="Times New Roman" w:hAnsi="Times New Roman" w:cs="Times New Roman"/>
          <w:sz w:val="24"/>
          <w:szCs w:val="24"/>
        </w:rPr>
        <w:t>-285</w:t>
      </w:r>
    </w:p>
  </w:footnote>
  <w:footnote w:id="267">
    <w:p w14:paraId="53EF0A2A" w14:textId="77777777" w:rsidR="00F202D0" w:rsidRPr="00DE0C27" w:rsidRDefault="00F202D0">
      <w:pPr>
        <w:pStyle w:val="Testonotaapidipagina"/>
        <w:rPr>
          <w:rFonts w:ascii="Times New Roman" w:hAnsi="Times New Roman" w:cs="Times New Roman"/>
          <w:sz w:val="24"/>
          <w:szCs w:val="24"/>
        </w:rPr>
      </w:pPr>
      <w:r>
        <w:rPr>
          <w:rStyle w:val="Rimandonotaapidipagina"/>
        </w:rPr>
        <w:footnoteRef/>
      </w:r>
      <w:r>
        <w:t xml:space="preserve"> </w:t>
      </w:r>
      <w:r w:rsidRPr="00DE0C27">
        <w:rPr>
          <w:rFonts w:ascii="Times New Roman" w:hAnsi="Times New Roman" w:cs="Times New Roman"/>
          <w:sz w:val="24"/>
          <w:szCs w:val="24"/>
        </w:rPr>
        <w:t xml:space="preserve">M. Da Pobladura, </w:t>
      </w:r>
      <w:r w:rsidRPr="00DE0C27">
        <w:rPr>
          <w:rFonts w:ascii="Times New Roman" w:hAnsi="Times New Roman" w:cs="Times New Roman"/>
          <w:i/>
          <w:sz w:val="24"/>
          <w:szCs w:val="24"/>
        </w:rPr>
        <w:t>Zamora</w:t>
      </w:r>
      <w:r w:rsidRPr="00DE0C27">
        <w:rPr>
          <w:rFonts w:ascii="Times New Roman" w:hAnsi="Times New Roman" w:cs="Times New Roman"/>
          <w:sz w:val="24"/>
          <w:szCs w:val="24"/>
        </w:rPr>
        <w:t xml:space="preserve">, in </w:t>
      </w:r>
      <w:r w:rsidRPr="00DE0C27">
        <w:rPr>
          <w:rFonts w:ascii="Times New Roman" w:hAnsi="Times New Roman" w:cs="Times New Roman"/>
          <w:i/>
          <w:sz w:val="24"/>
          <w:szCs w:val="24"/>
        </w:rPr>
        <w:t>Enciclopedia cattolica</w:t>
      </w:r>
      <w:r w:rsidRPr="00DE0C27">
        <w:rPr>
          <w:rFonts w:ascii="Times New Roman" w:hAnsi="Times New Roman" w:cs="Times New Roman"/>
          <w:sz w:val="24"/>
          <w:szCs w:val="24"/>
        </w:rPr>
        <w:t>, Vol. 12, 1948, p. 1773.</w:t>
      </w:r>
    </w:p>
  </w:footnote>
  <w:footnote w:id="268">
    <w:p w14:paraId="1465CC1F" w14:textId="77777777" w:rsidR="00F202D0" w:rsidRDefault="00F202D0">
      <w:pPr>
        <w:pStyle w:val="Testonotaapidipagina"/>
      </w:pPr>
      <w:r>
        <w:rPr>
          <w:rStyle w:val="Rimandonotaapidipagina"/>
        </w:rPr>
        <w:footnoteRef/>
      </w:r>
      <w:r>
        <w:t xml:space="preserve"> </w:t>
      </w:r>
      <w:r w:rsidRPr="00A452F6">
        <w:rPr>
          <w:rFonts w:ascii="Times New Roman" w:hAnsi="Times New Roman" w:cs="Times New Roman"/>
          <w:i/>
          <w:sz w:val="24"/>
          <w:szCs w:val="24"/>
        </w:rPr>
        <w:t>Decre</w:t>
      </w:r>
      <w:r>
        <w:rPr>
          <w:rFonts w:ascii="Times New Roman" w:hAnsi="Times New Roman" w:cs="Times New Roman"/>
          <w:i/>
          <w:sz w:val="24"/>
          <w:szCs w:val="24"/>
        </w:rPr>
        <w:t>tum:</w:t>
      </w:r>
      <w:r w:rsidRPr="00DE0C27">
        <w:rPr>
          <w:rFonts w:ascii="Times New Roman" w:hAnsi="Times New Roman" w:cs="Times New Roman"/>
          <w:i/>
          <w:sz w:val="24"/>
          <w:szCs w:val="24"/>
        </w:rPr>
        <w:t xml:space="preserve"> </w:t>
      </w:r>
      <w:r>
        <w:rPr>
          <w:rFonts w:ascii="Times New Roman" w:hAnsi="Times New Roman" w:cs="Times New Roman"/>
          <w:i/>
          <w:sz w:val="24"/>
          <w:szCs w:val="24"/>
        </w:rPr>
        <w:t>vicariatuum apostolicorum zamorensis, de M</w:t>
      </w:r>
      <w:r w:rsidRPr="00A452F6">
        <w:rPr>
          <w:rFonts w:ascii="Times New Roman" w:hAnsi="Times New Roman" w:cs="Times New Roman"/>
          <w:i/>
          <w:sz w:val="24"/>
          <w:szCs w:val="24"/>
        </w:rPr>
        <w:t>éndez ac napensis et p</w:t>
      </w:r>
      <w:r>
        <w:rPr>
          <w:rFonts w:ascii="Times New Roman" w:hAnsi="Times New Roman" w:cs="Times New Roman"/>
          <w:i/>
          <w:sz w:val="24"/>
          <w:szCs w:val="24"/>
        </w:rPr>
        <w:t>raefecturarum apostolicarum de C</w:t>
      </w:r>
      <w:r w:rsidRPr="00A452F6">
        <w:rPr>
          <w:rFonts w:ascii="Times New Roman" w:hAnsi="Times New Roman" w:cs="Times New Roman"/>
          <w:i/>
          <w:sz w:val="24"/>
          <w:szCs w:val="24"/>
        </w:rPr>
        <w:t>anelos ac s. Michaelis de sucumbios fines statuuntur</w:t>
      </w:r>
      <w:r>
        <w:rPr>
          <w:rFonts w:ascii="Times New Roman" w:hAnsi="Times New Roman" w:cs="Times New Roman"/>
          <w:i/>
          <w:sz w:val="24"/>
          <w:szCs w:val="24"/>
        </w:rPr>
        <w:t>.</w:t>
      </w:r>
    </w:p>
  </w:footnote>
  <w:footnote w:id="269">
    <w:p w14:paraId="20547317" w14:textId="77777777" w:rsidR="00F202D0" w:rsidRDefault="00F202D0" w:rsidP="00383122">
      <w:pPr>
        <w:pStyle w:val="Testonotaapidipagina"/>
      </w:pPr>
      <w:r>
        <w:rPr>
          <w:rStyle w:val="Rimandonotaapidipagina"/>
        </w:rPr>
        <w:footnoteRef/>
      </w:r>
      <w:r>
        <w:t xml:space="preserve"> </w:t>
      </w:r>
      <w:r w:rsidRPr="00832A63">
        <w:rPr>
          <w:rFonts w:ascii="Times New Roman" w:hAnsi="Times New Roman" w:cs="Times New Roman"/>
          <w:sz w:val="24"/>
          <w:szCs w:val="24"/>
        </w:rPr>
        <w:t>A.</w:t>
      </w:r>
      <w:r>
        <w:rPr>
          <w:rFonts w:ascii="Times New Roman" w:hAnsi="Times New Roman" w:cs="Times New Roman"/>
          <w:sz w:val="24"/>
          <w:szCs w:val="24"/>
        </w:rPr>
        <w:t xml:space="preserve"> </w:t>
      </w:r>
      <w:r w:rsidRPr="00832A63">
        <w:rPr>
          <w:rFonts w:ascii="Times New Roman" w:hAnsi="Times New Roman" w:cs="Times New Roman"/>
          <w:sz w:val="24"/>
          <w:szCs w:val="24"/>
        </w:rPr>
        <w:t xml:space="preserve">Mazza, </w:t>
      </w:r>
      <w:r w:rsidRPr="00832A63">
        <w:rPr>
          <w:rFonts w:ascii="Times New Roman" w:hAnsi="Times New Roman" w:cs="Times New Roman"/>
          <w:i/>
          <w:color w:val="0D0D0D" w:themeColor="text1" w:themeTint="F2"/>
          <w:sz w:val="24"/>
          <w:szCs w:val="24"/>
        </w:rPr>
        <w:t>Mendez</w:t>
      </w:r>
      <w:r w:rsidRPr="00832A63">
        <w:rPr>
          <w:rFonts w:ascii="Times New Roman" w:hAnsi="Times New Roman" w:cs="Times New Roman"/>
          <w:color w:val="0D0D0D" w:themeColor="text1" w:themeTint="F2"/>
          <w:sz w:val="24"/>
          <w:szCs w:val="24"/>
        </w:rPr>
        <w:t xml:space="preserve">, </w:t>
      </w:r>
      <w:r w:rsidRPr="00832A63">
        <w:rPr>
          <w:rFonts w:ascii="Times New Roman" w:hAnsi="Times New Roman" w:cs="Times New Roman"/>
          <w:sz w:val="24"/>
          <w:szCs w:val="24"/>
        </w:rPr>
        <w:t xml:space="preserve">in </w:t>
      </w:r>
      <w:r w:rsidRPr="00832A63">
        <w:rPr>
          <w:rFonts w:ascii="Times New Roman" w:hAnsi="Times New Roman" w:cs="Times New Roman"/>
          <w:i/>
          <w:sz w:val="24"/>
          <w:szCs w:val="24"/>
        </w:rPr>
        <w:t>Enciclopedia cattolica</w:t>
      </w:r>
      <w:r w:rsidRPr="00832A63">
        <w:rPr>
          <w:rFonts w:ascii="Times New Roman" w:hAnsi="Times New Roman" w:cs="Times New Roman"/>
          <w:sz w:val="24"/>
          <w:szCs w:val="24"/>
        </w:rPr>
        <w:t>, Vol. 8, 1948, p. 676.</w:t>
      </w:r>
    </w:p>
  </w:footnote>
  <w:footnote w:id="270">
    <w:p w14:paraId="62D00B2D" w14:textId="77777777" w:rsidR="00F202D0" w:rsidRPr="00832A63"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832A63">
        <w:rPr>
          <w:rFonts w:ascii="Times New Roman" w:hAnsi="Times New Roman" w:cs="Times New Roman"/>
          <w:i/>
          <w:sz w:val="24"/>
          <w:szCs w:val="24"/>
        </w:rPr>
        <w:t>Ibidem.</w:t>
      </w:r>
    </w:p>
  </w:footnote>
  <w:footnote w:id="271">
    <w:p w14:paraId="6249A4AC" w14:textId="77777777" w:rsidR="00F202D0" w:rsidRDefault="00F202D0" w:rsidP="00383122">
      <w:pPr>
        <w:pStyle w:val="Testonotaapidipagina"/>
      </w:pPr>
      <w:r>
        <w:rPr>
          <w:rStyle w:val="Rimandonotaapidipagina"/>
        </w:rPr>
        <w:footnoteRef/>
      </w:r>
      <w:r>
        <w:t xml:space="preserve"> </w:t>
      </w:r>
      <w:r w:rsidRPr="00832A63">
        <w:rPr>
          <w:rFonts w:ascii="Times New Roman" w:hAnsi="Times New Roman" w:cs="Times New Roman"/>
          <w:sz w:val="24"/>
          <w:szCs w:val="24"/>
        </w:rPr>
        <w:t>A.</w:t>
      </w:r>
      <w:r>
        <w:rPr>
          <w:rFonts w:ascii="Times New Roman" w:hAnsi="Times New Roman" w:cs="Times New Roman"/>
          <w:sz w:val="24"/>
          <w:szCs w:val="24"/>
        </w:rPr>
        <w:t xml:space="preserve"> </w:t>
      </w:r>
      <w:r w:rsidRPr="00832A63">
        <w:rPr>
          <w:rFonts w:ascii="Times New Roman" w:hAnsi="Times New Roman" w:cs="Times New Roman"/>
          <w:sz w:val="24"/>
          <w:szCs w:val="24"/>
        </w:rPr>
        <w:t>Mazza,</w:t>
      </w:r>
      <w:r>
        <w:rPr>
          <w:rFonts w:ascii="Times New Roman" w:hAnsi="Times New Roman" w:cs="Times New Roman"/>
          <w:sz w:val="24"/>
          <w:szCs w:val="24"/>
        </w:rPr>
        <w:t xml:space="preserve"> </w:t>
      </w:r>
      <w:r w:rsidRPr="002C03FA">
        <w:rPr>
          <w:rFonts w:ascii="Times New Roman" w:hAnsi="Times New Roman" w:cs="Times New Roman"/>
          <w:i/>
          <w:sz w:val="24"/>
          <w:szCs w:val="24"/>
        </w:rPr>
        <w:t>Canelos</w:t>
      </w:r>
      <w:r>
        <w:rPr>
          <w:rFonts w:ascii="Times New Roman" w:hAnsi="Times New Roman" w:cs="Times New Roman"/>
          <w:sz w:val="24"/>
          <w:szCs w:val="24"/>
        </w:rPr>
        <w:t xml:space="preserve">, in </w:t>
      </w:r>
      <w:r w:rsidRPr="00832A63">
        <w:rPr>
          <w:rFonts w:ascii="Times New Roman" w:hAnsi="Times New Roman" w:cs="Times New Roman"/>
          <w:i/>
          <w:sz w:val="24"/>
          <w:szCs w:val="24"/>
        </w:rPr>
        <w:t>Enciclopedia cattolica</w:t>
      </w:r>
      <w:r w:rsidRPr="00832A63">
        <w:rPr>
          <w:rFonts w:ascii="Times New Roman" w:hAnsi="Times New Roman" w:cs="Times New Roman"/>
          <w:sz w:val="24"/>
          <w:szCs w:val="24"/>
        </w:rPr>
        <w:t>, Vol.</w:t>
      </w:r>
      <w:r>
        <w:rPr>
          <w:rFonts w:ascii="Times New Roman" w:hAnsi="Times New Roman" w:cs="Times New Roman"/>
          <w:sz w:val="24"/>
          <w:szCs w:val="24"/>
        </w:rPr>
        <w:t xml:space="preserve"> 3, 1948, p. 526.</w:t>
      </w:r>
    </w:p>
  </w:footnote>
  <w:footnote w:id="272">
    <w:p w14:paraId="3E3F46D5" w14:textId="77777777" w:rsidR="00F202D0" w:rsidRDefault="00F202D0">
      <w:pPr>
        <w:pStyle w:val="Testonotaapidipagina"/>
      </w:pPr>
      <w:r>
        <w:rPr>
          <w:rStyle w:val="Rimandonotaapidipagina"/>
        </w:rPr>
        <w:footnoteRef/>
      </w:r>
      <w:r>
        <w:t xml:space="preserve"> </w:t>
      </w:r>
      <w:r w:rsidRPr="00A452F6">
        <w:rPr>
          <w:rFonts w:ascii="Times New Roman" w:hAnsi="Times New Roman" w:cs="Times New Roman"/>
          <w:i/>
          <w:sz w:val="24"/>
          <w:szCs w:val="24"/>
        </w:rPr>
        <w:t>Decre</w:t>
      </w:r>
      <w:r>
        <w:rPr>
          <w:rFonts w:ascii="Times New Roman" w:hAnsi="Times New Roman" w:cs="Times New Roman"/>
          <w:i/>
          <w:sz w:val="24"/>
          <w:szCs w:val="24"/>
        </w:rPr>
        <w:t>tum:</w:t>
      </w:r>
      <w:r w:rsidRPr="00DE0C27">
        <w:rPr>
          <w:rFonts w:ascii="Times New Roman" w:hAnsi="Times New Roman" w:cs="Times New Roman"/>
          <w:i/>
          <w:sz w:val="24"/>
          <w:szCs w:val="24"/>
        </w:rPr>
        <w:t xml:space="preserve"> </w:t>
      </w:r>
      <w:r>
        <w:rPr>
          <w:rFonts w:ascii="Times New Roman" w:hAnsi="Times New Roman" w:cs="Times New Roman"/>
          <w:i/>
          <w:sz w:val="24"/>
          <w:szCs w:val="24"/>
        </w:rPr>
        <w:t>vicariatuum apostolicorum zamorensis, de M</w:t>
      </w:r>
      <w:r w:rsidRPr="00A452F6">
        <w:rPr>
          <w:rFonts w:ascii="Times New Roman" w:hAnsi="Times New Roman" w:cs="Times New Roman"/>
          <w:i/>
          <w:sz w:val="24"/>
          <w:szCs w:val="24"/>
        </w:rPr>
        <w:t>éndez ac napensis et p</w:t>
      </w:r>
      <w:r>
        <w:rPr>
          <w:rFonts w:ascii="Times New Roman" w:hAnsi="Times New Roman" w:cs="Times New Roman"/>
          <w:i/>
          <w:sz w:val="24"/>
          <w:szCs w:val="24"/>
        </w:rPr>
        <w:t>raefecturarum apostolicarum de C</w:t>
      </w:r>
      <w:r w:rsidRPr="00A452F6">
        <w:rPr>
          <w:rFonts w:ascii="Times New Roman" w:hAnsi="Times New Roman" w:cs="Times New Roman"/>
          <w:i/>
          <w:sz w:val="24"/>
          <w:szCs w:val="24"/>
        </w:rPr>
        <w:t>anelos ac s. Michaelis de sucumbios fines statuuntur</w:t>
      </w:r>
      <w:r>
        <w:rPr>
          <w:rFonts w:ascii="Times New Roman" w:hAnsi="Times New Roman" w:cs="Times New Roman"/>
          <w:i/>
          <w:sz w:val="24"/>
          <w:szCs w:val="24"/>
        </w:rPr>
        <w:t>.</w:t>
      </w:r>
    </w:p>
  </w:footnote>
  <w:footnote w:id="273">
    <w:p w14:paraId="1C8D25E2" w14:textId="77777777" w:rsidR="00F202D0" w:rsidRPr="00513C8A" w:rsidRDefault="00F202D0" w:rsidP="00383122">
      <w:pPr>
        <w:tabs>
          <w:tab w:val="left" w:pos="8837"/>
        </w:tabs>
        <w:rPr>
          <w:rFonts w:ascii="Times New Roman" w:hAnsi="Times New Roman" w:cs="Times New Roman"/>
          <w:sz w:val="24"/>
          <w:szCs w:val="24"/>
        </w:rPr>
      </w:pPr>
      <w:r>
        <w:rPr>
          <w:rStyle w:val="Rimandonotaapidipagina"/>
        </w:rPr>
        <w:footnoteRef/>
      </w:r>
      <w:r>
        <w:t xml:space="preserve"> </w:t>
      </w:r>
      <w:r w:rsidRPr="00513C8A">
        <w:rPr>
          <w:rFonts w:ascii="Times New Roman" w:hAnsi="Times New Roman" w:cs="Times New Roman"/>
          <w:i/>
          <w:sz w:val="24"/>
          <w:szCs w:val="24"/>
        </w:rPr>
        <w:t>Decretum: dismembrationis et unionis</w:t>
      </w:r>
      <w:r w:rsidRPr="00513C8A">
        <w:rPr>
          <w:rFonts w:ascii="Times New Roman" w:hAnsi="Times New Roman" w:cs="Times New Roman"/>
          <w:sz w:val="24"/>
          <w:szCs w:val="24"/>
        </w:rPr>
        <w:t>, in AAS46-1954, 4 giugno 1954, p. 461.</w:t>
      </w:r>
    </w:p>
  </w:footnote>
  <w:footnote w:id="274">
    <w:p w14:paraId="6DF31408" w14:textId="77777777" w:rsidR="00F202D0" w:rsidRPr="00513C8A" w:rsidRDefault="00F202D0" w:rsidP="00383122">
      <w:pPr>
        <w:tabs>
          <w:tab w:val="left" w:pos="8837"/>
        </w:tabs>
        <w:rPr>
          <w:rFonts w:ascii="Times New Roman" w:hAnsi="Times New Roman" w:cs="Times New Roman"/>
          <w:sz w:val="24"/>
          <w:szCs w:val="24"/>
        </w:rPr>
      </w:pPr>
      <w:r>
        <w:rPr>
          <w:rStyle w:val="Rimandonotaapidipagina"/>
        </w:rPr>
        <w:footnoteRef/>
      </w:r>
      <w:r>
        <w:t xml:space="preserve"> </w:t>
      </w:r>
      <w:r w:rsidRPr="00513C8A">
        <w:rPr>
          <w:rFonts w:ascii="Times New Roman" w:hAnsi="Times New Roman" w:cs="Times New Roman"/>
          <w:i/>
          <w:sz w:val="24"/>
          <w:szCs w:val="24"/>
        </w:rPr>
        <w:t>Decretum: de finium mutatione</w:t>
      </w:r>
      <w:r w:rsidRPr="00513C8A">
        <w:rPr>
          <w:rFonts w:ascii="Times New Roman" w:hAnsi="Times New Roman" w:cs="Times New Roman"/>
          <w:sz w:val="24"/>
          <w:szCs w:val="24"/>
        </w:rPr>
        <w:t>, in AAS46-1954, 30 luglio 1954, p. 550.</w:t>
      </w:r>
    </w:p>
  </w:footnote>
  <w:footnote w:id="275">
    <w:p w14:paraId="21547B4F" w14:textId="77777777" w:rsidR="00F202D0" w:rsidRPr="00082C20" w:rsidRDefault="00F202D0" w:rsidP="00383122">
      <w:pPr>
        <w:rPr>
          <w:rFonts w:ascii="Times New Roman" w:hAnsi="Times New Roman" w:cs="Times New Roman"/>
          <w:sz w:val="24"/>
          <w:szCs w:val="24"/>
        </w:rPr>
      </w:pPr>
      <w:r>
        <w:rPr>
          <w:rStyle w:val="Rimandonotaapidipagina"/>
        </w:rPr>
        <w:footnoteRef/>
      </w:r>
      <w:r>
        <w:t xml:space="preserve"> </w:t>
      </w:r>
      <w:r w:rsidRPr="00EB3B1E">
        <w:rPr>
          <w:rFonts w:ascii="Times New Roman" w:hAnsi="Times New Roman" w:cs="Times New Roman"/>
          <w:i/>
        </w:rPr>
        <w:t>Decretum: vicariatus apostolicus confinioris Californias deinceps tigiuanaënsis appellabitur</w:t>
      </w:r>
      <w:r w:rsidRPr="00EB3B1E">
        <w:rPr>
          <w:rFonts w:ascii="Times New Roman" w:hAnsi="Times New Roman" w:cs="Times New Roman"/>
        </w:rPr>
        <w:t xml:space="preserve">, in </w:t>
      </w:r>
      <w:r w:rsidRPr="00EB3B1E">
        <w:rPr>
          <w:rFonts w:ascii="Times New Roman" w:hAnsi="Times New Roman" w:cs="Times New Roman"/>
          <w:sz w:val="24"/>
          <w:szCs w:val="24"/>
        </w:rPr>
        <w:t>AAS49-1957, 13 luglio 1957, p. 974.</w:t>
      </w:r>
    </w:p>
  </w:footnote>
  <w:footnote w:id="276">
    <w:p w14:paraId="410B37AD" w14:textId="77777777" w:rsidR="00F202D0" w:rsidRDefault="00F202D0">
      <w:pPr>
        <w:pStyle w:val="Testonotaapidipagina"/>
      </w:pPr>
      <w:r>
        <w:rPr>
          <w:rStyle w:val="Rimandonotaapidipagina"/>
        </w:rPr>
        <w:footnoteRef/>
      </w:r>
      <w:r>
        <w:t xml:space="preserve"> </w:t>
      </w:r>
      <w:r w:rsidRPr="000C7520">
        <w:rPr>
          <w:rFonts w:ascii="Times New Roman" w:hAnsi="Times New Roman" w:cs="Times New Roman"/>
          <w:i/>
          <w:sz w:val="24"/>
          <w:szCs w:val="24"/>
        </w:rPr>
        <w:t>Decretum: De mutatione finium Vicariatuum</w:t>
      </w:r>
      <w:r w:rsidRPr="000C7520">
        <w:rPr>
          <w:rFonts w:ascii="Times New Roman" w:hAnsi="Times New Roman" w:cs="Times New Roman"/>
          <w:sz w:val="24"/>
          <w:szCs w:val="24"/>
        </w:rPr>
        <w:t>, in AAS53-1961,</w:t>
      </w:r>
      <w:r>
        <w:rPr>
          <w:rFonts w:ascii="Times New Roman" w:hAnsi="Times New Roman" w:cs="Times New Roman"/>
          <w:sz w:val="24"/>
          <w:szCs w:val="24"/>
        </w:rPr>
        <w:t>12 agosto 1961, p.</w:t>
      </w:r>
      <w:r w:rsidRPr="000C7520">
        <w:rPr>
          <w:rFonts w:ascii="Times New Roman" w:hAnsi="Times New Roman" w:cs="Times New Roman"/>
          <w:sz w:val="24"/>
          <w:szCs w:val="24"/>
        </w:rPr>
        <w:t xml:space="preserve"> 825</w:t>
      </w:r>
      <w:r>
        <w:rPr>
          <w:rFonts w:ascii="Times New Roman" w:hAnsi="Times New Roman" w:cs="Times New Roman"/>
          <w:sz w:val="24"/>
          <w:szCs w:val="24"/>
        </w:rPr>
        <w:t>.</w:t>
      </w:r>
    </w:p>
  </w:footnote>
  <w:footnote w:id="277">
    <w:p w14:paraId="6663C79B" w14:textId="77777777" w:rsidR="00F202D0" w:rsidRPr="00E45C99" w:rsidRDefault="00F202D0">
      <w:pPr>
        <w:pStyle w:val="Testonotaapidipagina"/>
        <w:rPr>
          <w:rFonts w:ascii="Times New Roman" w:hAnsi="Times New Roman" w:cs="Times New Roman"/>
          <w:sz w:val="24"/>
          <w:szCs w:val="24"/>
        </w:rPr>
      </w:pPr>
      <w:r>
        <w:rPr>
          <w:rStyle w:val="Rimandonotaapidipagina"/>
        </w:rPr>
        <w:footnoteRef/>
      </w:r>
      <w:r>
        <w:t xml:space="preserve"> </w:t>
      </w:r>
      <w:r w:rsidRPr="00E45C99">
        <w:rPr>
          <w:rFonts w:ascii="Times New Roman" w:hAnsi="Times New Roman" w:cs="Times New Roman"/>
          <w:sz w:val="24"/>
          <w:szCs w:val="24"/>
        </w:rPr>
        <w:t>Vedi figura 14 in Appendice.</w:t>
      </w:r>
    </w:p>
  </w:footnote>
  <w:footnote w:id="278">
    <w:p w14:paraId="1CED6465" w14:textId="77777777" w:rsidR="00F202D0" w:rsidRPr="00280042"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sidRPr="00280042">
        <w:rPr>
          <w:rFonts w:ascii="Times New Roman" w:hAnsi="Times New Roman" w:cs="Times New Roman"/>
          <w:sz w:val="24"/>
          <w:szCs w:val="24"/>
        </w:rPr>
        <w:t xml:space="preserve">G. Rommerskirchen, </w:t>
      </w:r>
      <w:r w:rsidRPr="00280042">
        <w:rPr>
          <w:rFonts w:ascii="Times New Roman" w:hAnsi="Times New Roman" w:cs="Times New Roman"/>
          <w:i/>
          <w:sz w:val="24"/>
          <w:szCs w:val="24"/>
        </w:rPr>
        <w:t>Oceania</w:t>
      </w:r>
      <w:r w:rsidRPr="00280042">
        <w:rPr>
          <w:rFonts w:ascii="Times New Roman" w:hAnsi="Times New Roman" w:cs="Times New Roman"/>
          <w:sz w:val="24"/>
          <w:szCs w:val="24"/>
        </w:rPr>
        <w:t>, in Enciclopedia cattolica, Vol.9, 1948, p. 55</w:t>
      </w:r>
      <w:r>
        <w:rPr>
          <w:rFonts w:ascii="Times New Roman" w:hAnsi="Times New Roman" w:cs="Times New Roman"/>
          <w:sz w:val="24"/>
          <w:szCs w:val="24"/>
        </w:rPr>
        <w:t>.</w:t>
      </w:r>
    </w:p>
  </w:footnote>
  <w:footnote w:id="279">
    <w:p w14:paraId="5A313D6C" w14:textId="77777777" w:rsidR="00F202D0" w:rsidRPr="00280042" w:rsidRDefault="00F202D0">
      <w:pPr>
        <w:pStyle w:val="Testonotaapidipagina"/>
        <w:rPr>
          <w:rFonts w:ascii="Times New Roman" w:hAnsi="Times New Roman" w:cs="Times New Roman"/>
          <w:i/>
          <w:sz w:val="24"/>
          <w:szCs w:val="24"/>
        </w:rPr>
      </w:pPr>
      <w:r w:rsidRPr="00280042">
        <w:rPr>
          <w:rStyle w:val="Rimandonotaapidipagina"/>
          <w:rFonts w:ascii="Times New Roman" w:hAnsi="Times New Roman" w:cs="Times New Roman"/>
        </w:rPr>
        <w:footnoteRef/>
      </w:r>
      <w:r w:rsidRPr="00832A63">
        <w:rPr>
          <w:rFonts w:ascii="Times New Roman" w:hAnsi="Times New Roman" w:cs="Times New Roman"/>
          <w:i/>
          <w:sz w:val="24"/>
          <w:szCs w:val="24"/>
        </w:rPr>
        <w:t>Ibidem.</w:t>
      </w:r>
    </w:p>
  </w:footnote>
  <w:footnote w:id="280">
    <w:p w14:paraId="2E0E440F" w14:textId="77777777" w:rsidR="00F202D0" w:rsidRPr="00280042"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832A63">
        <w:rPr>
          <w:rFonts w:ascii="Times New Roman" w:hAnsi="Times New Roman" w:cs="Times New Roman"/>
          <w:i/>
          <w:sz w:val="24"/>
          <w:szCs w:val="24"/>
        </w:rPr>
        <w:t>Ibidem.</w:t>
      </w:r>
    </w:p>
  </w:footnote>
  <w:footnote w:id="281">
    <w:p w14:paraId="7455B588" w14:textId="77777777" w:rsidR="00F202D0" w:rsidRDefault="00F202D0" w:rsidP="00383122">
      <w:pPr>
        <w:pStyle w:val="Testonotaapidipagina"/>
      </w:pPr>
      <w:r>
        <w:rPr>
          <w:rStyle w:val="Rimandonotaapidipagina"/>
        </w:rPr>
        <w:footnoteRef/>
      </w:r>
      <w:r>
        <w:t xml:space="preserve"> </w:t>
      </w:r>
      <w:r w:rsidRPr="00D128D7">
        <w:rPr>
          <w:rFonts w:ascii="Times New Roman" w:hAnsi="Times New Roman" w:cs="Times New Roman"/>
          <w:i/>
          <w:sz w:val="24"/>
          <w:szCs w:val="24"/>
        </w:rPr>
        <w:t>Decretum: extenditur iurisdict</w:t>
      </w:r>
      <w:r>
        <w:rPr>
          <w:rFonts w:ascii="Times New Roman" w:hAnsi="Times New Roman" w:cs="Times New Roman"/>
          <w:i/>
          <w:sz w:val="24"/>
          <w:szCs w:val="24"/>
        </w:rPr>
        <w:t>io delegati apostolici Austral-A</w:t>
      </w:r>
      <w:r w:rsidRPr="00D128D7">
        <w:rPr>
          <w:rFonts w:ascii="Times New Roman" w:hAnsi="Times New Roman" w:cs="Times New Roman"/>
          <w:i/>
          <w:sz w:val="24"/>
          <w:szCs w:val="24"/>
        </w:rPr>
        <w:t xml:space="preserve">siae, </w:t>
      </w:r>
      <w:r w:rsidRPr="00D128D7">
        <w:rPr>
          <w:rFonts w:ascii="Times New Roman" w:hAnsi="Times New Roman" w:cs="Times New Roman"/>
          <w:sz w:val="24"/>
          <w:szCs w:val="24"/>
        </w:rPr>
        <w:t>in AAS11-1919, 20 maggio 1919, p. 285.</w:t>
      </w:r>
    </w:p>
  </w:footnote>
  <w:footnote w:id="282">
    <w:p w14:paraId="17222A8E" w14:textId="77777777" w:rsidR="00F202D0" w:rsidRPr="00E45C99" w:rsidRDefault="00F202D0">
      <w:pPr>
        <w:pStyle w:val="Testonotaapidipagina"/>
        <w:rPr>
          <w:rFonts w:ascii="Times New Roman" w:hAnsi="Times New Roman" w:cs="Times New Roman"/>
          <w:sz w:val="24"/>
          <w:szCs w:val="24"/>
        </w:rPr>
      </w:pPr>
      <w:r>
        <w:rPr>
          <w:rStyle w:val="Rimandonotaapidipagina"/>
        </w:rPr>
        <w:footnoteRef/>
      </w:r>
      <w:r>
        <w:t xml:space="preserve"> </w:t>
      </w:r>
      <w:r w:rsidRPr="00E45C99">
        <w:rPr>
          <w:rFonts w:ascii="Times New Roman" w:hAnsi="Times New Roman" w:cs="Times New Roman"/>
          <w:sz w:val="24"/>
          <w:szCs w:val="24"/>
        </w:rPr>
        <w:t>Vedi figura 15 in Appendice.</w:t>
      </w:r>
    </w:p>
  </w:footnote>
  <w:footnote w:id="283">
    <w:p w14:paraId="14C73EB7" w14:textId="77777777" w:rsidR="00F202D0" w:rsidRPr="00140247" w:rsidRDefault="00F202D0" w:rsidP="00140247">
      <w:pPr>
        <w:rPr>
          <w:rFonts w:ascii="Times New Roman" w:hAnsi="Times New Roman" w:cs="Times New Roman"/>
          <w:sz w:val="24"/>
          <w:szCs w:val="24"/>
        </w:rPr>
      </w:pPr>
      <w:r>
        <w:rPr>
          <w:rStyle w:val="Rimandonotaapidipagina"/>
        </w:rPr>
        <w:footnoteRef/>
      </w:r>
      <w:r>
        <w:t xml:space="preserve"> </w:t>
      </w:r>
      <w:r w:rsidRPr="00B341AE">
        <w:rPr>
          <w:rFonts w:ascii="Times New Roman" w:hAnsi="Times New Roman" w:cs="Times New Roman"/>
          <w:i/>
          <w:sz w:val="24"/>
          <w:szCs w:val="24"/>
        </w:rPr>
        <w:t>Decretum: delegatio apostolica hucusque australasiae</w:t>
      </w:r>
      <w:r>
        <w:rPr>
          <w:rFonts w:ascii="Times New Roman" w:hAnsi="Times New Roman" w:cs="Times New Roman"/>
          <w:i/>
          <w:sz w:val="24"/>
          <w:szCs w:val="24"/>
        </w:rPr>
        <w:t>, deinceps «</w:t>
      </w:r>
      <w:r w:rsidRPr="00B341AE">
        <w:rPr>
          <w:rFonts w:ascii="Times New Roman" w:hAnsi="Times New Roman" w:cs="Times New Roman"/>
          <w:i/>
          <w:sz w:val="24"/>
          <w:szCs w:val="24"/>
        </w:rPr>
        <w:t>Australiae, Novae Zealandiae et O</w:t>
      </w:r>
      <w:r>
        <w:rPr>
          <w:rFonts w:ascii="Times New Roman" w:hAnsi="Times New Roman" w:cs="Times New Roman"/>
          <w:i/>
          <w:sz w:val="24"/>
          <w:szCs w:val="24"/>
        </w:rPr>
        <w:t>ceaniae</w:t>
      </w:r>
      <w:r w:rsidRPr="00B341AE">
        <w:rPr>
          <w:rFonts w:ascii="Times New Roman" w:hAnsi="Times New Roman" w:cs="Times New Roman"/>
          <w:i/>
          <w:sz w:val="24"/>
          <w:szCs w:val="24"/>
        </w:rPr>
        <w:t>»,</w:t>
      </w:r>
      <w:r w:rsidRPr="00B341AE">
        <w:rPr>
          <w:rFonts w:ascii="Times New Roman" w:hAnsi="Times New Roman" w:cs="Times New Roman"/>
          <w:sz w:val="24"/>
          <w:szCs w:val="24"/>
        </w:rPr>
        <w:t xml:space="preserve"> in AAS</w:t>
      </w:r>
      <w:r>
        <w:rPr>
          <w:rFonts w:ascii="Times New Roman" w:hAnsi="Times New Roman" w:cs="Times New Roman"/>
          <w:sz w:val="24"/>
          <w:szCs w:val="24"/>
        </w:rPr>
        <w:t>39-1947, 8 giugno 1947, p. 501.</w:t>
      </w:r>
    </w:p>
  </w:footnote>
  <w:footnote w:id="284">
    <w:p w14:paraId="3ABD9DA4" w14:textId="77777777" w:rsidR="00F202D0" w:rsidRPr="008B3FB4" w:rsidRDefault="00F202D0" w:rsidP="00383122">
      <w:pPr>
        <w:rPr>
          <w:rFonts w:ascii="Times New Roman" w:hAnsi="Times New Roman" w:cs="Times New Roman"/>
          <w:sz w:val="24"/>
          <w:szCs w:val="24"/>
        </w:rPr>
      </w:pPr>
      <w:r>
        <w:rPr>
          <w:rStyle w:val="Rimandonotaapidipagina"/>
        </w:rPr>
        <w:footnoteRef/>
      </w:r>
      <w:r>
        <w:t xml:space="preserve"> </w:t>
      </w:r>
      <w:r w:rsidRPr="008B3FB4">
        <w:rPr>
          <w:rFonts w:ascii="Times New Roman" w:hAnsi="Times New Roman" w:cs="Times New Roman"/>
          <w:i/>
          <w:sz w:val="24"/>
          <w:szCs w:val="24"/>
        </w:rPr>
        <w:t>Immutatur denominatio non nullarum oceaniae missionum decretum</w:t>
      </w:r>
      <w:r>
        <w:rPr>
          <w:rFonts w:ascii="Times New Roman" w:hAnsi="Times New Roman" w:cs="Times New Roman"/>
          <w:sz w:val="24"/>
          <w:szCs w:val="24"/>
        </w:rPr>
        <w:t xml:space="preserve">, in AAS-14-1922, p. </w:t>
      </w:r>
      <w:r w:rsidRPr="008B3FB4">
        <w:rPr>
          <w:rFonts w:ascii="Times New Roman" w:hAnsi="Times New Roman" w:cs="Times New Roman"/>
          <w:sz w:val="24"/>
          <w:szCs w:val="24"/>
        </w:rPr>
        <w:t>646.</w:t>
      </w:r>
    </w:p>
  </w:footnote>
  <w:footnote w:id="285">
    <w:p w14:paraId="17556809" w14:textId="77777777" w:rsidR="00F202D0" w:rsidRPr="008755CB" w:rsidRDefault="00F202D0" w:rsidP="00383122">
      <w:pPr>
        <w:rPr>
          <w:rFonts w:ascii="Times New Roman" w:hAnsi="Times New Roman" w:cs="Times New Roman"/>
          <w:sz w:val="24"/>
          <w:szCs w:val="24"/>
        </w:rPr>
      </w:pPr>
      <w:r>
        <w:rPr>
          <w:rStyle w:val="Rimandonotaapidipagina"/>
        </w:rPr>
        <w:footnoteRef/>
      </w:r>
      <w:r>
        <w:t xml:space="preserve"> </w:t>
      </w:r>
      <w:r w:rsidRPr="000F4D2B">
        <w:rPr>
          <w:rFonts w:ascii="Times New Roman" w:hAnsi="Times New Roman" w:cs="Times New Roman"/>
          <w:i/>
          <w:sz w:val="24"/>
          <w:szCs w:val="24"/>
        </w:rPr>
        <w:t>Decretum: de mutatione nominum vicariatuum apostolicorum</w:t>
      </w:r>
      <w:r w:rsidRPr="000F4D2B">
        <w:rPr>
          <w:rFonts w:ascii="Times New Roman" w:hAnsi="Times New Roman" w:cs="Times New Roman"/>
          <w:sz w:val="24"/>
          <w:szCs w:val="24"/>
        </w:rPr>
        <w:t xml:space="preserve">, in AAS45-1952, </w:t>
      </w:r>
      <w:r>
        <w:rPr>
          <w:rFonts w:ascii="Times New Roman" w:hAnsi="Times New Roman" w:cs="Times New Roman"/>
          <w:sz w:val="24"/>
          <w:szCs w:val="24"/>
        </w:rPr>
        <w:t>15 maggio 1952, p. 882.</w:t>
      </w:r>
    </w:p>
  </w:footnote>
  <w:footnote w:id="286">
    <w:p w14:paraId="4284D160" w14:textId="77777777" w:rsidR="00F202D0" w:rsidRDefault="00F202D0" w:rsidP="00383122">
      <w:pPr>
        <w:pStyle w:val="Testonotaapidipagina"/>
      </w:pPr>
      <w:r>
        <w:rPr>
          <w:rStyle w:val="Rimandonotaapidipagina"/>
        </w:rPr>
        <w:footnoteRef/>
      </w:r>
      <w:r>
        <w:t xml:space="preserve"> </w:t>
      </w:r>
      <w:r w:rsidRPr="00415807">
        <w:rPr>
          <w:rFonts w:ascii="Times New Roman" w:hAnsi="Times New Roman" w:cs="Times New Roman"/>
          <w:i/>
          <w:sz w:val="24"/>
          <w:szCs w:val="24"/>
        </w:rPr>
        <w:t>Decretum: de mutatione finium vicariatuum apostolicorum,</w:t>
      </w:r>
      <w:r w:rsidRPr="00415807">
        <w:rPr>
          <w:rFonts w:ascii="Times New Roman" w:hAnsi="Times New Roman" w:cs="Times New Roman"/>
          <w:sz w:val="24"/>
          <w:szCs w:val="24"/>
        </w:rPr>
        <w:t xml:space="preserve"> in AAS51-1959,</w:t>
      </w:r>
      <w:r>
        <w:rPr>
          <w:rFonts w:ascii="Times New Roman" w:hAnsi="Times New Roman" w:cs="Times New Roman"/>
          <w:sz w:val="24"/>
          <w:szCs w:val="24"/>
        </w:rPr>
        <w:t xml:space="preserve">15 maggio 1959, p. </w:t>
      </w:r>
      <w:r w:rsidRPr="00415807">
        <w:rPr>
          <w:rFonts w:ascii="Times New Roman" w:hAnsi="Times New Roman" w:cs="Times New Roman"/>
          <w:sz w:val="24"/>
          <w:szCs w:val="24"/>
        </w:rPr>
        <w:t>435</w:t>
      </w:r>
      <w:r>
        <w:rPr>
          <w:rFonts w:ascii="Times New Roman" w:hAnsi="Times New Roman" w:cs="Times New Roman"/>
          <w:sz w:val="24"/>
          <w:szCs w:val="24"/>
        </w:rPr>
        <w:t>.</w:t>
      </w:r>
    </w:p>
  </w:footnote>
  <w:footnote w:id="287">
    <w:p w14:paraId="7C611AE0" w14:textId="77777777" w:rsidR="00F202D0" w:rsidRDefault="00F202D0" w:rsidP="00383122">
      <w:pPr>
        <w:pStyle w:val="Testonotaapidipagina"/>
      </w:pPr>
      <w:r>
        <w:rPr>
          <w:rStyle w:val="Rimandonotaapidipagina"/>
        </w:rPr>
        <w:footnoteRef/>
      </w:r>
      <w:r>
        <w:t xml:space="preserve"> </w:t>
      </w:r>
      <w:r w:rsidRPr="008755CB">
        <w:rPr>
          <w:rFonts w:ascii="Times New Roman" w:hAnsi="Times New Roman" w:cs="Times New Roman"/>
          <w:sz w:val="24"/>
          <w:szCs w:val="24"/>
        </w:rPr>
        <w:t>E.</w:t>
      </w:r>
      <w:r>
        <w:rPr>
          <w:rFonts w:ascii="Times New Roman" w:hAnsi="Times New Roman" w:cs="Times New Roman"/>
          <w:sz w:val="24"/>
          <w:szCs w:val="24"/>
        </w:rPr>
        <w:t xml:space="preserve"> </w:t>
      </w:r>
      <w:r w:rsidRPr="008755CB">
        <w:rPr>
          <w:rFonts w:ascii="Times New Roman" w:hAnsi="Times New Roman" w:cs="Times New Roman"/>
          <w:sz w:val="24"/>
          <w:szCs w:val="24"/>
        </w:rPr>
        <w:t xml:space="preserve">Pecoraio, </w:t>
      </w:r>
      <w:r w:rsidRPr="008755CB">
        <w:rPr>
          <w:rFonts w:ascii="Times New Roman" w:hAnsi="Times New Roman" w:cs="Times New Roman"/>
          <w:i/>
          <w:sz w:val="24"/>
          <w:szCs w:val="24"/>
        </w:rPr>
        <w:t>Nuova Guinea olandese</w:t>
      </w:r>
      <w:r w:rsidRPr="008755CB">
        <w:rPr>
          <w:rFonts w:ascii="Times New Roman" w:hAnsi="Times New Roman" w:cs="Times New Roman"/>
          <w:sz w:val="24"/>
          <w:szCs w:val="24"/>
        </w:rPr>
        <w:t xml:space="preserve">, in </w:t>
      </w:r>
      <w:r w:rsidRPr="008755CB">
        <w:rPr>
          <w:rFonts w:ascii="Times New Roman" w:hAnsi="Times New Roman" w:cs="Times New Roman"/>
          <w:i/>
          <w:sz w:val="24"/>
          <w:szCs w:val="24"/>
        </w:rPr>
        <w:t>Enciclopedia cattolica</w:t>
      </w:r>
      <w:r w:rsidRPr="008755CB">
        <w:rPr>
          <w:rFonts w:ascii="Times New Roman" w:hAnsi="Times New Roman" w:cs="Times New Roman"/>
          <w:sz w:val="24"/>
          <w:szCs w:val="24"/>
        </w:rPr>
        <w:t>, Vol. 8, 1948, p. 2030.</w:t>
      </w:r>
    </w:p>
  </w:footnote>
  <w:footnote w:id="288">
    <w:p w14:paraId="3450FCC3" w14:textId="77777777" w:rsidR="00F202D0" w:rsidRDefault="00F202D0" w:rsidP="00383122">
      <w:pPr>
        <w:pStyle w:val="Testonotaapidipagina"/>
      </w:pPr>
      <w:r>
        <w:rPr>
          <w:rStyle w:val="Rimandonotaapidipagina"/>
        </w:rPr>
        <w:footnoteRef/>
      </w:r>
      <w:r>
        <w:t xml:space="preserve"> </w:t>
      </w:r>
      <w:r w:rsidRPr="00BA71DC">
        <w:rPr>
          <w:rFonts w:ascii="Times New Roman" w:hAnsi="Times New Roman" w:cs="Times New Roman"/>
          <w:i/>
          <w:sz w:val="24"/>
          <w:szCs w:val="24"/>
        </w:rPr>
        <w:t>Decretum: De nominis mutatione</w:t>
      </w:r>
      <w:r w:rsidRPr="00BA71DC">
        <w:rPr>
          <w:rFonts w:ascii="Times New Roman" w:hAnsi="Times New Roman" w:cs="Times New Roman"/>
          <w:sz w:val="24"/>
          <w:szCs w:val="24"/>
        </w:rPr>
        <w:t xml:space="preserve">, in AAS55-1963, </w:t>
      </w:r>
      <w:r>
        <w:rPr>
          <w:rFonts w:ascii="Times New Roman" w:hAnsi="Times New Roman" w:cs="Times New Roman"/>
          <w:sz w:val="24"/>
          <w:szCs w:val="24"/>
        </w:rPr>
        <w:t>28 giugno 1963, p.</w:t>
      </w:r>
      <w:r w:rsidRPr="00BA71DC">
        <w:rPr>
          <w:rFonts w:ascii="Times New Roman" w:hAnsi="Times New Roman" w:cs="Times New Roman"/>
          <w:sz w:val="24"/>
          <w:szCs w:val="24"/>
        </w:rPr>
        <w:t xml:space="preserve"> 717</w:t>
      </w:r>
      <w:r>
        <w:rPr>
          <w:rFonts w:ascii="Times New Roman" w:hAnsi="Times New Roman" w:cs="Times New Roman"/>
          <w:sz w:val="24"/>
          <w:szCs w:val="24"/>
        </w:rPr>
        <w:t>.</w:t>
      </w:r>
    </w:p>
  </w:footnote>
  <w:footnote w:id="289">
    <w:p w14:paraId="21FD8235" w14:textId="77777777" w:rsidR="00F202D0" w:rsidRDefault="00F202D0" w:rsidP="00383122">
      <w:pPr>
        <w:pStyle w:val="Testonotaapidipagina"/>
      </w:pPr>
      <w:r>
        <w:rPr>
          <w:rStyle w:val="Rimandonotaapidipagina"/>
        </w:rPr>
        <w:footnoteRef/>
      </w:r>
      <w:r>
        <w:t xml:space="preserve"> </w:t>
      </w:r>
      <w:r w:rsidRPr="008755CB">
        <w:rPr>
          <w:rFonts w:ascii="Times New Roman" w:hAnsi="Times New Roman" w:cs="Times New Roman"/>
          <w:i/>
          <w:sz w:val="24"/>
          <w:szCs w:val="24"/>
        </w:rPr>
        <w:t>Ibidem.</w:t>
      </w:r>
    </w:p>
  </w:footnote>
  <w:footnote w:id="290">
    <w:p w14:paraId="1578FC08" w14:textId="77777777" w:rsidR="00F202D0" w:rsidRPr="006705CA" w:rsidRDefault="00F202D0" w:rsidP="00383122">
      <w:pPr>
        <w:pStyle w:val="Testonotaapidipagina"/>
        <w:rPr>
          <w:rFonts w:ascii="Times New Roman" w:hAnsi="Times New Roman" w:cs="Times New Roman"/>
          <w:sz w:val="24"/>
          <w:szCs w:val="24"/>
        </w:rPr>
      </w:pPr>
      <w:r>
        <w:rPr>
          <w:rStyle w:val="Rimandonotaapidipagina"/>
        </w:rPr>
        <w:footnoteRef/>
      </w:r>
      <w:r>
        <w:t xml:space="preserve"> </w:t>
      </w:r>
      <w:r w:rsidRPr="00687DA0">
        <w:rPr>
          <w:rFonts w:ascii="Times New Roman" w:hAnsi="Times New Roman" w:cs="Times New Roman"/>
          <w:i/>
          <w:sz w:val="24"/>
          <w:szCs w:val="24"/>
        </w:rPr>
        <w:t>Decretum: De commutatione finium,</w:t>
      </w:r>
      <w:r w:rsidRPr="00687DA0">
        <w:rPr>
          <w:rFonts w:ascii="Times New Roman" w:hAnsi="Times New Roman" w:cs="Times New Roman"/>
          <w:sz w:val="24"/>
          <w:szCs w:val="24"/>
        </w:rPr>
        <w:t xml:space="preserve"> in AAS55-1963, </w:t>
      </w:r>
      <w:r>
        <w:rPr>
          <w:rFonts w:ascii="Times New Roman" w:hAnsi="Times New Roman" w:cs="Times New Roman"/>
          <w:sz w:val="24"/>
          <w:szCs w:val="24"/>
        </w:rPr>
        <w:t>19 aprile 1963, p.</w:t>
      </w:r>
      <w:r w:rsidRPr="00687DA0">
        <w:rPr>
          <w:rFonts w:ascii="Times New Roman" w:hAnsi="Times New Roman" w:cs="Times New Roman"/>
          <w:sz w:val="24"/>
          <w:szCs w:val="24"/>
        </w:rPr>
        <w:t xml:space="preserve"> 410</w:t>
      </w:r>
      <w:r>
        <w:rPr>
          <w:rFonts w:ascii="Times New Roman" w:hAnsi="Times New Roman" w:cs="Times New Roman"/>
          <w:sz w:val="24"/>
          <w:szCs w:val="24"/>
        </w:rPr>
        <w:t>.</w:t>
      </w:r>
    </w:p>
  </w:footnote>
  <w:footnote w:id="291">
    <w:p w14:paraId="5D696B0A" w14:textId="77777777" w:rsidR="00F202D0" w:rsidRPr="00082C20" w:rsidRDefault="00F202D0">
      <w:pPr>
        <w:pStyle w:val="Testonotaapidipagina"/>
        <w:rPr>
          <w:rFonts w:ascii="Times New Roman" w:hAnsi="Times New Roman" w:cs="Times New Roman"/>
          <w:sz w:val="24"/>
          <w:szCs w:val="24"/>
        </w:rPr>
      </w:pPr>
      <w:r>
        <w:rPr>
          <w:rStyle w:val="Rimandonotaapidipagina"/>
        </w:rPr>
        <w:footnoteRef/>
      </w:r>
      <w:r>
        <w:t xml:space="preserve"> </w:t>
      </w:r>
      <w:r w:rsidRPr="00082C20">
        <w:rPr>
          <w:rFonts w:ascii="Times New Roman" w:hAnsi="Times New Roman" w:cs="Times New Roman"/>
          <w:sz w:val="24"/>
          <w:szCs w:val="24"/>
        </w:rPr>
        <w:t>S.</w:t>
      </w:r>
      <w:r>
        <w:rPr>
          <w:rFonts w:ascii="Times New Roman" w:hAnsi="Times New Roman" w:cs="Times New Roman"/>
          <w:sz w:val="24"/>
          <w:szCs w:val="24"/>
        </w:rPr>
        <w:t xml:space="preserve"> </w:t>
      </w:r>
      <w:r w:rsidRPr="00082C20">
        <w:rPr>
          <w:rFonts w:ascii="Times New Roman" w:hAnsi="Times New Roman" w:cs="Times New Roman"/>
          <w:sz w:val="24"/>
          <w:szCs w:val="24"/>
        </w:rPr>
        <w:t xml:space="preserve">Paventi, </w:t>
      </w:r>
      <w:r w:rsidRPr="00082C20">
        <w:rPr>
          <w:rFonts w:ascii="Times New Roman" w:hAnsi="Times New Roman" w:cs="Times New Roman"/>
          <w:i/>
          <w:sz w:val="24"/>
          <w:szCs w:val="24"/>
        </w:rPr>
        <w:t>Tonga</w:t>
      </w:r>
      <w:r w:rsidRPr="00082C20">
        <w:rPr>
          <w:rFonts w:ascii="Times New Roman" w:hAnsi="Times New Roman" w:cs="Times New Roman"/>
          <w:sz w:val="24"/>
          <w:szCs w:val="24"/>
        </w:rPr>
        <w:t xml:space="preserve">, in </w:t>
      </w:r>
      <w:r w:rsidRPr="00082C20">
        <w:rPr>
          <w:rFonts w:ascii="Times New Roman" w:hAnsi="Times New Roman" w:cs="Times New Roman"/>
          <w:i/>
          <w:sz w:val="24"/>
          <w:szCs w:val="24"/>
        </w:rPr>
        <w:t>Enciclopedia cattolica</w:t>
      </w:r>
      <w:r w:rsidRPr="00082C20">
        <w:rPr>
          <w:rFonts w:ascii="Times New Roman" w:hAnsi="Times New Roman" w:cs="Times New Roman"/>
          <w:sz w:val="24"/>
          <w:szCs w:val="24"/>
        </w:rPr>
        <w:t>, Vol. 12, 1948, p. 304.</w:t>
      </w:r>
    </w:p>
  </w:footnote>
  <w:footnote w:id="292">
    <w:p w14:paraId="303C37F3" w14:textId="77777777" w:rsidR="00F202D0" w:rsidRPr="00140247" w:rsidRDefault="00F202D0" w:rsidP="00140247">
      <w:pPr>
        <w:rPr>
          <w:rFonts w:ascii="Times New Roman" w:hAnsi="Times New Roman" w:cs="Times New Roman"/>
          <w:sz w:val="24"/>
          <w:szCs w:val="24"/>
        </w:rPr>
      </w:pPr>
      <w:r>
        <w:rPr>
          <w:rStyle w:val="Rimandonotaapidipagina"/>
        </w:rPr>
        <w:footnoteRef/>
      </w:r>
      <w:r>
        <w:t xml:space="preserve"> </w:t>
      </w:r>
      <w:r w:rsidRPr="00082C20">
        <w:rPr>
          <w:rFonts w:ascii="Times New Roman" w:hAnsi="Times New Roman" w:cs="Times New Roman"/>
          <w:i/>
          <w:sz w:val="24"/>
          <w:szCs w:val="24"/>
        </w:rPr>
        <w:t>Decretum: quo vicariatus apostolicus Oceaniae centralis deinceps vicariatus apostolicus insularum Tonga appellabitur</w:t>
      </w:r>
      <w:r w:rsidRPr="00082C20">
        <w:rPr>
          <w:rFonts w:ascii="Times New Roman" w:hAnsi="Times New Roman" w:cs="Times New Roman"/>
          <w:sz w:val="24"/>
          <w:szCs w:val="24"/>
        </w:rPr>
        <w:t>, in AAS29-1937, 13 aprile 1937, p</w:t>
      </w:r>
      <w:r>
        <w:rPr>
          <w:rFonts w:ascii="Times New Roman" w:hAnsi="Times New Roman" w:cs="Times New Roman"/>
          <w:sz w:val="24"/>
          <w:szCs w:val="24"/>
        </w:rPr>
        <w:t>. 308.</w:t>
      </w:r>
    </w:p>
  </w:footnote>
  <w:footnote w:id="293">
    <w:p w14:paraId="113B2C8A" w14:textId="77777777" w:rsidR="00F202D0" w:rsidRPr="007A72B3" w:rsidRDefault="00F202D0" w:rsidP="00383122">
      <w:pPr>
        <w:rPr>
          <w:rFonts w:ascii="Times New Roman" w:hAnsi="Times New Roman" w:cs="Times New Roman"/>
          <w:sz w:val="24"/>
          <w:szCs w:val="24"/>
        </w:rPr>
      </w:pPr>
      <w:r>
        <w:rPr>
          <w:rStyle w:val="Rimandonotaapidipagina"/>
        </w:rPr>
        <w:footnoteRef/>
      </w:r>
      <w:r>
        <w:t xml:space="preserve"> </w:t>
      </w:r>
      <w:r>
        <w:rPr>
          <w:rFonts w:ascii="Times New Roman" w:hAnsi="Times New Roman" w:cs="Times New Roman"/>
          <w:i/>
          <w:sz w:val="24"/>
          <w:szCs w:val="24"/>
        </w:rPr>
        <w:t>Decretum: de novo vic</w:t>
      </w:r>
      <w:r w:rsidRPr="00C2608A">
        <w:rPr>
          <w:rFonts w:ascii="Times New Roman" w:hAnsi="Times New Roman" w:cs="Times New Roman"/>
          <w:i/>
          <w:sz w:val="24"/>
          <w:szCs w:val="24"/>
        </w:rPr>
        <w:t>ariatus apostolici titulo</w:t>
      </w:r>
      <w:r w:rsidRPr="00C2608A">
        <w:rPr>
          <w:rFonts w:ascii="Times New Roman" w:hAnsi="Times New Roman" w:cs="Times New Roman"/>
          <w:sz w:val="24"/>
          <w:szCs w:val="24"/>
        </w:rPr>
        <w:t xml:space="preserve">, in AAS49-1957, </w:t>
      </w:r>
      <w:r>
        <w:rPr>
          <w:rFonts w:ascii="Times New Roman" w:hAnsi="Times New Roman" w:cs="Times New Roman"/>
          <w:sz w:val="24"/>
          <w:szCs w:val="24"/>
        </w:rPr>
        <w:t>22 marzo 1957, p.</w:t>
      </w:r>
      <w:r w:rsidRPr="00C2608A">
        <w:rPr>
          <w:rFonts w:ascii="Times New Roman" w:hAnsi="Times New Roman" w:cs="Times New Roman"/>
          <w:sz w:val="24"/>
          <w:szCs w:val="24"/>
        </w:rPr>
        <w:t xml:space="preserve"> 752</w:t>
      </w:r>
      <w:r>
        <w:rPr>
          <w:rFonts w:ascii="Times New Roman" w:hAnsi="Times New Roman" w:cs="Times New Roman"/>
          <w:sz w:val="24"/>
          <w:szCs w:val="24"/>
        </w:rPr>
        <w:t>.</w:t>
      </w:r>
    </w:p>
  </w:footnote>
  <w:footnote w:id="294">
    <w:p w14:paraId="262853A5" w14:textId="77777777" w:rsidR="00F202D0" w:rsidRPr="00A532C7" w:rsidRDefault="00F202D0" w:rsidP="00383122">
      <w:pPr>
        <w:rPr>
          <w:rFonts w:ascii="Times New Roman" w:hAnsi="Times New Roman" w:cs="Times New Roman"/>
          <w:sz w:val="28"/>
          <w:szCs w:val="28"/>
        </w:rPr>
      </w:pPr>
      <w:r>
        <w:rPr>
          <w:rStyle w:val="Rimandonotaapidipagina"/>
        </w:rPr>
        <w:footnoteRef/>
      </w:r>
      <w:r>
        <w:t xml:space="preserve"> </w:t>
      </w:r>
      <w:r w:rsidRPr="00D83823">
        <w:rPr>
          <w:rFonts w:ascii="Times New Roman" w:hAnsi="Times New Roman" w:cs="Times New Roman"/>
          <w:i/>
          <w:sz w:val="24"/>
          <w:szCs w:val="24"/>
        </w:rPr>
        <w:t>Decretum: de finium dioecesium mutatione</w:t>
      </w:r>
      <w:r w:rsidRPr="00D83823">
        <w:rPr>
          <w:rFonts w:ascii="Times New Roman" w:hAnsi="Times New Roman" w:cs="Times New Roman"/>
          <w:sz w:val="24"/>
          <w:szCs w:val="24"/>
        </w:rPr>
        <w:t xml:space="preserve">, in AAS42-1950, 5 maggio 1950, p. 740. </w:t>
      </w:r>
    </w:p>
  </w:footnote>
  <w:footnote w:id="295">
    <w:p w14:paraId="741DAC8B" w14:textId="77777777" w:rsidR="00F202D0" w:rsidRPr="00513C8A" w:rsidRDefault="00F202D0" w:rsidP="00383122">
      <w:pPr>
        <w:rPr>
          <w:rFonts w:ascii="Times New Roman" w:hAnsi="Times New Roman" w:cs="Times New Roman"/>
          <w:sz w:val="24"/>
          <w:szCs w:val="24"/>
        </w:rPr>
      </w:pPr>
      <w:r>
        <w:rPr>
          <w:rStyle w:val="Rimandonotaapidipagina"/>
        </w:rPr>
        <w:footnoteRef/>
      </w:r>
      <w:r>
        <w:t xml:space="preserve"> </w:t>
      </w:r>
      <w:r w:rsidRPr="00513C8A">
        <w:rPr>
          <w:rFonts w:ascii="Times New Roman" w:hAnsi="Times New Roman" w:cs="Times New Roman"/>
          <w:i/>
          <w:sz w:val="24"/>
          <w:szCs w:val="24"/>
        </w:rPr>
        <w:t>Decretum: de finium dioecesium mutatione</w:t>
      </w:r>
      <w:r w:rsidRPr="00513C8A">
        <w:rPr>
          <w:rFonts w:ascii="Times New Roman" w:hAnsi="Times New Roman" w:cs="Times New Roman"/>
          <w:sz w:val="24"/>
          <w:szCs w:val="24"/>
        </w:rPr>
        <w:t>, in AAS47-1955, 21 febbraio 1955, p. 617.</w:t>
      </w:r>
    </w:p>
  </w:footnote>
  <w:footnote w:id="296">
    <w:p w14:paraId="317134E7" w14:textId="77777777" w:rsidR="00F202D0" w:rsidRPr="007A72B3" w:rsidRDefault="00F202D0" w:rsidP="00383122">
      <w:pPr>
        <w:rPr>
          <w:rFonts w:ascii="Times New Roman" w:hAnsi="Times New Roman" w:cs="Times New Roman"/>
          <w:sz w:val="28"/>
          <w:szCs w:val="28"/>
        </w:rPr>
      </w:pPr>
      <w:r>
        <w:rPr>
          <w:rStyle w:val="Rimandonotaapidipagina"/>
        </w:rPr>
        <w:footnoteRef/>
      </w:r>
      <w:r>
        <w:t xml:space="preserve"> </w:t>
      </w:r>
      <w:r w:rsidRPr="00513C8A">
        <w:rPr>
          <w:rFonts w:ascii="Times New Roman" w:hAnsi="Times New Roman" w:cs="Times New Roman"/>
          <w:i/>
          <w:sz w:val="24"/>
          <w:szCs w:val="24"/>
        </w:rPr>
        <w:t>Decretum: de mutatione finium dioecesium</w:t>
      </w:r>
      <w:r w:rsidRPr="00513C8A">
        <w:rPr>
          <w:rFonts w:ascii="Times New Roman" w:hAnsi="Times New Roman" w:cs="Times New Roman"/>
          <w:sz w:val="24"/>
          <w:szCs w:val="24"/>
        </w:rPr>
        <w:t>, in AAS48-1956, 11 febbraio 1956, p. 582.</w:t>
      </w:r>
    </w:p>
  </w:footnote>
  <w:footnote w:id="297">
    <w:p w14:paraId="5F0744AD" w14:textId="77777777" w:rsidR="00F202D0" w:rsidRDefault="00F202D0" w:rsidP="00383122">
      <w:pPr>
        <w:pStyle w:val="Testonotaapidipagina"/>
      </w:pPr>
      <w:r>
        <w:rPr>
          <w:rStyle w:val="Rimandonotaapidipagina"/>
        </w:rPr>
        <w:footnoteRef/>
      </w:r>
      <w:r>
        <w:t xml:space="preserve"> </w:t>
      </w:r>
      <w:r w:rsidRPr="00A532C7">
        <w:rPr>
          <w:rFonts w:ascii="Times New Roman" w:hAnsi="Times New Roman" w:cs="Times New Roman"/>
          <w:i/>
          <w:sz w:val="24"/>
          <w:szCs w:val="24"/>
        </w:rPr>
        <w:t>Decretum: de finium dioecesium mutatione,</w:t>
      </w:r>
      <w:r w:rsidRPr="00A532C7">
        <w:rPr>
          <w:rFonts w:ascii="Times New Roman" w:hAnsi="Times New Roman" w:cs="Times New Roman"/>
          <w:sz w:val="24"/>
          <w:szCs w:val="24"/>
        </w:rPr>
        <w:t xml:space="preserve"> in AAS42-1950, 5 maggio 1950, p. 831.</w:t>
      </w:r>
    </w:p>
  </w:footnote>
  <w:footnote w:id="298">
    <w:p w14:paraId="34E29AFB" w14:textId="77777777" w:rsidR="00F202D0" w:rsidRPr="00623B6E" w:rsidRDefault="00F202D0" w:rsidP="00383122">
      <w:pPr>
        <w:rPr>
          <w:rFonts w:ascii="Times New Roman" w:hAnsi="Times New Roman" w:cs="Times New Roman"/>
          <w:sz w:val="24"/>
          <w:szCs w:val="24"/>
        </w:rPr>
      </w:pPr>
      <w:r>
        <w:rPr>
          <w:rStyle w:val="Rimandonotaapidipagina"/>
        </w:rPr>
        <w:footnoteRef/>
      </w:r>
      <w:r>
        <w:t xml:space="preserve"> </w:t>
      </w:r>
      <w:r>
        <w:rPr>
          <w:rFonts w:ascii="Times New Roman" w:hAnsi="Times New Roman" w:cs="Times New Roman"/>
          <w:i/>
          <w:sz w:val="24"/>
          <w:szCs w:val="24"/>
        </w:rPr>
        <w:t>Decretum: sedes cathedralis Portaugu stana in urbem de Port P</w:t>
      </w:r>
      <w:r w:rsidRPr="00F03392">
        <w:rPr>
          <w:rFonts w:ascii="Times New Roman" w:hAnsi="Times New Roman" w:cs="Times New Roman"/>
          <w:i/>
          <w:sz w:val="24"/>
          <w:szCs w:val="24"/>
        </w:rPr>
        <w:t>irie transfertur ac deinceps portus piriensis appellabitur</w:t>
      </w:r>
      <w:r w:rsidRPr="00F03392">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F03392">
        <w:rPr>
          <w:rFonts w:ascii="Times New Roman" w:hAnsi="Times New Roman" w:cs="Times New Roman"/>
          <w:sz w:val="24"/>
          <w:szCs w:val="24"/>
        </w:rPr>
        <w:t>AAS43-1951,</w:t>
      </w:r>
      <w:r>
        <w:rPr>
          <w:rFonts w:ascii="Times New Roman" w:hAnsi="Times New Roman" w:cs="Times New Roman"/>
          <w:sz w:val="24"/>
          <w:szCs w:val="24"/>
        </w:rPr>
        <w:t xml:space="preserve"> 7 giugno 1951, p.</w:t>
      </w:r>
      <w:r w:rsidRPr="00F03392">
        <w:rPr>
          <w:rFonts w:ascii="Times New Roman" w:hAnsi="Times New Roman" w:cs="Times New Roman"/>
          <w:sz w:val="24"/>
          <w:szCs w:val="24"/>
        </w:rPr>
        <w:t xml:space="preserve"> 808</w:t>
      </w:r>
      <w:r>
        <w:rPr>
          <w:rFonts w:ascii="Times New Roman" w:hAnsi="Times New Roman" w:cs="Times New Roman"/>
          <w:sz w:val="24"/>
          <w:szCs w:val="24"/>
        </w:rPr>
        <w:t>.</w:t>
      </w:r>
    </w:p>
  </w:footnote>
  <w:footnote w:id="299">
    <w:p w14:paraId="74606BDE" w14:textId="77777777" w:rsidR="00F202D0" w:rsidRDefault="00F202D0">
      <w:pPr>
        <w:pStyle w:val="Testonotaapidipagina"/>
      </w:pPr>
      <w:r>
        <w:rPr>
          <w:rStyle w:val="Rimandonotaapidipagina"/>
        </w:rPr>
        <w:footnoteRef/>
      </w:r>
      <w:r>
        <w:t xml:space="preserve"> </w:t>
      </w:r>
      <w:r w:rsidRPr="006705CA">
        <w:rPr>
          <w:rFonts w:ascii="Times New Roman" w:hAnsi="Times New Roman" w:cs="Times New Roman"/>
          <w:i/>
          <w:sz w:val="24"/>
          <w:szCs w:val="24"/>
          <w:lang w:val="en-US"/>
        </w:rPr>
        <w:t>Decretum: db finium mutatione</w:t>
      </w:r>
      <w:r w:rsidRPr="00426AFA">
        <w:rPr>
          <w:rFonts w:ascii="Times New Roman" w:hAnsi="Times New Roman" w:cs="Times New Roman"/>
          <w:sz w:val="24"/>
          <w:szCs w:val="24"/>
          <w:lang w:val="en-US"/>
        </w:rPr>
        <w:t>, in AAS52-1960, 19 febbraio 1960, p. 487.</w:t>
      </w:r>
    </w:p>
  </w:footnote>
  <w:footnote w:id="300">
    <w:p w14:paraId="321717F0" w14:textId="77777777" w:rsidR="00F202D0" w:rsidRDefault="00F202D0" w:rsidP="00383122">
      <w:pPr>
        <w:pStyle w:val="Testofumetto"/>
      </w:pPr>
      <w:r>
        <w:rPr>
          <w:rStyle w:val="Rimandonotaapidipagina"/>
        </w:rPr>
        <w:footnoteRef/>
      </w:r>
      <w:r>
        <w:t xml:space="preserve"> </w:t>
      </w:r>
      <w:r>
        <w:rPr>
          <w:rFonts w:ascii="Times New Roman" w:hAnsi="Times New Roman" w:cs="Times New Roman"/>
          <w:color w:val="201F1E"/>
          <w:sz w:val="24"/>
          <w:szCs w:val="24"/>
          <w:shd w:val="clear" w:color="auto" w:fill="FFFFFF"/>
        </w:rPr>
        <w:t xml:space="preserve">G. Tragella, </w:t>
      </w:r>
      <w:r w:rsidRPr="00B92C2A">
        <w:rPr>
          <w:rFonts w:ascii="Times New Roman" w:hAnsi="Times New Roman" w:cs="Times New Roman"/>
          <w:i/>
          <w:color w:val="201F1E"/>
          <w:sz w:val="24"/>
          <w:szCs w:val="24"/>
          <w:shd w:val="clear" w:color="auto" w:fill="FFFFFF"/>
        </w:rPr>
        <w:t>Pio XI papa missionario,</w:t>
      </w:r>
      <w:r>
        <w:rPr>
          <w:rFonts w:ascii="Times New Roman" w:hAnsi="Times New Roman" w:cs="Times New Roman"/>
          <w:i/>
          <w:color w:val="201F1E"/>
          <w:sz w:val="24"/>
          <w:szCs w:val="24"/>
          <w:shd w:val="clear" w:color="auto" w:fill="FFFFFF"/>
        </w:rPr>
        <w:t xml:space="preserve"> </w:t>
      </w:r>
      <w:r>
        <w:rPr>
          <w:rFonts w:ascii="Times New Roman" w:hAnsi="Times New Roman" w:cs="Times New Roman"/>
          <w:color w:val="201F1E"/>
          <w:sz w:val="24"/>
          <w:szCs w:val="24"/>
          <w:shd w:val="clear" w:color="auto" w:fill="FFFFFF"/>
        </w:rPr>
        <w:t xml:space="preserve">Milano,1930, cit., </w:t>
      </w:r>
      <w:r w:rsidRPr="007B6F86">
        <w:rPr>
          <w:rFonts w:ascii="Times New Roman" w:hAnsi="Times New Roman" w:cs="Times New Roman"/>
          <w:i/>
          <w:color w:val="201F1E"/>
          <w:sz w:val="24"/>
          <w:szCs w:val="24"/>
          <w:shd w:val="clear" w:color="auto" w:fill="FFFFFF"/>
        </w:rPr>
        <w:t>passim</w:t>
      </w:r>
      <w:r>
        <w:rPr>
          <w:rFonts w:ascii="Times New Roman" w:hAnsi="Times New Roman" w:cs="Times New Roman"/>
          <w:color w:val="201F1E"/>
          <w:sz w:val="24"/>
          <w:szCs w:val="24"/>
          <w:shd w:val="clear" w:color="auto" w:fill="FFFFFF"/>
        </w:rPr>
        <w:t>.</w:t>
      </w:r>
    </w:p>
  </w:footnote>
  <w:footnote w:id="301">
    <w:p w14:paraId="3AFE286E" w14:textId="77777777" w:rsidR="00F202D0" w:rsidRPr="00140247" w:rsidRDefault="00F202D0">
      <w:pPr>
        <w:pStyle w:val="Testonotaapidipagina"/>
        <w:rPr>
          <w:rFonts w:ascii="Times New Roman" w:hAnsi="Times New Roman" w:cs="Times New Roman"/>
          <w:color w:val="000000" w:themeColor="text1"/>
          <w:sz w:val="24"/>
          <w:szCs w:val="24"/>
        </w:rPr>
      </w:pPr>
      <w:r>
        <w:rPr>
          <w:rStyle w:val="Rimandonotaapidipagina"/>
        </w:rPr>
        <w:footnoteRef/>
      </w:r>
      <w:r>
        <w:t xml:space="preserve"> </w:t>
      </w:r>
      <w:hyperlink r:id="rId12" w:history="1">
        <w:r w:rsidRPr="00140247">
          <w:rPr>
            <w:rStyle w:val="Collegamentoipertestuale"/>
            <w:rFonts w:ascii="Times New Roman" w:hAnsi="Times New Roman" w:cs="Times New Roman"/>
            <w:color w:val="000000" w:themeColor="text1"/>
            <w:sz w:val="24"/>
            <w:szCs w:val="24"/>
          </w:rPr>
          <w:t>https://web.archive.org/web/20111025081844/http://www.catholicpng.org.pg/history/rabaul.html</w:t>
        </w:r>
      </w:hyperlink>
    </w:p>
    <w:p w14:paraId="4361E06C" w14:textId="77777777" w:rsidR="00F202D0" w:rsidRPr="00140247" w:rsidRDefault="00F202D0">
      <w:pPr>
        <w:pStyle w:val="Testonotaapidipagina"/>
        <w:rPr>
          <w:rFonts w:ascii="Times New Roman" w:hAnsi="Times New Roman" w:cs="Times New Roman"/>
          <w:color w:val="000000" w:themeColor="text1"/>
          <w:sz w:val="24"/>
          <w:szCs w:val="24"/>
        </w:rPr>
      </w:pPr>
      <w:r w:rsidRPr="00140247">
        <w:rPr>
          <w:rFonts w:ascii="Times New Roman" w:hAnsi="Times New Roman" w:cs="Times New Roman"/>
          <w:color w:val="000000" w:themeColor="text1"/>
          <w:sz w:val="24"/>
          <w:szCs w:val="24"/>
        </w:rPr>
        <w:t>Consultato il 27/07/22.</w:t>
      </w:r>
    </w:p>
  </w:footnote>
  <w:footnote w:id="302">
    <w:p w14:paraId="1CEB6E9F" w14:textId="77777777" w:rsidR="00F202D0" w:rsidRPr="009D6E77"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9D6E77">
        <w:rPr>
          <w:rFonts w:ascii="Times New Roman" w:hAnsi="Times New Roman" w:cs="Times New Roman"/>
          <w:i/>
          <w:sz w:val="24"/>
          <w:szCs w:val="24"/>
        </w:rPr>
        <w:t>Ibidem.</w:t>
      </w:r>
    </w:p>
  </w:footnote>
  <w:footnote w:id="303">
    <w:p w14:paraId="0EFF8602" w14:textId="77777777" w:rsidR="00F202D0" w:rsidRPr="009D6E77" w:rsidRDefault="00F202D0" w:rsidP="00383122">
      <w:pPr>
        <w:pStyle w:val="Testonotaapidipagina"/>
        <w:rPr>
          <w:rFonts w:ascii="Times New Roman" w:hAnsi="Times New Roman" w:cs="Times New Roman"/>
          <w:i/>
          <w:sz w:val="24"/>
          <w:szCs w:val="24"/>
        </w:rPr>
      </w:pPr>
      <w:r>
        <w:rPr>
          <w:rStyle w:val="Rimandonotaapidipagina"/>
        </w:rPr>
        <w:footnoteRef/>
      </w:r>
      <w:r>
        <w:t xml:space="preserve"> </w:t>
      </w:r>
      <w:r w:rsidRPr="009D6E77">
        <w:rPr>
          <w:rFonts w:ascii="Times New Roman" w:hAnsi="Times New Roman" w:cs="Times New Roman"/>
          <w:i/>
          <w:sz w:val="24"/>
          <w:szCs w:val="24"/>
        </w:rPr>
        <w:t>Ibidem.</w:t>
      </w:r>
    </w:p>
    <w:p w14:paraId="7BC4AFB3" w14:textId="77777777" w:rsidR="00F202D0" w:rsidRDefault="00F202D0">
      <w:pPr>
        <w:pStyle w:val="Testonotaapidipagina"/>
      </w:pPr>
    </w:p>
  </w:footnote>
  <w:footnote w:id="304">
    <w:p w14:paraId="43954FFA" w14:textId="77777777" w:rsidR="00F202D0" w:rsidRDefault="00F202D0">
      <w:pPr>
        <w:pStyle w:val="Testonotaapidipagina"/>
      </w:pPr>
      <w:r>
        <w:rPr>
          <w:rStyle w:val="Rimandonotaapidipagina"/>
        </w:rPr>
        <w:footnoteRef/>
      </w:r>
      <w:r>
        <w:t xml:space="preserve"> </w:t>
      </w:r>
      <w:r w:rsidRPr="00A33082">
        <w:rPr>
          <w:rFonts w:ascii="Times New Roman" w:hAnsi="Times New Roman" w:cs="Times New Roman"/>
          <w:i/>
          <w:sz w:val="24"/>
          <w:szCs w:val="24"/>
        </w:rPr>
        <w:t>Epistola: ad universos sacrorum antistites de st</w:t>
      </w:r>
      <w:r>
        <w:rPr>
          <w:rFonts w:ascii="Times New Roman" w:hAnsi="Times New Roman" w:cs="Times New Roman"/>
          <w:i/>
          <w:sz w:val="24"/>
          <w:szCs w:val="24"/>
        </w:rPr>
        <w:t>ipe colligenda pro nigritis in A</w:t>
      </w:r>
      <w:r w:rsidRPr="00A33082">
        <w:rPr>
          <w:rFonts w:ascii="Times New Roman" w:hAnsi="Times New Roman" w:cs="Times New Roman"/>
          <w:i/>
          <w:sz w:val="24"/>
          <w:szCs w:val="24"/>
        </w:rPr>
        <w:t xml:space="preserve">frica, </w:t>
      </w:r>
      <w:r w:rsidRPr="00A33082">
        <w:rPr>
          <w:rFonts w:ascii="Times New Roman" w:hAnsi="Times New Roman" w:cs="Times New Roman"/>
          <w:sz w:val="24"/>
          <w:szCs w:val="24"/>
        </w:rPr>
        <w:t>in AAS12-1920, 29 settembre 1919, p. 74.</w:t>
      </w:r>
      <w:r w:rsidRPr="00395F2F">
        <w:rPr>
          <w:rFonts w:ascii="Times New Roman" w:hAnsi="Times New Roman" w:cs="Times New Roman"/>
          <w:sz w:val="28"/>
          <w:szCs w:val="28"/>
        </w:rPr>
        <w:t xml:space="preserve">  </w:t>
      </w:r>
    </w:p>
  </w:footnote>
  <w:footnote w:id="305">
    <w:p w14:paraId="5229FDAA" w14:textId="77777777" w:rsidR="00F202D0" w:rsidRPr="00DA3025" w:rsidRDefault="00F202D0" w:rsidP="00140247">
      <w:pPr>
        <w:rPr>
          <w:rFonts w:ascii="Times New Roman" w:hAnsi="Times New Roman" w:cs="Times New Roman"/>
          <w:sz w:val="24"/>
          <w:szCs w:val="24"/>
        </w:rPr>
      </w:pPr>
      <w:r>
        <w:rPr>
          <w:rStyle w:val="Rimandonotaapidipagina"/>
        </w:rPr>
        <w:footnoteRef/>
      </w:r>
      <w:r>
        <w:t xml:space="preserve"> </w:t>
      </w:r>
      <w:r w:rsidRPr="00BF7E15">
        <w:rPr>
          <w:rFonts w:ascii="Times New Roman" w:hAnsi="Times New Roman" w:cs="Times New Roman"/>
          <w:i/>
          <w:sz w:val="24"/>
          <w:szCs w:val="24"/>
        </w:rPr>
        <w:t>Decretum: archiepiscopus coloniensis praeses eligitur pro germania piae unionis cleri pro missionibus</w:t>
      </w:r>
      <w:r w:rsidRPr="00B11A93">
        <w:rPr>
          <w:rFonts w:ascii="Times New Roman" w:hAnsi="Times New Roman" w:cs="Times New Roman"/>
          <w:sz w:val="24"/>
          <w:szCs w:val="24"/>
        </w:rPr>
        <w:t>,</w:t>
      </w:r>
      <w:r w:rsidRPr="00452604">
        <w:rPr>
          <w:rFonts w:ascii="Times New Roman" w:hAnsi="Times New Roman" w:cs="Times New Roman"/>
          <w:sz w:val="24"/>
          <w:szCs w:val="24"/>
        </w:rPr>
        <w:t xml:space="preserve"> in AAS13- 1921,</w:t>
      </w:r>
      <w:r>
        <w:rPr>
          <w:rFonts w:ascii="Times New Roman" w:hAnsi="Times New Roman" w:cs="Times New Roman"/>
          <w:sz w:val="24"/>
          <w:szCs w:val="24"/>
        </w:rPr>
        <w:t xml:space="preserve"> 3 dicembre 1920, p.</w:t>
      </w:r>
      <w:r w:rsidRPr="00452604">
        <w:rPr>
          <w:rFonts w:ascii="Times New Roman" w:hAnsi="Times New Roman" w:cs="Times New Roman"/>
          <w:sz w:val="24"/>
          <w:szCs w:val="24"/>
        </w:rPr>
        <w:t xml:space="preserve"> 102</w:t>
      </w:r>
      <w:r>
        <w:rPr>
          <w:rFonts w:ascii="Times New Roman" w:hAnsi="Times New Roman" w:cs="Times New Roman"/>
          <w:sz w:val="24"/>
          <w:szCs w:val="24"/>
        </w:rPr>
        <w:t>.</w:t>
      </w:r>
    </w:p>
  </w:footnote>
  <w:footnote w:id="306">
    <w:p w14:paraId="2FF5466A" w14:textId="77777777" w:rsidR="00F202D0" w:rsidRDefault="00F202D0">
      <w:pPr>
        <w:pStyle w:val="Testonotaapidipagina"/>
      </w:pPr>
      <w:r>
        <w:rPr>
          <w:rStyle w:val="Rimandonotaapidipagina"/>
        </w:rPr>
        <w:footnoteRef/>
      </w:r>
      <w:r>
        <w:t xml:space="preserve"> </w:t>
      </w:r>
      <w:r>
        <w:rPr>
          <w:rFonts w:ascii="Times New Roman" w:hAnsi="Times New Roman" w:cs="Times New Roman"/>
          <w:sz w:val="24"/>
          <w:szCs w:val="24"/>
        </w:rPr>
        <w:t>S</w:t>
      </w:r>
      <w:r w:rsidRPr="000D79C0">
        <w:rPr>
          <w:rFonts w:ascii="Times New Roman" w:hAnsi="Times New Roman" w:cs="Times New Roman"/>
          <w:sz w:val="24"/>
          <w:szCs w:val="24"/>
        </w:rPr>
        <w:t>.</w:t>
      </w:r>
      <w:r>
        <w:rPr>
          <w:rFonts w:ascii="Times New Roman" w:hAnsi="Times New Roman" w:cs="Times New Roman"/>
          <w:sz w:val="24"/>
          <w:szCs w:val="24"/>
        </w:rPr>
        <w:t xml:space="preserve"> </w:t>
      </w:r>
      <w:r w:rsidRPr="000D79C0">
        <w:rPr>
          <w:rFonts w:ascii="Times New Roman" w:hAnsi="Times New Roman" w:cs="Times New Roman"/>
          <w:sz w:val="24"/>
          <w:szCs w:val="24"/>
        </w:rPr>
        <w:t xml:space="preserve">Paventi, </w:t>
      </w:r>
      <w:r w:rsidRPr="000D79C0">
        <w:rPr>
          <w:rFonts w:ascii="Times New Roman" w:hAnsi="Times New Roman" w:cs="Times New Roman"/>
          <w:i/>
          <w:sz w:val="24"/>
          <w:szCs w:val="24"/>
        </w:rPr>
        <w:t>La Chiesa missionaria dottrinale. Manuale di missionologia</w:t>
      </w:r>
      <w:r w:rsidRPr="000D79C0">
        <w:rPr>
          <w:rFonts w:ascii="Times New Roman" w:hAnsi="Times New Roman" w:cs="Times New Roman"/>
          <w:sz w:val="24"/>
          <w:szCs w:val="24"/>
        </w:rPr>
        <w:t>, Roma,1949, pp</w:t>
      </w:r>
      <w:r>
        <w:rPr>
          <w:rFonts w:ascii="Times New Roman" w:hAnsi="Times New Roman" w:cs="Times New Roman"/>
          <w:sz w:val="24"/>
          <w:szCs w:val="24"/>
        </w:rPr>
        <w:t>.329-335.</w:t>
      </w:r>
    </w:p>
  </w:footnote>
  <w:footnote w:id="307">
    <w:p w14:paraId="6F9B1A4F" w14:textId="77777777" w:rsidR="00F202D0" w:rsidRDefault="00F202D0">
      <w:pPr>
        <w:pStyle w:val="Testonotaapidipagina"/>
      </w:pPr>
      <w:r>
        <w:rPr>
          <w:rStyle w:val="Rimandonotaapidipagina"/>
        </w:rPr>
        <w:footnoteRef/>
      </w:r>
      <w:r>
        <w:t xml:space="preserve"> </w:t>
      </w:r>
      <w:r w:rsidRPr="009F1CC1">
        <w:rPr>
          <w:rFonts w:ascii="Times New Roman" w:hAnsi="Times New Roman" w:cs="Times New Roman"/>
          <w:i/>
          <w:sz w:val="24"/>
          <w:szCs w:val="24"/>
        </w:rPr>
        <w:t>Ibidem.</w:t>
      </w:r>
    </w:p>
  </w:footnote>
  <w:footnote w:id="308">
    <w:p w14:paraId="2C4D45AE" w14:textId="77777777" w:rsidR="00F202D0" w:rsidRDefault="00F202D0">
      <w:pPr>
        <w:pStyle w:val="Testonotaapidipagina"/>
      </w:pPr>
      <w:r>
        <w:rPr>
          <w:rStyle w:val="Rimandonotaapidipagina"/>
        </w:rPr>
        <w:footnoteRef/>
      </w:r>
      <w:r>
        <w:t xml:space="preserve"> </w:t>
      </w:r>
      <w:r w:rsidRPr="009F1CC1">
        <w:rPr>
          <w:rFonts w:ascii="Times New Roman" w:hAnsi="Times New Roman" w:cs="Times New Roman"/>
          <w:i/>
          <w:sz w:val="24"/>
          <w:szCs w:val="24"/>
        </w:rPr>
        <w:t>Ibidem.</w:t>
      </w:r>
    </w:p>
  </w:footnote>
  <w:footnote w:id="309">
    <w:p w14:paraId="2B76FD27" w14:textId="77777777" w:rsidR="00F202D0" w:rsidRPr="009F1CC1"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9F1CC1">
        <w:rPr>
          <w:rFonts w:ascii="Times New Roman" w:hAnsi="Times New Roman" w:cs="Times New Roman"/>
          <w:i/>
          <w:sz w:val="24"/>
          <w:szCs w:val="24"/>
        </w:rPr>
        <w:t>Ibidem.</w:t>
      </w:r>
    </w:p>
  </w:footnote>
  <w:footnote w:id="310">
    <w:p w14:paraId="0EDA8BF3" w14:textId="77777777" w:rsidR="00F202D0" w:rsidRPr="00DA3025" w:rsidRDefault="00F202D0" w:rsidP="00140247">
      <w:pPr>
        <w:pStyle w:val="Testonotaapidipagina"/>
        <w:rPr>
          <w:sz w:val="24"/>
          <w:szCs w:val="24"/>
        </w:rPr>
      </w:pPr>
      <w:r>
        <w:rPr>
          <w:rStyle w:val="Rimandonotaapidipagina"/>
        </w:rPr>
        <w:footnoteRef/>
      </w:r>
      <w:r>
        <w:t xml:space="preserve"> </w:t>
      </w:r>
      <w:r w:rsidRPr="00DA3025">
        <w:rPr>
          <w:rFonts w:ascii="Times New Roman" w:hAnsi="Times New Roman" w:cs="Times New Roman"/>
          <w:i/>
          <w:sz w:val="24"/>
          <w:szCs w:val="24"/>
        </w:rPr>
        <w:t>Decretum: definitiva adprobatio conceditur constitutionibus sodalitiis petri claver pro missionibus africae</w:t>
      </w:r>
      <w:r w:rsidRPr="00DA3025">
        <w:rPr>
          <w:rFonts w:ascii="Times New Roman" w:hAnsi="Times New Roman" w:cs="Times New Roman"/>
          <w:sz w:val="24"/>
          <w:szCs w:val="24"/>
        </w:rPr>
        <w:t>,</w:t>
      </w:r>
      <w:r w:rsidRPr="00DA3025">
        <w:rPr>
          <w:rFonts w:ascii="Times New Roman" w:hAnsi="Times New Roman" w:cs="Times New Roman"/>
          <w:i/>
          <w:sz w:val="24"/>
          <w:szCs w:val="24"/>
        </w:rPr>
        <w:t xml:space="preserve"> </w:t>
      </w:r>
      <w:r w:rsidRPr="00DA3025">
        <w:rPr>
          <w:rFonts w:ascii="Times New Roman" w:hAnsi="Times New Roman" w:cs="Times New Roman"/>
          <w:sz w:val="24"/>
          <w:szCs w:val="24"/>
        </w:rPr>
        <w:t>in AAS13- 1921, 18 dicembre 1920, p</w:t>
      </w:r>
      <w:r>
        <w:rPr>
          <w:rFonts w:ascii="Times New Roman" w:hAnsi="Times New Roman" w:cs="Times New Roman"/>
          <w:sz w:val="24"/>
          <w:szCs w:val="24"/>
        </w:rPr>
        <w:t>.</w:t>
      </w:r>
      <w:r w:rsidRPr="00DA3025">
        <w:rPr>
          <w:rFonts w:ascii="Times New Roman" w:hAnsi="Times New Roman" w:cs="Times New Roman"/>
          <w:sz w:val="24"/>
          <w:szCs w:val="24"/>
        </w:rPr>
        <w:t xml:space="preserve"> 145.</w:t>
      </w:r>
    </w:p>
  </w:footnote>
  <w:footnote w:id="311">
    <w:p w14:paraId="7137A764" w14:textId="77777777" w:rsidR="00F202D0" w:rsidRPr="00335300" w:rsidRDefault="00F202D0" w:rsidP="00140247">
      <w:pPr>
        <w:pStyle w:val="Testonotaapidipagina"/>
        <w:rPr>
          <w:color w:val="0D0D0D" w:themeColor="text1" w:themeTint="F2"/>
        </w:rPr>
      </w:pPr>
      <w:r>
        <w:rPr>
          <w:rStyle w:val="Rimandonotaapidipagina"/>
        </w:rPr>
        <w:footnoteRef/>
      </w:r>
      <w:r>
        <w:t xml:space="preserve"> </w:t>
      </w:r>
      <w:hyperlink r:id="rId13" w:history="1">
        <w:r w:rsidRPr="00A845B9">
          <w:rPr>
            <w:rStyle w:val="Collegamentoipertestuale"/>
            <w:rFonts w:ascii="Times New Roman" w:hAnsi="Times New Roman" w:cs="Times New Roman"/>
            <w:color w:val="0D0D0D" w:themeColor="text1" w:themeTint="F2"/>
            <w:sz w:val="24"/>
            <w:szCs w:val="24"/>
          </w:rPr>
          <w:t>http://www.clavermissionarysisters.org/?page_id=165</w:t>
        </w:r>
      </w:hyperlink>
    </w:p>
    <w:p w14:paraId="7F1D976B" w14:textId="77777777" w:rsidR="00F202D0" w:rsidRPr="00335300" w:rsidRDefault="00F202D0" w:rsidP="00140247">
      <w:pPr>
        <w:pStyle w:val="Testonotaapidipagina"/>
        <w:rPr>
          <w:rFonts w:ascii="Times New Roman" w:hAnsi="Times New Roman" w:cs="Times New Roman"/>
          <w:sz w:val="24"/>
          <w:szCs w:val="24"/>
        </w:rPr>
      </w:pPr>
      <w:r w:rsidRPr="00335300">
        <w:rPr>
          <w:rFonts w:ascii="Times New Roman" w:hAnsi="Times New Roman" w:cs="Times New Roman"/>
          <w:sz w:val="24"/>
          <w:szCs w:val="24"/>
        </w:rPr>
        <w:t>Consultato il 29/07/22.</w:t>
      </w:r>
    </w:p>
  </w:footnote>
  <w:footnote w:id="312">
    <w:p w14:paraId="2D46D9E2" w14:textId="77777777" w:rsidR="00F202D0" w:rsidRPr="00140247" w:rsidRDefault="00F202D0">
      <w:pPr>
        <w:pStyle w:val="Testonotaapidipagina"/>
        <w:rPr>
          <w:rFonts w:ascii="Times New Roman" w:hAnsi="Times New Roman" w:cs="Times New Roman"/>
          <w:color w:val="000000" w:themeColor="text1"/>
          <w:sz w:val="24"/>
          <w:szCs w:val="24"/>
        </w:rPr>
      </w:pPr>
      <w:r>
        <w:rPr>
          <w:rStyle w:val="Rimandonotaapidipagina"/>
        </w:rPr>
        <w:footnoteRef/>
      </w:r>
      <w:r>
        <w:t xml:space="preserve"> </w:t>
      </w:r>
      <w:hyperlink r:id="rId14" w:history="1">
        <w:r w:rsidRPr="00140247">
          <w:rPr>
            <w:rStyle w:val="Collegamentoipertestuale"/>
            <w:rFonts w:ascii="Times New Roman" w:hAnsi="Times New Roman" w:cs="Times New Roman"/>
            <w:color w:val="000000" w:themeColor="text1"/>
            <w:sz w:val="24"/>
            <w:szCs w:val="24"/>
          </w:rPr>
          <w:t>https://www.missionarieclaverian.org/fondatrice</w:t>
        </w:r>
      </w:hyperlink>
    </w:p>
    <w:p w14:paraId="1221903E" w14:textId="77777777" w:rsidR="00F202D0" w:rsidRPr="00285CEC" w:rsidRDefault="00F202D0">
      <w:pPr>
        <w:pStyle w:val="Testonotaapidipagina"/>
        <w:rPr>
          <w:rFonts w:ascii="Times New Roman" w:hAnsi="Times New Roman" w:cs="Times New Roman"/>
          <w:sz w:val="24"/>
          <w:szCs w:val="24"/>
        </w:rPr>
      </w:pPr>
      <w:r w:rsidRPr="00285CEC">
        <w:rPr>
          <w:rFonts w:ascii="Times New Roman" w:hAnsi="Times New Roman" w:cs="Times New Roman"/>
          <w:sz w:val="24"/>
          <w:szCs w:val="24"/>
        </w:rPr>
        <w:t>Consultato il 6/08/2022.</w:t>
      </w:r>
    </w:p>
  </w:footnote>
  <w:footnote w:id="313">
    <w:p w14:paraId="2CA74589"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14">
    <w:p w14:paraId="2823564A"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15">
    <w:p w14:paraId="6EB20D3A" w14:textId="77777777" w:rsidR="00F202D0" w:rsidRPr="00A845B9" w:rsidRDefault="00F202D0" w:rsidP="00140247">
      <w:pPr>
        <w:pStyle w:val="Testonotaapidipagina"/>
        <w:rPr>
          <w:rFonts w:ascii="Times New Roman" w:hAnsi="Times New Roman" w:cs="Times New Roman"/>
          <w:sz w:val="24"/>
          <w:szCs w:val="24"/>
        </w:rPr>
      </w:pPr>
      <w:r>
        <w:rPr>
          <w:rStyle w:val="Rimandonotaapidipagina"/>
        </w:rPr>
        <w:footnoteRef/>
      </w:r>
      <w:r w:rsidRPr="008F1B61">
        <w:rPr>
          <w:rFonts w:ascii="Times New Roman" w:hAnsi="Times New Roman" w:cs="Times New Roman"/>
          <w:i/>
          <w:sz w:val="24"/>
          <w:szCs w:val="24"/>
        </w:rPr>
        <w:t>Missionari d’Africa</w:t>
      </w:r>
      <w:r w:rsidRPr="00304469">
        <w:rPr>
          <w:rFonts w:ascii="Times New Roman" w:hAnsi="Times New Roman" w:cs="Times New Roman"/>
          <w:sz w:val="24"/>
          <w:szCs w:val="24"/>
        </w:rPr>
        <w:t xml:space="preserve"> in</w:t>
      </w:r>
      <w:r>
        <w:t xml:space="preserve"> </w:t>
      </w:r>
      <w:hyperlink r:id="rId15" w:history="1">
        <w:r w:rsidRPr="00A845B9">
          <w:rPr>
            <w:rStyle w:val="Collegamentoipertestuale"/>
            <w:rFonts w:ascii="Times New Roman" w:hAnsi="Times New Roman" w:cs="Times New Roman"/>
            <w:color w:val="0D0D0D" w:themeColor="text1" w:themeTint="F2"/>
            <w:sz w:val="24"/>
            <w:szCs w:val="24"/>
          </w:rPr>
          <w:t>https://www.missionaridafrica.org/chi-siamo/</w:t>
        </w:r>
      </w:hyperlink>
    </w:p>
    <w:p w14:paraId="3FB25AB0" w14:textId="77777777" w:rsidR="00F202D0" w:rsidRDefault="00F202D0" w:rsidP="00140247">
      <w:pPr>
        <w:pStyle w:val="Testonotaapidipagina"/>
      </w:pPr>
      <w:r w:rsidRPr="00335300">
        <w:rPr>
          <w:rFonts w:ascii="Times New Roman" w:hAnsi="Times New Roman" w:cs="Times New Roman"/>
          <w:sz w:val="24"/>
          <w:szCs w:val="24"/>
        </w:rPr>
        <w:t>Consultato il 29/07/22.</w:t>
      </w:r>
    </w:p>
  </w:footnote>
  <w:footnote w:id="316">
    <w:p w14:paraId="384DEC14"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17">
    <w:p w14:paraId="20668273" w14:textId="77777777" w:rsidR="00F202D0" w:rsidRPr="002F3915" w:rsidRDefault="00F202D0">
      <w:pPr>
        <w:pStyle w:val="Testonotaapidipagina"/>
        <w:rPr>
          <w:rFonts w:ascii="Times New Roman" w:hAnsi="Times New Roman" w:cs="Times New Roman"/>
          <w:sz w:val="24"/>
          <w:szCs w:val="24"/>
        </w:rPr>
      </w:pPr>
      <w:r>
        <w:rPr>
          <w:rStyle w:val="Rimandonotaapidipagina"/>
        </w:rPr>
        <w:footnoteRef/>
      </w:r>
      <w:r>
        <w:t xml:space="preserve"> </w:t>
      </w:r>
      <w:r w:rsidRPr="002F3915">
        <w:rPr>
          <w:rFonts w:ascii="Times New Roman" w:hAnsi="Times New Roman" w:cs="Times New Roman"/>
          <w:sz w:val="24"/>
          <w:szCs w:val="24"/>
        </w:rPr>
        <w:t>G.</w:t>
      </w:r>
      <w:r>
        <w:rPr>
          <w:rFonts w:ascii="Times New Roman" w:hAnsi="Times New Roman" w:cs="Times New Roman"/>
          <w:sz w:val="24"/>
          <w:szCs w:val="24"/>
        </w:rPr>
        <w:t xml:space="preserve"> </w:t>
      </w:r>
      <w:r w:rsidRPr="002F3915">
        <w:rPr>
          <w:rFonts w:ascii="Times New Roman" w:hAnsi="Times New Roman" w:cs="Times New Roman"/>
          <w:sz w:val="24"/>
          <w:szCs w:val="24"/>
        </w:rPr>
        <w:t xml:space="preserve">Cottimo, </w:t>
      </w:r>
      <w:r w:rsidRPr="002F3915">
        <w:rPr>
          <w:rFonts w:ascii="Times New Roman" w:hAnsi="Times New Roman" w:cs="Times New Roman"/>
          <w:i/>
          <w:sz w:val="24"/>
          <w:szCs w:val="24"/>
        </w:rPr>
        <w:t>Missionarie di Nostra Signora Africa</w:t>
      </w:r>
      <w:r w:rsidRPr="002F3915">
        <w:rPr>
          <w:rFonts w:ascii="Times New Roman" w:hAnsi="Times New Roman" w:cs="Times New Roman"/>
          <w:sz w:val="24"/>
          <w:szCs w:val="24"/>
        </w:rPr>
        <w:t xml:space="preserve">, in </w:t>
      </w:r>
      <w:r w:rsidRPr="002F3915">
        <w:rPr>
          <w:rFonts w:ascii="Times New Roman" w:hAnsi="Times New Roman" w:cs="Times New Roman"/>
          <w:i/>
          <w:sz w:val="24"/>
          <w:szCs w:val="24"/>
        </w:rPr>
        <w:t>Enciclopedia cattolica</w:t>
      </w:r>
      <w:r w:rsidRPr="002F3915">
        <w:rPr>
          <w:rFonts w:ascii="Times New Roman" w:hAnsi="Times New Roman" w:cs="Times New Roman"/>
          <w:sz w:val="24"/>
          <w:szCs w:val="24"/>
        </w:rPr>
        <w:t>, Vol.8, Roma, 1948, p. 1106.</w:t>
      </w:r>
    </w:p>
  </w:footnote>
  <w:footnote w:id="318">
    <w:p w14:paraId="17A73EAF"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19">
    <w:p w14:paraId="061C8F4D"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20">
    <w:p w14:paraId="10B23AA4" w14:textId="77777777" w:rsidR="00F202D0" w:rsidRDefault="00F202D0">
      <w:pPr>
        <w:pStyle w:val="Testonotaapidipagina"/>
      </w:pPr>
      <w:r>
        <w:rPr>
          <w:rStyle w:val="Rimandonotaapidipagina"/>
        </w:rPr>
        <w:footnoteRef/>
      </w:r>
      <w:r>
        <w:t xml:space="preserve"> </w:t>
      </w:r>
      <w:r w:rsidRPr="00B36D35">
        <w:rPr>
          <w:rFonts w:ascii="Times New Roman" w:hAnsi="Times New Roman" w:cs="Times New Roman"/>
          <w:sz w:val="24"/>
          <w:szCs w:val="24"/>
        </w:rPr>
        <w:t>V.</w:t>
      </w:r>
      <w:r>
        <w:rPr>
          <w:rFonts w:ascii="Times New Roman" w:hAnsi="Times New Roman" w:cs="Times New Roman"/>
          <w:sz w:val="24"/>
          <w:szCs w:val="24"/>
        </w:rPr>
        <w:t xml:space="preserve"> </w:t>
      </w:r>
      <w:r w:rsidRPr="00B36D35">
        <w:rPr>
          <w:rFonts w:ascii="Times New Roman" w:hAnsi="Times New Roman" w:cs="Times New Roman"/>
          <w:sz w:val="24"/>
          <w:szCs w:val="24"/>
        </w:rPr>
        <w:t xml:space="preserve">Gillard, </w:t>
      </w:r>
      <w:r w:rsidRPr="00B36D35">
        <w:rPr>
          <w:rFonts w:ascii="Times New Roman" w:hAnsi="Times New Roman" w:cs="Times New Roman"/>
          <w:i/>
          <w:sz w:val="24"/>
          <w:szCs w:val="24"/>
        </w:rPr>
        <w:t>Missionari d’Africa</w:t>
      </w:r>
      <w:r w:rsidRPr="00B36D35">
        <w:rPr>
          <w:rFonts w:ascii="Times New Roman" w:hAnsi="Times New Roman" w:cs="Times New Roman"/>
          <w:sz w:val="24"/>
          <w:szCs w:val="24"/>
        </w:rPr>
        <w:t xml:space="preserve">, in </w:t>
      </w:r>
      <w:r w:rsidRPr="00B36D35">
        <w:rPr>
          <w:rFonts w:ascii="Times New Roman" w:hAnsi="Times New Roman" w:cs="Times New Roman"/>
          <w:i/>
          <w:sz w:val="24"/>
          <w:szCs w:val="24"/>
        </w:rPr>
        <w:t>Enciclopedia cattolica</w:t>
      </w:r>
      <w:r w:rsidRPr="00B36D35">
        <w:rPr>
          <w:rFonts w:ascii="Times New Roman" w:hAnsi="Times New Roman" w:cs="Times New Roman"/>
          <w:sz w:val="24"/>
          <w:szCs w:val="24"/>
        </w:rPr>
        <w:t>, Vol.8, 1948, Roma, p. 1091.</w:t>
      </w:r>
      <w:r w:rsidRPr="00B36D35">
        <w:rPr>
          <w:rFonts w:ascii="Times New Roman" w:hAnsi="Times New Roman" w:cs="Times New Roman"/>
          <w:sz w:val="24"/>
          <w:szCs w:val="24"/>
        </w:rPr>
        <w:tab/>
      </w:r>
    </w:p>
  </w:footnote>
  <w:footnote w:id="321">
    <w:p w14:paraId="20806BDD" w14:textId="77777777" w:rsidR="00F202D0" w:rsidRPr="00B36D35" w:rsidRDefault="00F202D0">
      <w:pPr>
        <w:pStyle w:val="Testonotaapidipagina"/>
        <w:rPr>
          <w:i/>
        </w:rPr>
      </w:pPr>
      <w:r>
        <w:rPr>
          <w:rStyle w:val="Rimandonotaapidipagina"/>
        </w:rPr>
        <w:footnoteRef/>
      </w:r>
      <w:r>
        <w:t xml:space="preserve"> </w:t>
      </w:r>
      <w:r w:rsidRPr="00E3627B">
        <w:rPr>
          <w:rFonts w:ascii="Times New Roman" w:hAnsi="Times New Roman" w:cs="Times New Roman"/>
          <w:i/>
          <w:sz w:val="24"/>
          <w:szCs w:val="24"/>
        </w:rPr>
        <w:t>Ibidem.</w:t>
      </w:r>
    </w:p>
  </w:footnote>
  <w:footnote w:id="322">
    <w:p w14:paraId="79B6BF4B" w14:textId="77777777" w:rsidR="00F202D0" w:rsidRPr="00E3627B" w:rsidRDefault="00F202D0">
      <w:pPr>
        <w:pStyle w:val="Testonotaapidipagina"/>
        <w:rPr>
          <w:rFonts w:ascii="Times New Roman" w:hAnsi="Times New Roman" w:cs="Times New Roman"/>
          <w:sz w:val="24"/>
          <w:szCs w:val="24"/>
        </w:rPr>
      </w:pPr>
      <w:r>
        <w:rPr>
          <w:rStyle w:val="Rimandonotaapidipagina"/>
        </w:rPr>
        <w:footnoteRef/>
      </w:r>
      <w:r>
        <w:t xml:space="preserve"> </w:t>
      </w:r>
      <w:r w:rsidRPr="00E3627B">
        <w:rPr>
          <w:rFonts w:ascii="Times New Roman" w:hAnsi="Times New Roman" w:cs="Times New Roman"/>
          <w:i/>
          <w:sz w:val="24"/>
          <w:szCs w:val="24"/>
        </w:rPr>
        <w:t>Ibidem.</w:t>
      </w:r>
    </w:p>
  </w:footnote>
  <w:footnote w:id="323">
    <w:p w14:paraId="72D5A16B" w14:textId="77777777" w:rsidR="00F202D0" w:rsidRDefault="00F202D0">
      <w:pPr>
        <w:pStyle w:val="Testonotaapidipagina"/>
      </w:pPr>
      <w:r>
        <w:rPr>
          <w:rStyle w:val="Rimandonotaapidipagina"/>
        </w:rPr>
        <w:footnoteRef/>
      </w:r>
      <w:r>
        <w:t xml:space="preserve"> </w:t>
      </w:r>
      <w:r w:rsidRPr="00E3627B">
        <w:rPr>
          <w:rFonts w:ascii="Times New Roman" w:hAnsi="Times New Roman" w:cs="Times New Roman"/>
          <w:i/>
          <w:sz w:val="24"/>
          <w:szCs w:val="24"/>
        </w:rPr>
        <w:t>Ibidem.</w:t>
      </w:r>
    </w:p>
  </w:footnote>
  <w:footnote w:id="324">
    <w:p w14:paraId="089E8BC6" w14:textId="77777777" w:rsidR="00F202D0" w:rsidRPr="00183EA5" w:rsidRDefault="00F202D0" w:rsidP="00140247">
      <w:pPr>
        <w:rPr>
          <w:rFonts w:ascii="Times New Roman" w:hAnsi="Times New Roman" w:cs="Times New Roman"/>
          <w:sz w:val="24"/>
          <w:szCs w:val="24"/>
        </w:rPr>
      </w:pPr>
      <w:r>
        <w:rPr>
          <w:rStyle w:val="Rimandonotaapidipagina"/>
        </w:rPr>
        <w:footnoteRef/>
      </w:r>
      <w:r>
        <w:t xml:space="preserve"> </w:t>
      </w:r>
      <w:r w:rsidRPr="007854F3">
        <w:rPr>
          <w:rFonts w:ascii="Times New Roman" w:hAnsi="Times New Roman" w:cs="Times New Roman"/>
          <w:i/>
          <w:sz w:val="24"/>
          <w:szCs w:val="24"/>
        </w:rPr>
        <w:t>Res.part</w:t>
      </w:r>
      <w:r>
        <w:rPr>
          <w:rFonts w:ascii="Times New Roman" w:hAnsi="Times New Roman" w:cs="Times New Roman"/>
          <w:sz w:val="24"/>
          <w:szCs w:val="24"/>
        </w:rPr>
        <w:t xml:space="preserve">, p. 1492-1493, 22 giugno 1933,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 I, 1918-1941.</w:t>
      </w:r>
    </w:p>
  </w:footnote>
  <w:footnote w:id="325">
    <w:p w14:paraId="4564CED2" w14:textId="77777777" w:rsidR="00F202D0"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sidRPr="001977B7">
        <w:rPr>
          <w:rFonts w:ascii="Times New Roman" w:hAnsi="Times New Roman" w:cs="Times New Roman"/>
          <w:i/>
          <w:sz w:val="24"/>
          <w:szCs w:val="24"/>
        </w:rPr>
        <w:t>Decretum: nova approbatione definitive confirmantur constitutiones congregationis filiorum ss. Cordis iesu pro africanis missionibus, veronae institutae</w:t>
      </w:r>
      <w:r w:rsidRPr="001977B7">
        <w:rPr>
          <w:rFonts w:ascii="Times New Roman" w:hAnsi="Times New Roman" w:cs="Times New Roman"/>
          <w:sz w:val="24"/>
          <w:szCs w:val="24"/>
        </w:rPr>
        <w:t>, in AAS13-1921, 6 gennaio 1921, p</w:t>
      </w:r>
      <w:r>
        <w:rPr>
          <w:rFonts w:ascii="Times New Roman" w:hAnsi="Times New Roman" w:cs="Times New Roman"/>
          <w:sz w:val="24"/>
          <w:szCs w:val="24"/>
        </w:rPr>
        <w:t>.</w:t>
      </w:r>
      <w:r w:rsidRPr="001977B7">
        <w:rPr>
          <w:rFonts w:ascii="Times New Roman" w:hAnsi="Times New Roman" w:cs="Times New Roman"/>
          <w:sz w:val="24"/>
          <w:szCs w:val="24"/>
        </w:rPr>
        <w:t xml:space="preserve"> 384.</w:t>
      </w:r>
    </w:p>
    <w:p w14:paraId="475F285A" w14:textId="77777777" w:rsidR="00F202D0" w:rsidRDefault="00F202D0" w:rsidP="00140247">
      <w:pPr>
        <w:pStyle w:val="Testonotaapidipagina"/>
      </w:pPr>
    </w:p>
  </w:footnote>
  <w:footnote w:id="326">
    <w:p w14:paraId="289BEB46" w14:textId="77777777" w:rsidR="00F202D0" w:rsidRPr="001977B7" w:rsidRDefault="00F202D0" w:rsidP="00140247">
      <w:pPr>
        <w:pStyle w:val="Testonotaapidipagina"/>
        <w:rPr>
          <w:rFonts w:ascii="Times New Roman" w:hAnsi="Times New Roman" w:cs="Times New Roman"/>
          <w:color w:val="0D0D0D" w:themeColor="text1" w:themeTint="F2"/>
          <w:sz w:val="24"/>
          <w:szCs w:val="24"/>
        </w:rPr>
      </w:pPr>
      <w:r>
        <w:rPr>
          <w:rStyle w:val="Rimandonotaapidipagina"/>
        </w:rPr>
        <w:footnoteRef/>
      </w:r>
      <w:r>
        <w:t xml:space="preserve"> </w:t>
      </w:r>
      <w:r w:rsidRPr="008F1B61">
        <w:rPr>
          <w:rFonts w:ascii="Times New Roman" w:hAnsi="Times New Roman" w:cs="Times New Roman"/>
          <w:i/>
          <w:sz w:val="24"/>
          <w:szCs w:val="24"/>
        </w:rPr>
        <w:t>Missionari comboniani</w:t>
      </w:r>
      <w:r w:rsidRPr="00304469">
        <w:rPr>
          <w:rFonts w:ascii="Times New Roman" w:hAnsi="Times New Roman" w:cs="Times New Roman"/>
          <w:sz w:val="24"/>
          <w:szCs w:val="24"/>
        </w:rPr>
        <w:t xml:space="preserve"> in</w:t>
      </w:r>
      <w:r>
        <w:t xml:space="preserve"> </w:t>
      </w:r>
      <w:hyperlink r:id="rId16" w:history="1">
        <w:r w:rsidRPr="001977B7">
          <w:rPr>
            <w:rStyle w:val="Collegamentoipertestuale"/>
            <w:rFonts w:ascii="Times New Roman" w:hAnsi="Times New Roman" w:cs="Times New Roman"/>
            <w:color w:val="0D0D0D" w:themeColor="text1" w:themeTint="F2"/>
            <w:sz w:val="24"/>
            <w:szCs w:val="24"/>
          </w:rPr>
          <w:t>https://www.comboni.org/</w:t>
        </w:r>
      </w:hyperlink>
    </w:p>
    <w:p w14:paraId="009DA976" w14:textId="77777777" w:rsidR="00F202D0" w:rsidRPr="001977B7" w:rsidRDefault="00F202D0" w:rsidP="00140247">
      <w:pPr>
        <w:pStyle w:val="Testonotaapidipagina"/>
        <w:rPr>
          <w:rFonts w:ascii="Times New Roman" w:hAnsi="Times New Roman" w:cs="Times New Roman"/>
          <w:sz w:val="24"/>
          <w:szCs w:val="24"/>
        </w:rPr>
      </w:pPr>
      <w:r w:rsidRPr="00335300">
        <w:rPr>
          <w:rFonts w:ascii="Times New Roman" w:hAnsi="Times New Roman" w:cs="Times New Roman"/>
          <w:sz w:val="24"/>
          <w:szCs w:val="24"/>
        </w:rPr>
        <w:t>Consultato il 29/07/22.</w:t>
      </w:r>
    </w:p>
  </w:footnote>
  <w:footnote w:id="327">
    <w:p w14:paraId="3B7ABCDB"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28">
    <w:p w14:paraId="6EABDEBF"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29">
    <w:p w14:paraId="528D2BBD" w14:textId="77777777" w:rsidR="00F202D0" w:rsidRPr="005F7372" w:rsidRDefault="00F202D0">
      <w:pPr>
        <w:pStyle w:val="Testonotaapidipagina"/>
        <w:rPr>
          <w:rFonts w:ascii="Times New Roman" w:hAnsi="Times New Roman" w:cs="Times New Roman"/>
          <w:sz w:val="24"/>
          <w:szCs w:val="24"/>
        </w:rPr>
      </w:pPr>
      <w:r>
        <w:rPr>
          <w:rStyle w:val="Rimandonotaapidipagina"/>
        </w:rPr>
        <w:footnoteRef/>
      </w:r>
      <w:r>
        <w:t xml:space="preserve"> </w:t>
      </w:r>
      <w:r w:rsidRPr="005F7372">
        <w:rPr>
          <w:rFonts w:ascii="Times New Roman" w:hAnsi="Times New Roman" w:cs="Times New Roman"/>
          <w:sz w:val="24"/>
          <w:szCs w:val="24"/>
        </w:rPr>
        <w:t xml:space="preserve">A. Capovilla, </w:t>
      </w:r>
      <w:r w:rsidRPr="005F7372">
        <w:rPr>
          <w:rFonts w:ascii="Times New Roman" w:hAnsi="Times New Roman" w:cs="Times New Roman"/>
          <w:i/>
          <w:sz w:val="24"/>
          <w:szCs w:val="24"/>
        </w:rPr>
        <w:t>Missionari Figli del Sacro Cuore di Gesù</w:t>
      </w:r>
      <w:r w:rsidRPr="005F7372">
        <w:rPr>
          <w:rFonts w:ascii="Times New Roman" w:hAnsi="Times New Roman" w:cs="Times New Roman"/>
          <w:sz w:val="24"/>
          <w:szCs w:val="24"/>
        </w:rPr>
        <w:t xml:space="preserve">, in </w:t>
      </w:r>
      <w:r w:rsidRPr="005F7372">
        <w:rPr>
          <w:rFonts w:ascii="Times New Roman" w:hAnsi="Times New Roman" w:cs="Times New Roman"/>
          <w:i/>
          <w:sz w:val="24"/>
          <w:szCs w:val="24"/>
        </w:rPr>
        <w:t>Enciclopedia cattolica</w:t>
      </w:r>
      <w:r w:rsidRPr="005F7372">
        <w:rPr>
          <w:rFonts w:ascii="Times New Roman" w:hAnsi="Times New Roman" w:cs="Times New Roman"/>
          <w:sz w:val="24"/>
          <w:szCs w:val="24"/>
        </w:rPr>
        <w:t>, Vol.8, 1948, Roma, p. 1108.</w:t>
      </w:r>
    </w:p>
  </w:footnote>
  <w:footnote w:id="330">
    <w:p w14:paraId="0CD3D04C"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31">
    <w:p w14:paraId="34EAB6E5" w14:textId="77777777" w:rsidR="00F202D0" w:rsidRDefault="00F202D0">
      <w:pPr>
        <w:pStyle w:val="Testonotaapidipagina"/>
      </w:pPr>
      <w:r>
        <w:rPr>
          <w:rStyle w:val="Rimandonotaapidipagina"/>
        </w:rPr>
        <w:footnoteRef/>
      </w:r>
      <w:r>
        <w:t xml:space="preserve"> </w:t>
      </w:r>
      <w:r w:rsidRPr="00394427">
        <w:rPr>
          <w:rFonts w:ascii="Times New Roman" w:hAnsi="Times New Roman" w:cs="Times New Roman"/>
          <w:sz w:val="24"/>
          <w:szCs w:val="24"/>
        </w:rPr>
        <w:t>P.</w:t>
      </w:r>
      <w:r>
        <w:rPr>
          <w:rFonts w:ascii="Times New Roman" w:hAnsi="Times New Roman" w:cs="Times New Roman"/>
          <w:sz w:val="24"/>
          <w:szCs w:val="24"/>
        </w:rPr>
        <w:t xml:space="preserve"> </w:t>
      </w:r>
      <w:r w:rsidRPr="00394427">
        <w:rPr>
          <w:rFonts w:ascii="Times New Roman" w:hAnsi="Times New Roman" w:cs="Times New Roman"/>
          <w:sz w:val="24"/>
          <w:szCs w:val="24"/>
        </w:rPr>
        <w:t xml:space="preserve">Chiminelli, </w:t>
      </w:r>
      <w:r w:rsidRPr="00394427">
        <w:rPr>
          <w:rFonts w:ascii="Times New Roman" w:hAnsi="Times New Roman" w:cs="Times New Roman"/>
          <w:i/>
          <w:sz w:val="24"/>
          <w:szCs w:val="24"/>
        </w:rPr>
        <w:t>Ordine del S.mo Salvatore e di S.Brigida</w:t>
      </w:r>
      <w:r w:rsidRPr="00394427">
        <w:rPr>
          <w:rFonts w:ascii="Times New Roman" w:hAnsi="Times New Roman" w:cs="Times New Roman"/>
          <w:sz w:val="24"/>
          <w:szCs w:val="24"/>
        </w:rPr>
        <w:t xml:space="preserve">, in </w:t>
      </w:r>
      <w:r w:rsidRPr="00394427">
        <w:rPr>
          <w:rFonts w:ascii="Times New Roman" w:hAnsi="Times New Roman" w:cs="Times New Roman"/>
          <w:i/>
          <w:sz w:val="24"/>
          <w:szCs w:val="24"/>
        </w:rPr>
        <w:t>Enciclopedia cattolica</w:t>
      </w:r>
      <w:r w:rsidRPr="00394427">
        <w:rPr>
          <w:rFonts w:ascii="Times New Roman" w:hAnsi="Times New Roman" w:cs="Times New Roman"/>
          <w:sz w:val="24"/>
          <w:szCs w:val="24"/>
        </w:rPr>
        <w:t>, Vol.9, 1948, Roma, p.242.</w:t>
      </w:r>
    </w:p>
  </w:footnote>
  <w:footnote w:id="332">
    <w:p w14:paraId="2B774D61" w14:textId="77777777" w:rsidR="00F202D0" w:rsidRPr="00140247" w:rsidRDefault="00F202D0">
      <w:pPr>
        <w:pStyle w:val="Testonotaapidipagina"/>
        <w:rPr>
          <w:rFonts w:ascii="Times New Roman" w:hAnsi="Times New Roman" w:cs="Times New Roman"/>
          <w:color w:val="000000" w:themeColor="text1"/>
          <w:sz w:val="24"/>
          <w:szCs w:val="24"/>
        </w:rPr>
      </w:pPr>
      <w:r>
        <w:rPr>
          <w:rStyle w:val="Rimandonotaapidipagina"/>
        </w:rPr>
        <w:footnoteRef/>
      </w:r>
      <w:r>
        <w:t xml:space="preserve"> </w:t>
      </w:r>
      <w:hyperlink r:id="rId17" w:history="1">
        <w:r w:rsidRPr="00140247">
          <w:rPr>
            <w:rStyle w:val="Collegamentoipertestuale"/>
            <w:rFonts w:ascii="Times New Roman" w:hAnsi="Times New Roman" w:cs="Times New Roman"/>
            <w:color w:val="000000" w:themeColor="text1"/>
            <w:sz w:val="24"/>
            <w:szCs w:val="24"/>
          </w:rPr>
          <w:t>https://www.brigidine.org/storia.php</w:t>
        </w:r>
      </w:hyperlink>
    </w:p>
    <w:p w14:paraId="1AE04214" w14:textId="77777777" w:rsidR="00F202D0" w:rsidRPr="00394427" w:rsidRDefault="00F202D0">
      <w:pPr>
        <w:pStyle w:val="Testonotaapidipagina"/>
        <w:rPr>
          <w:rFonts w:ascii="Times New Roman" w:hAnsi="Times New Roman" w:cs="Times New Roman"/>
          <w:sz w:val="24"/>
          <w:szCs w:val="24"/>
        </w:rPr>
      </w:pPr>
      <w:r w:rsidRPr="00394427">
        <w:rPr>
          <w:rFonts w:ascii="Times New Roman" w:hAnsi="Times New Roman" w:cs="Times New Roman"/>
          <w:sz w:val="24"/>
          <w:szCs w:val="24"/>
        </w:rPr>
        <w:t>Consultato il 6/08/2022.</w:t>
      </w:r>
    </w:p>
  </w:footnote>
  <w:footnote w:id="333">
    <w:p w14:paraId="2853C9D1"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334">
    <w:p w14:paraId="31721485" w14:textId="77777777" w:rsidR="00F202D0" w:rsidRPr="00394427" w:rsidRDefault="00F202D0">
      <w:pPr>
        <w:pStyle w:val="Testonotaapidipagina"/>
        <w:rPr>
          <w:rFonts w:ascii="Times New Roman" w:hAnsi="Times New Roman" w:cs="Times New Roman"/>
          <w:sz w:val="24"/>
          <w:szCs w:val="24"/>
        </w:rPr>
      </w:pPr>
      <w:r>
        <w:rPr>
          <w:rStyle w:val="Rimandonotaapidipagina"/>
        </w:rPr>
        <w:footnoteRef/>
      </w:r>
      <w:r>
        <w:t xml:space="preserve"> </w:t>
      </w:r>
      <w:hyperlink r:id="rId18" w:history="1">
        <w:r w:rsidRPr="00140247">
          <w:rPr>
            <w:rStyle w:val="Collegamentoipertestuale"/>
            <w:rFonts w:ascii="Times New Roman" w:hAnsi="Times New Roman" w:cs="Times New Roman"/>
            <w:color w:val="000000" w:themeColor="text1"/>
            <w:sz w:val="24"/>
            <w:szCs w:val="24"/>
          </w:rPr>
          <w:t>https://www.brigidine.org/storia.php</w:t>
        </w:r>
      </w:hyperlink>
    </w:p>
    <w:p w14:paraId="0089F1A3" w14:textId="77777777" w:rsidR="00F202D0" w:rsidRPr="00394427" w:rsidRDefault="00F202D0">
      <w:pPr>
        <w:pStyle w:val="Testonotaapidipagina"/>
        <w:rPr>
          <w:rFonts w:ascii="Times New Roman" w:hAnsi="Times New Roman" w:cs="Times New Roman"/>
          <w:sz w:val="24"/>
          <w:szCs w:val="24"/>
        </w:rPr>
      </w:pPr>
      <w:r w:rsidRPr="00394427">
        <w:rPr>
          <w:rFonts w:ascii="Times New Roman" w:hAnsi="Times New Roman" w:cs="Times New Roman"/>
          <w:sz w:val="24"/>
          <w:szCs w:val="24"/>
        </w:rPr>
        <w:t>Consultato il 6/08/2022.</w:t>
      </w:r>
    </w:p>
  </w:footnote>
  <w:footnote w:id="335">
    <w:p w14:paraId="470799FC" w14:textId="77777777" w:rsidR="00F202D0" w:rsidRPr="00F1743F" w:rsidRDefault="00F202D0" w:rsidP="00140247">
      <w:pPr>
        <w:rPr>
          <w:rFonts w:ascii="Times New Roman" w:hAnsi="Times New Roman" w:cs="Times New Roman"/>
          <w:i/>
          <w:sz w:val="24"/>
          <w:szCs w:val="24"/>
        </w:rPr>
      </w:pPr>
      <w:r>
        <w:rPr>
          <w:rStyle w:val="Rimandonotaapidipagina"/>
        </w:rPr>
        <w:footnoteRef/>
      </w:r>
      <w:r>
        <w:t xml:space="preserve"> </w:t>
      </w:r>
      <w:r w:rsidRPr="00DB2709">
        <w:rPr>
          <w:rFonts w:ascii="Times New Roman" w:hAnsi="Times New Roman" w:cs="Times New Roman"/>
          <w:i/>
          <w:sz w:val="24"/>
          <w:szCs w:val="24"/>
        </w:rPr>
        <w:t>Declaratio</w:t>
      </w:r>
      <w:r w:rsidRPr="00DB2709">
        <w:rPr>
          <w:rFonts w:ascii="Times New Roman" w:hAnsi="Times New Roman" w:cs="Times New Roman"/>
          <w:sz w:val="24"/>
          <w:szCs w:val="24"/>
        </w:rPr>
        <w:t xml:space="preserve">, p. 2151, 2 dicembre 1942, in </w:t>
      </w:r>
      <w:r w:rsidRPr="00DB2709">
        <w:rPr>
          <w:rFonts w:ascii="Times New Roman" w:hAnsi="Times New Roman" w:cs="Times New Roman"/>
          <w:i/>
          <w:sz w:val="24"/>
          <w:szCs w:val="24"/>
        </w:rPr>
        <w:t xml:space="preserve">Leges ecclesiae </w:t>
      </w:r>
      <w:r w:rsidRPr="00DB2709">
        <w:rPr>
          <w:rFonts w:ascii="Times New Roman" w:hAnsi="Times New Roman" w:cs="Times New Roman"/>
          <w:sz w:val="24"/>
          <w:szCs w:val="24"/>
        </w:rPr>
        <w:t>Vol.2</w:t>
      </w:r>
      <w:r w:rsidRPr="00DB2709">
        <w:rPr>
          <w:rFonts w:ascii="Times New Roman" w:hAnsi="Times New Roman" w:cs="Times New Roman"/>
          <w:i/>
          <w:sz w:val="24"/>
          <w:szCs w:val="24"/>
        </w:rPr>
        <w:t xml:space="preserve">, </w:t>
      </w:r>
      <w:r w:rsidRPr="00DB2709">
        <w:rPr>
          <w:rFonts w:ascii="Times New Roman" w:hAnsi="Times New Roman" w:cs="Times New Roman"/>
          <w:sz w:val="24"/>
          <w:szCs w:val="24"/>
        </w:rPr>
        <w:t>1942-1958.</w:t>
      </w:r>
    </w:p>
  </w:footnote>
  <w:footnote w:id="336">
    <w:p w14:paraId="09AB32FD" w14:textId="77777777" w:rsidR="00F202D0" w:rsidRDefault="00F202D0" w:rsidP="00140247">
      <w:pPr>
        <w:pStyle w:val="Testonotaapidipagina"/>
      </w:pPr>
      <w:r>
        <w:rPr>
          <w:rStyle w:val="Rimandonotaapidipagina"/>
        </w:rPr>
        <w:footnoteRef/>
      </w:r>
      <w:r>
        <w:t xml:space="preserve"> </w:t>
      </w:r>
      <w:r w:rsidRPr="005C4971">
        <w:rPr>
          <w:rFonts w:ascii="Times New Roman" w:hAnsi="Times New Roman" w:cs="Times New Roman"/>
          <w:sz w:val="24"/>
          <w:szCs w:val="24"/>
        </w:rPr>
        <w:t>Vedi Figura 16 in Appendice.</w:t>
      </w:r>
    </w:p>
  </w:footnote>
  <w:footnote w:id="337">
    <w:p w14:paraId="07CFDC12" w14:textId="77777777" w:rsidR="00F202D0" w:rsidRPr="00E52132" w:rsidRDefault="00F202D0" w:rsidP="00140247">
      <w:pPr>
        <w:rPr>
          <w:rFonts w:ascii="Times New Roman" w:hAnsi="Times New Roman" w:cs="Times New Roman"/>
          <w:sz w:val="24"/>
          <w:szCs w:val="24"/>
        </w:rPr>
      </w:pPr>
      <w:r>
        <w:rPr>
          <w:rStyle w:val="Rimandonotaapidipagina"/>
        </w:rPr>
        <w:footnoteRef/>
      </w:r>
      <w:r>
        <w:t xml:space="preserve"> </w:t>
      </w:r>
      <w:r w:rsidRPr="00E52132">
        <w:rPr>
          <w:rFonts w:ascii="Times New Roman" w:hAnsi="Times New Roman" w:cs="Times New Roman"/>
          <w:i/>
          <w:sz w:val="24"/>
          <w:szCs w:val="24"/>
        </w:rPr>
        <w:t>Decretum: R.P.D. Thomas O'Doherty , episcopus clonpertensis , nominatur praeses pro hiberni a pia e unionis cleri a missionibus</w:t>
      </w:r>
      <w:r w:rsidRPr="00E52132">
        <w:rPr>
          <w:rFonts w:ascii="Times New Roman" w:hAnsi="Times New Roman" w:cs="Times New Roman"/>
          <w:sz w:val="24"/>
          <w:szCs w:val="24"/>
        </w:rPr>
        <w:t>, in AAS13- 1921, 18 gennaio 1921, p. 148.</w:t>
      </w:r>
    </w:p>
  </w:footnote>
  <w:footnote w:id="338">
    <w:p w14:paraId="4C3A4EF1" w14:textId="77777777" w:rsidR="00F202D0" w:rsidRPr="00F236AE" w:rsidRDefault="00F202D0">
      <w:pPr>
        <w:pStyle w:val="Testonotaapidipagina"/>
        <w:rPr>
          <w:rFonts w:ascii="Times New Roman" w:hAnsi="Times New Roman" w:cs="Times New Roman"/>
          <w:sz w:val="24"/>
          <w:szCs w:val="24"/>
        </w:rPr>
      </w:pPr>
      <w:r>
        <w:rPr>
          <w:rStyle w:val="Rimandonotaapidipagina"/>
        </w:rPr>
        <w:footnoteRef/>
      </w:r>
      <w:r>
        <w:t xml:space="preserve"> </w:t>
      </w:r>
      <w:r w:rsidRPr="00F236AE">
        <w:rPr>
          <w:rFonts w:ascii="Times New Roman" w:hAnsi="Times New Roman" w:cs="Times New Roman"/>
          <w:sz w:val="24"/>
          <w:szCs w:val="24"/>
        </w:rPr>
        <w:t>D.</w:t>
      </w:r>
      <w:r>
        <w:rPr>
          <w:rFonts w:ascii="Times New Roman" w:hAnsi="Times New Roman" w:cs="Times New Roman"/>
          <w:sz w:val="24"/>
          <w:szCs w:val="24"/>
        </w:rPr>
        <w:t xml:space="preserve"> </w:t>
      </w:r>
      <w:r w:rsidRPr="00F236AE">
        <w:rPr>
          <w:rFonts w:ascii="Times New Roman" w:hAnsi="Times New Roman" w:cs="Times New Roman"/>
          <w:sz w:val="24"/>
          <w:szCs w:val="24"/>
        </w:rPr>
        <w:t xml:space="preserve">MacDaid, </w:t>
      </w:r>
      <w:r w:rsidRPr="00F236AE">
        <w:rPr>
          <w:rFonts w:ascii="Times New Roman" w:hAnsi="Times New Roman" w:cs="Times New Roman"/>
          <w:i/>
          <w:sz w:val="24"/>
          <w:szCs w:val="24"/>
        </w:rPr>
        <w:t>Clonfert</w:t>
      </w:r>
      <w:r w:rsidRPr="00F236AE">
        <w:rPr>
          <w:rFonts w:ascii="Times New Roman" w:hAnsi="Times New Roman" w:cs="Times New Roman"/>
          <w:sz w:val="24"/>
          <w:szCs w:val="24"/>
        </w:rPr>
        <w:t xml:space="preserve">, in </w:t>
      </w:r>
      <w:r w:rsidRPr="00F236AE">
        <w:rPr>
          <w:rFonts w:ascii="Times New Roman" w:hAnsi="Times New Roman" w:cs="Times New Roman"/>
          <w:i/>
          <w:sz w:val="24"/>
          <w:szCs w:val="24"/>
        </w:rPr>
        <w:t>Enciclopedia cattolica</w:t>
      </w:r>
      <w:r w:rsidRPr="00F236AE">
        <w:rPr>
          <w:rFonts w:ascii="Times New Roman" w:hAnsi="Times New Roman" w:cs="Times New Roman"/>
          <w:sz w:val="24"/>
          <w:szCs w:val="24"/>
        </w:rPr>
        <w:t>, Vol.3, 1948, Roma, p.1878.</w:t>
      </w:r>
    </w:p>
  </w:footnote>
  <w:footnote w:id="339">
    <w:p w14:paraId="73F35A6D" w14:textId="77777777" w:rsidR="00F202D0" w:rsidRPr="00F236AE"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F236AE">
        <w:rPr>
          <w:rFonts w:ascii="Times New Roman" w:hAnsi="Times New Roman" w:cs="Times New Roman"/>
          <w:i/>
          <w:sz w:val="24"/>
          <w:szCs w:val="24"/>
        </w:rPr>
        <w:t>Ibidem.</w:t>
      </w:r>
    </w:p>
  </w:footnote>
  <w:footnote w:id="340">
    <w:p w14:paraId="59E0F07F" w14:textId="77777777" w:rsidR="00F202D0" w:rsidRPr="00F236AE"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F236AE">
        <w:rPr>
          <w:rFonts w:ascii="Times New Roman" w:hAnsi="Times New Roman" w:cs="Times New Roman"/>
          <w:i/>
          <w:sz w:val="24"/>
          <w:szCs w:val="24"/>
        </w:rPr>
        <w:t>Ibidem.</w:t>
      </w:r>
    </w:p>
  </w:footnote>
  <w:footnote w:id="341">
    <w:p w14:paraId="25771D5E" w14:textId="77777777" w:rsidR="00F202D0" w:rsidRPr="00AB6075" w:rsidRDefault="00F202D0" w:rsidP="00140247">
      <w:pPr>
        <w:rPr>
          <w:rFonts w:ascii="Times New Roman" w:hAnsi="Times New Roman" w:cs="Times New Roman"/>
          <w:sz w:val="24"/>
          <w:szCs w:val="24"/>
        </w:rPr>
      </w:pPr>
      <w:r>
        <w:rPr>
          <w:rStyle w:val="Rimandonotaapidipagina"/>
        </w:rPr>
        <w:footnoteRef/>
      </w:r>
      <w:r>
        <w:t xml:space="preserve"> </w:t>
      </w:r>
      <w:r w:rsidRPr="00084C2F">
        <w:rPr>
          <w:rFonts w:ascii="Times New Roman" w:hAnsi="Times New Roman" w:cs="Times New Roman"/>
          <w:i/>
          <w:sz w:val="24"/>
          <w:szCs w:val="24"/>
        </w:rPr>
        <w:t>Decretum: de consilio generali operis apostolici in hibernia constituendo</w:t>
      </w:r>
      <w:r>
        <w:rPr>
          <w:rFonts w:ascii="Times New Roman" w:hAnsi="Times New Roman" w:cs="Times New Roman"/>
          <w:sz w:val="24"/>
          <w:szCs w:val="24"/>
        </w:rPr>
        <w:t>, in AAS40-1948, pp.</w:t>
      </w:r>
      <w:r w:rsidRPr="00084C2F">
        <w:rPr>
          <w:rFonts w:ascii="Times New Roman" w:hAnsi="Times New Roman" w:cs="Times New Roman"/>
          <w:sz w:val="24"/>
          <w:szCs w:val="24"/>
        </w:rPr>
        <w:t xml:space="preserve"> 423</w:t>
      </w:r>
      <w:r>
        <w:rPr>
          <w:rFonts w:ascii="Times New Roman" w:hAnsi="Times New Roman" w:cs="Times New Roman"/>
          <w:sz w:val="24"/>
          <w:szCs w:val="24"/>
        </w:rPr>
        <w:t>-425.</w:t>
      </w:r>
    </w:p>
  </w:footnote>
  <w:footnote w:id="342">
    <w:p w14:paraId="65AE61D5" w14:textId="77777777" w:rsidR="00F202D0" w:rsidRPr="00E52132" w:rsidRDefault="00F202D0" w:rsidP="00140247">
      <w:pPr>
        <w:pStyle w:val="Testonotaapidipagina"/>
        <w:rPr>
          <w:rFonts w:ascii="Times New Roman" w:hAnsi="Times New Roman" w:cs="Times New Roman"/>
          <w:color w:val="0D0D0D" w:themeColor="text1" w:themeTint="F2"/>
          <w:sz w:val="24"/>
          <w:szCs w:val="24"/>
          <w:lang w:val="en-US"/>
        </w:rPr>
      </w:pPr>
      <w:r>
        <w:rPr>
          <w:rStyle w:val="Rimandonotaapidipagina"/>
        </w:rPr>
        <w:footnoteRef/>
      </w:r>
      <w:r w:rsidRPr="00E52132">
        <w:rPr>
          <w:lang w:val="en-US"/>
        </w:rPr>
        <w:t xml:space="preserve"> </w:t>
      </w:r>
      <w:r w:rsidRPr="00E52132">
        <w:rPr>
          <w:rFonts w:ascii="Times New Roman" w:hAnsi="Times New Roman" w:cs="Times New Roman"/>
          <w:i/>
          <w:color w:val="0D0D0D" w:themeColor="text1" w:themeTint="F2"/>
          <w:sz w:val="24"/>
          <w:szCs w:val="24"/>
          <w:lang w:val="en-US"/>
        </w:rPr>
        <w:t>Apostolic Work</w:t>
      </w:r>
      <w:r w:rsidRPr="00E52132">
        <w:rPr>
          <w:rFonts w:ascii="Times New Roman" w:hAnsi="Times New Roman" w:cs="Times New Roman"/>
          <w:color w:val="0D0D0D" w:themeColor="text1" w:themeTint="F2"/>
          <w:sz w:val="24"/>
          <w:szCs w:val="24"/>
          <w:lang w:val="en-US"/>
        </w:rPr>
        <w:t xml:space="preserve"> in </w:t>
      </w:r>
      <w:hyperlink r:id="rId19" w:history="1">
        <w:r w:rsidRPr="00E52132">
          <w:rPr>
            <w:rStyle w:val="Collegamentoipertestuale"/>
            <w:rFonts w:ascii="Times New Roman" w:hAnsi="Times New Roman" w:cs="Times New Roman"/>
            <w:color w:val="0D0D0D" w:themeColor="text1" w:themeTint="F2"/>
            <w:sz w:val="24"/>
            <w:szCs w:val="24"/>
            <w:lang w:val="en-US"/>
          </w:rPr>
          <w:t>https://www.apostolicwork.ie/about/</w:t>
        </w:r>
      </w:hyperlink>
    </w:p>
    <w:p w14:paraId="6DEC1B8B" w14:textId="77777777" w:rsidR="00F202D0" w:rsidRPr="00AB6075" w:rsidRDefault="00F202D0" w:rsidP="00140247">
      <w:pPr>
        <w:pStyle w:val="Testonotaapidipagina"/>
        <w:rPr>
          <w:rFonts w:ascii="Times New Roman" w:hAnsi="Times New Roman" w:cs="Times New Roman"/>
          <w:color w:val="0D0D0D" w:themeColor="text1" w:themeTint="F2"/>
          <w:sz w:val="24"/>
          <w:szCs w:val="24"/>
        </w:rPr>
      </w:pPr>
      <w:r w:rsidRPr="00AB6075">
        <w:rPr>
          <w:rFonts w:ascii="Times New Roman" w:hAnsi="Times New Roman" w:cs="Times New Roman"/>
          <w:color w:val="0D0D0D" w:themeColor="text1" w:themeTint="F2"/>
          <w:sz w:val="24"/>
          <w:szCs w:val="24"/>
        </w:rPr>
        <w:t>Consultato il 4/08/22.</w:t>
      </w:r>
    </w:p>
  </w:footnote>
  <w:footnote w:id="343">
    <w:p w14:paraId="15E9844E" w14:textId="77777777" w:rsidR="00F202D0" w:rsidRDefault="00F202D0" w:rsidP="00140247">
      <w:pPr>
        <w:pStyle w:val="Testonotaapidipagina"/>
      </w:pPr>
      <w:r>
        <w:rPr>
          <w:rStyle w:val="Rimandonotaapidipagina"/>
        </w:rPr>
        <w:footnoteRef/>
      </w:r>
      <w:r>
        <w:t xml:space="preserve"> </w:t>
      </w:r>
      <w:r w:rsidRPr="00084C2F">
        <w:rPr>
          <w:rFonts w:ascii="Times New Roman" w:hAnsi="Times New Roman" w:cs="Times New Roman"/>
          <w:i/>
          <w:sz w:val="24"/>
          <w:szCs w:val="24"/>
        </w:rPr>
        <w:t>Decretum: de consilio generali operis apostolici in hibernia constituendo</w:t>
      </w:r>
      <w:r>
        <w:rPr>
          <w:rFonts w:ascii="Times New Roman" w:hAnsi="Times New Roman" w:cs="Times New Roman"/>
          <w:sz w:val="24"/>
          <w:szCs w:val="24"/>
        </w:rPr>
        <w:t>.</w:t>
      </w:r>
    </w:p>
  </w:footnote>
  <w:footnote w:id="344">
    <w:p w14:paraId="3A8571E3"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45">
    <w:p w14:paraId="2C6EEB3B"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46">
    <w:p w14:paraId="36430123" w14:textId="77777777" w:rsidR="00F202D0" w:rsidRDefault="00F202D0" w:rsidP="00140247">
      <w:pPr>
        <w:pStyle w:val="Testonotaapidipagina"/>
      </w:pPr>
      <w:r>
        <w:rPr>
          <w:rStyle w:val="Rimandonotaapidipagina"/>
        </w:rPr>
        <w:footnoteRef/>
      </w:r>
      <w:r>
        <w:t xml:space="preserve"> </w:t>
      </w:r>
      <w:r w:rsidRPr="00BD491A">
        <w:rPr>
          <w:rFonts w:ascii="Times New Roman" w:hAnsi="Times New Roman" w:cs="Times New Roman"/>
          <w:sz w:val="24"/>
          <w:szCs w:val="24"/>
        </w:rPr>
        <w:t>E.</w:t>
      </w:r>
      <w:r>
        <w:rPr>
          <w:rFonts w:ascii="Times New Roman" w:hAnsi="Times New Roman" w:cs="Times New Roman"/>
          <w:sz w:val="24"/>
          <w:szCs w:val="24"/>
        </w:rPr>
        <w:t xml:space="preserve"> </w:t>
      </w:r>
      <w:r w:rsidRPr="00BD491A">
        <w:rPr>
          <w:rFonts w:ascii="Times New Roman" w:hAnsi="Times New Roman" w:cs="Times New Roman"/>
          <w:sz w:val="24"/>
          <w:szCs w:val="24"/>
        </w:rPr>
        <w:t xml:space="preserve">Goulet, </w:t>
      </w:r>
      <w:r w:rsidRPr="00BD491A">
        <w:rPr>
          <w:rFonts w:ascii="Times New Roman" w:hAnsi="Times New Roman" w:cs="Times New Roman"/>
          <w:i/>
          <w:sz w:val="24"/>
          <w:szCs w:val="24"/>
        </w:rPr>
        <w:t>Missioni</w:t>
      </w:r>
      <w:r w:rsidRPr="00BD491A">
        <w:rPr>
          <w:rFonts w:ascii="Times New Roman" w:hAnsi="Times New Roman" w:cs="Times New Roman"/>
          <w:sz w:val="24"/>
          <w:szCs w:val="24"/>
        </w:rPr>
        <w:t xml:space="preserve">, in </w:t>
      </w:r>
      <w:r w:rsidRPr="00BD491A">
        <w:rPr>
          <w:rFonts w:ascii="Times New Roman" w:hAnsi="Times New Roman" w:cs="Times New Roman"/>
          <w:i/>
          <w:sz w:val="24"/>
          <w:szCs w:val="24"/>
        </w:rPr>
        <w:t>Enciclopedia italiana</w:t>
      </w:r>
      <w:r w:rsidRPr="00BD491A">
        <w:rPr>
          <w:rFonts w:ascii="Times New Roman" w:hAnsi="Times New Roman" w:cs="Times New Roman"/>
          <w:sz w:val="24"/>
          <w:szCs w:val="24"/>
        </w:rPr>
        <w:t xml:space="preserve">, 1934, cit., </w:t>
      </w:r>
      <w:r w:rsidRPr="00BD491A">
        <w:rPr>
          <w:rFonts w:ascii="Times New Roman" w:hAnsi="Times New Roman" w:cs="Times New Roman"/>
          <w:i/>
          <w:sz w:val="24"/>
          <w:szCs w:val="24"/>
        </w:rPr>
        <w:t>passim</w:t>
      </w:r>
      <w:r w:rsidRPr="00BD491A">
        <w:rPr>
          <w:rFonts w:ascii="Times New Roman" w:hAnsi="Times New Roman" w:cs="Times New Roman"/>
          <w:sz w:val="24"/>
          <w:szCs w:val="24"/>
        </w:rPr>
        <w:t>.</w:t>
      </w:r>
    </w:p>
  </w:footnote>
  <w:footnote w:id="347">
    <w:p w14:paraId="438F793A"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348">
    <w:p w14:paraId="722A73EB"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349">
    <w:p w14:paraId="61ADF402" w14:textId="77777777" w:rsidR="00F202D0" w:rsidRDefault="00F202D0" w:rsidP="00140247">
      <w:pPr>
        <w:pStyle w:val="Testonotaapidipagina"/>
      </w:pPr>
      <w:r>
        <w:rPr>
          <w:rStyle w:val="Rimandonotaapidipagina"/>
        </w:rPr>
        <w:footnoteRef/>
      </w:r>
      <w:r>
        <w:t xml:space="preserve"> </w:t>
      </w:r>
      <w:r w:rsidRPr="009626ED">
        <w:rPr>
          <w:rFonts w:ascii="Times New Roman" w:hAnsi="Times New Roman" w:cs="Times New Roman"/>
          <w:i/>
          <w:sz w:val="24"/>
          <w:szCs w:val="24"/>
        </w:rPr>
        <w:t>Decretum</w:t>
      </w:r>
      <w:r>
        <w:rPr>
          <w:rFonts w:ascii="Times New Roman" w:hAnsi="Times New Roman" w:cs="Times New Roman"/>
          <w:sz w:val="24"/>
          <w:szCs w:val="24"/>
        </w:rPr>
        <w:t xml:space="preserve">, pp. 1115-1118, 8 dicembre 1929,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350">
    <w:p w14:paraId="6976D175"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351">
    <w:p w14:paraId="0E4E6274" w14:textId="77777777" w:rsidR="00F202D0" w:rsidRDefault="00F202D0" w:rsidP="00140247">
      <w:pPr>
        <w:pStyle w:val="Testonotaapidipagina"/>
      </w:pPr>
      <w:r>
        <w:rPr>
          <w:rStyle w:val="Rimandonotaapidipagina"/>
        </w:rPr>
        <w:footnoteRef/>
      </w:r>
      <w:r>
        <w:t xml:space="preserve"> </w:t>
      </w:r>
      <w:r w:rsidRPr="00FA02AD">
        <w:rPr>
          <w:rFonts w:ascii="Times New Roman" w:hAnsi="Times New Roman" w:cs="Times New Roman"/>
          <w:i/>
          <w:sz w:val="24"/>
          <w:szCs w:val="24"/>
        </w:rPr>
        <w:t>Decretum</w:t>
      </w:r>
      <w:r w:rsidRPr="00FA02AD">
        <w:rPr>
          <w:rFonts w:ascii="Times New Roman" w:hAnsi="Times New Roman" w:cs="Times New Roman"/>
          <w:sz w:val="24"/>
          <w:szCs w:val="24"/>
        </w:rPr>
        <w:t>, p</w:t>
      </w:r>
      <w:r>
        <w:rPr>
          <w:rFonts w:ascii="Times New Roman" w:hAnsi="Times New Roman" w:cs="Times New Roman"/>
          <w:sz w:val="24"/>
          <w:szCs w:val="24"/>
        </w:rPr>
        <w:t>.</w:t>
      </w:r>
      <w:r w:rsidRPr="00FA02AD">
        <w:rPr>
          <w:rFonts w:ascii="Times New Roman" w:hAnsi="Times New Roman" w:cs="Times New Roman"/>
          <w:sz w:val="24"/>
          <w:szCs w:val="24"/>
        </w:rPr>
        <w:t xml:space="preserve"> 1779, 12 dicembre 1936, in </w:t>
      </w:r>
      <w:r w:rsidRPr="00FA02AD">
        <w:rPr>
          <w:rFonts w:ascii="Times New Roman" w:hAnsi="Times New Roman" w:cs="Times New Roman"/>
          <w:i/>
          <w:sz w:val="24"/>
          <w:szCs w:val="24"/>
        </w:rPr>
        <w:t>Leges ecclesiae</w:t>
      </w:r>
      <w:r w:rsidRPr="00FA02AD">
        <w:rPr>
          <w:rFonts w:ascii="Times New Roman" w:hAnsi="Times New Roman" w:cs="Times New Roman"/>
          <w:sz w:val="24"/>
          <w:szCs w:val="24"/>
        </w:rPr>
        <w:t xml:space="preserve"> Vol. I, 1918-1941.</w:t>
      </w:r>
    </w:p>
  </w:footnote>
  <w:footnote w:id="352">
    <w:p w14:paraId="7023B3A9"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353">
    <w:p w14:paraId="24B04B17" w14:textId="77777777" w:rsidR="00F202D0" w:rsidRDefault="00F202D0" w:rsidP="00140247">
      <w:pPr>
        <w:rPr>
          <w:rFonts w:ascii="Times New Roman" w:hAnsi="Times New Roman" w:cs="Times New Roman"/>
          <w:i/>
          <w:sz w:val="24"/>
          <w:szCs w:val="24"/>
        </w:rPr>
      </w:pPr>
      <w:r>
        <w:rPr>
          <w:rStyle w:val="Rimandonotaapidipagina"/>
        </w:rPr>
        <w:footnoteRef/>
      </w:r>
      <w:r>
        <w:t xml:space="preserve"> </w:t>
      </w:r>
      <w:r w:rsidRPr="007E534F">
        <w:rPr>
          <w:rFonts w:ascii="Times New Roman" w:hAnsi="Times New Roman" w:cs="Times New Roman"/>
          <w:i/>
          <w:sz w:val="24"/>
          <w:szCs w:val="24"/>
        </w:rPr>
        <w:t>Decretum</w:t>
      </w:r>
      <w:r>
        <w:rPr>
          <w:rFonts w:ascii="Times New Roman" w:hAnsi="Times New Roman" w:cs="Times New Roman"/>
          <w:sz w:val="24"/>
          <w:szCs w:val="24"/>
        </w:rPr>
        <w:t xml:space="preserve">, p. 3774, 28 ottobre 1957, in </w:t>
      </w:r>
      <w:r>
        <w:rPr>
          <w:rFonts w:ascii="Times New Roman" w:hAnsi="Times New Roman" w:cs="Times New Roman"/>
          <w:i/>
          <w:sz w:val="24"/>
          <w:szCs w:val="24"/>
        </w:rPr>
        <w:t>L</w:t>
      </w:r>
      <w:r w:rsidRPr="00CC0D6F">
        <w:rPr>
          <w:rFonts w:ascii="Times New Roman" w:hAnsi="Times New Roman" w:cs="Times New Roman"/>
          <w:i/>
          <w:sz w:val="24"/>
          <w:szCs w:val="24"/>
        </w:rPr>
        <w:t xml:space="preserve">eges ecclesiae </w:t>
      </w:r>
      <w:r w:rsidRPr="00B337A6">
        <w:rPr>
          <w:rFonts w:ascii="Times New Roman" w:hAnsi="Times New Roman" w:cs="Times New Roman"/>
          <w:sz w:val="24"/>
          <w:szCs w:val="24"/>
        </w:rPr>
        <w:t>Vol.2 ,1942-1958</w:t>
      </w:r>
      <w:r>
        <w:rPr>
          <w:rFonts w:ascii="Times New Roman" w:hAnsi="Times New Roman" w:cs="Times New Roman"/>
          <w:i/>
          <w:sz w:val="24"/>
          <w:szCs w:val="24"/>
        </w:rPr>
        <w:t>.</w:t>
      </w:r>
    </w:p>
    <w:p w14:paraId="1A3D6C07" w14:textId="77777777" w:rsidR="00F202D0" w:rsidRDefault="00F202D0" w:rsidP="00140247">
      <w:pPr>
        <w:pStyle w:val="Testonotaapidipagina"/>
      </w:pPr>
    </w:p>
  </w:footnote>
  <w:footnote w:id="354">
    <w:p w14:paraId="416604A3" w14:textId="77777777" w:rsidR="00F202D0" w:rsidRPr="00FE31D8"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Pr>
          <w:rFonts w:ascii="Times New Roman" w:hAnsi="Times New Roman" w:cs="Times New Roman"/>
          <w:i/>
          <w:sz w:val="24"/>
          <w:szCs w:val="24"/>
        </w:rPr>
        <w:t>Codex iuris</w:t>
      </w:r>
      <w:r w:rsidRPr="00FE31D8">
        <w:rPr>
          <w:rFonts w:ascii="Times New Roman" w:hAnsi="Times New Roman" w:cs="Times New Roman"/>
          <w:i/>
          <w:sz w:val="24"/>
          <w:szCs w:val="24"/>
        </w:rPr>
        <w:t xml:space="preserve"> canonici</w:t>
      </w:r>
      <w:r w:rsidRPr="00FE31D8">
        <w:rPr>
          <w:rFonts w:ascii="Times New Roman" w:hAnsi="Times New Roman" w:cs="Times New Roman"/>
          <w:sz w:val="24"/>
          <w:szCs w:val="24"/>
        </w:rPr>
        <w:t xml:space="preserve"> 1917, can.611.</w:t>
      </w:r>
    </w:p>
  </w:footnote>
  <w:footnote w:id="355">
    <w:p w14:paraId="01CCAE9F" w14:textId="77777777" w:rsidR="00F202D0" w:rsidRDefault="00F202D0">
      <w:pPr>
        <w:pStyle w:val="Testonotaapidipagina"/>
      </w:pPr>
      <w:r>
        <w:rPr>
          <w:rStyle w:val="Rimandonotaapidipagina"/>
        </w:rPr>
        <w:footnoteRef/>
      </w:r>
      <w:r>
        <w:t xml:space="preserve"> </w:t>
      </w:r>
      <w:r w:rsidRPr="00D64EBC">
        <w:rPr>
          <w:rFonts w:ascii="Times New Roman" w:hAnsi="Times New Roman" w:cs="Times New Roman"/>
          <w:sz w:val="24"/>
          <w:szCs w:val="24"/>
        </w:rPr>
        <w:t>S.</w:t>
      </w:r>
      <w:r>
        <w:rPr>
          <w:rFonts w:ascii="Times New Roman" w:hAnsi="Times New Roman" w:cs="Times New Roman"/>
          <w:sz w:val="24"/>
          <w:szCs w:val="24"/>
        </w:rPr>
        <w:t xml:space="preserve"> </w:t>
      </w:r>
      <w:r w:rsidRPr="00D64EBC">
        <w:rPr>
          <w:rFonts w:ascii="Times New Roman" w:hAnsi="Times New Roman" w:cs="Times New Roman"/>
          <w:sz w:val="24"/>
          <w:szCs w:val="24"/>
        </w:rPr>
        <w:t xml:space="preserve">Paventi, </w:t>
      </w:r>
      <w:r w:rsidRPr="00D64EBC">
        <w:rPr>
          <w:rFonts w:ascii="Times New Roman" w:hAnsi="Times New Roman" w:cs="Times New Roman"/>
          <w:i/>
          <w:sz w:val="24"/>
          <w:szCs w:val="24"/>
        </w:rPr>
        <w:t>Opere Pontificie missionarie</w:t>
      </w:r>
      <w:r w:rsidRPr="00D64EBC">
        <w:rPr>
          <w:rFonts w:ascii="Times New Roman" w:hAnsi="Times New Roman" w:cs="Times New Roman"/>
          <w:sz w:val="24"/>
          <w:szCs w:val="24"/>
        </w:rPr>
        <w:t xml:space="preserve">, in </w:t>
      </w:r>
      <w:r w:rsidRPr="00D64EBC">
        <w:rPr>
          <w:rFonts w:ascii="Times New Roman" w:hAnsi="Times New Roman" w:cs="Times New Roman"/>
          <w:i/>
          <w:sz w:val="24"/>
          <w:szCs w:val="24"/>
        </w:rPr>
        <w:t>Enciclopedia cattolica</w:t>
      </w:r>
      <w:r w:rsidRPr="00D64EBC">
        <w:rPr>
          <w:rFonts w:ascii="Times New Roman" w:hAnsi="Times New Roman" w:cs="Times New Roman"/>
          <w:sz w:val="24"/>
          <w:szCs w:val="24"/>
        </w:rPr>
        <w:t>, Vol. 9, 1948, Roma, pp.162-166.</w:t>
      </w:r>
    </w:p>
  </w:footnote>
  <w:footnote w:id="356">
    <w:p w14:paraId="2453AF3A" w14:textId="77777777" w:rsidR="00F202D0" w:rsidRPr="00911652" w:rsidRDefault="00F202D0" w:rsidP="00140247">
      <w:pPr>
        <w:pStyle w:val="Testonotaapidipagina"/>
        <w:rPr>
          <w:lang w:val="en-US"/>
        </w:rPr>
      </w:pPr>
      <w:r>
        <w:rPr>
          <w:rStyle w:val="Rimandonotaapidipagina"/>
        </w:rPr>
        <w:footnoteRef/>
      </w:r>
      <w:r w:rsidRPr="00911652">
        <w:rPr>
          <w:lang w:val="en-US"/>
        </w:rPr>
        <w:t xml:space="preserve"> </w:t>
      </w:r>
      <w:r w:rsidRPr="00911652">
        <w:rPr>
          <w:rFonts w:ascii="Times New Roman" w:hAnsi="Times New Roman" w:cs="Times New Roman"/>
          <w:i/>
          <w:sz w:val="24"/>
          <w:szCs w:val="24"/>
          <w:lang w:val="en-US"/>
        </w:rPr>
        <w:t>Ibidem.</w:t>
      </w:r>
    </w:p>
    <w:p w14:paraId="39761705" w14:textId="77777777" w:rsidR="00F202D0" w:rsidRPr="00911652" w:rsidRDefault="00F202D0">
      <w:pPr>
        <w:pStyle w:val="Testonotaapidipagina"/>
        <w:rPr>
          <w:lang w:val="en-US"/>
        </w:rPr>
      </w:pPr>
    </w:p>
  </w:footnote>
  <w:footnote w:id="357">
    <w:p w14:paraId="025DE839" w14:textId="77777777" w:rsidR="00F202D0" w:rsidRPr="00911652" w:rsidRDefault="00F202D0">
      <w:pPr>
        <w:pStyle w:val="Testonotaapidipagina"/>
        <w:rPr>
          <w:lang w:val="en-US"/>
        </w:rPr>
      </w:pPr>
      <w:r>
        <w:rPr>
          <w:rStyle w:val="Rimandonotaapidipagina"/>
        </w:rPr>
        <w:footnoteRef/>
      </w:r>
      <w:r w:rsidRPr="00911652">
        <w:rPr>
          <w:lang w:val="en-US"/>
        </w:rPr>
        <w:t xml:space="preserve"> </w:t>
      </w:r>
      <w:r w:rsidRPr="00911652">
        <w:rPr>
          <w:rFonts w:ascii="Times New Roman" w:hAnsi="Times New Roman" w:cs="Times New Roman"/>
          <w:i/>
          <w:sz w:val="24"/>
          <w:szCs w:val="24"/>
          <w:lang w:val="en-US"/>
        </w:rPr>
        <w:t>Ibidem.</w:t>
      </w:r>
    </w:p>
  </w:footnote>
  <w:footnote w:id="358">
    <w:p w14:paraId="67A2782B" w14:textId="77777777" w:rsidR="00F202D0" w:rsidRPr="00140247" w:rsidRDefault="00F202D0">
      <w:pPr>
        <w:pStyle w:val="Testonotaapidipagina"/>
        <w:rPr>
          <w:rFonts w:ascii="Times New Roman" w:hAnsi="Times New Roman" w:cs="Times New Roman"/>
          <w:color w:val="000000" w:themeColor="text1"/>
          <w:sz w:val="24"/>
          <w:szCs w:val="24"/>
          <w:lang w:val="en-US"/>
        </w:rPr>
      </w:pPr>
      <w:r>
        <w:rPr>
          <w:rStyle w:val="Rimandonotaapidipagina"/>
        </w:rPr>
        <w:footnoteRef/>
      </w:r>
      <w:r w:rsidRPr="00911652">
        <w:rPr>
          <w:lang w:val="en-US"/>
        </w:rPr>
        <w:t xml:space="preserve"> </w:t>
      </w:r>
      <w:hyperlink r:id="rId20" w:history="1">
        <w:r w:rsidRPr="00140247">
          <w:rPr>
            <w:rStyle w:val="Collegamentoipertestuale"/>
            <w:rFonts w:ascii="Times New Roman" w:hAnsi="Times New Roman" w:cs="Times New Roman"/>
            <w:color w:val="000000" w:themeColor="text1"/>
            <w:sz w:val="24"/>
            <w:szCs w:val="24"/>
            <w:lang w:val="en-US"/>
          </w:rPr>
          <w:t>https://www.ppoomm.va/it/chi-siamo/le-4-opere-missionarie/popf.htmll</w:t>
        </w:r>
      </w:hyperlink>
    </w:p>
    <w:p w14:paraId="5EE902EE" w14:textId="77777777" w:rsidR="00F202D0" w:rsidRPr="00897C2E" w:rsidRDefault="00F202D0">
      <w:pPr>
        <w:pStyle w:val="Testonotaapidipagina"/>
        <w:rPr>
          <w:rFonts w:ascii="Times New Roman" w:hAnsi="Times New Roman" w:cs="Times New Roman"/>
          <w:sz w:val="24"/>
          <w:szCs w:val="24"/>
        </w:rPr>
      </w:pPr>
      <w:r w:rsidRPr="00140247">
        <w:rPr>
          <w:rFonts w:ascii="Times New Roman" w:hAnsi="Times New Roman" w:cs="Times New Roman"/>
          <w:color w:val="000000" w:themeColor="text1"/>
          <w:sz w:val="24"/>
          <w:szCs w:val="24"/>
        </w:rPr>
        <w:t>Consultato 6/08/2022</w:t>
      </w:r>
      <w:r w:rsidRPr="00897C2E">
        <w:rPr>
          <w:rFonts w:ascii="Times New Roman" w:hAnsi="Times New Roman" w:cs="Times New Roman"/>
          <w:sz w:val="24"/>
          <w:szCs w:val="24"/>
        </w:rPr>
        <w:t>.</w:t>
      </w:r>
    </w:p>
  </w:footnote>
  <w:footnote w:id="359">
    <w:p w14:paraId="2C22583A" w14:textId="77777777" w:rsidR="00F202D0" w:rsidRDefault="00F202D0">
      <w:pPr>
        <w:pStyle w:val="Testonotaapidipagina"/>
      </w:pPr>
      <w:r>
        <w:rPr>
          <w:rStyle w:val="Rimandonotaapidipagina"/>
        </w:rPr>
        <w:footnoteRef/>
      </w:r>
      <w:r>
        <w:t xml:space="preserve"> </w:t>
      </w:r>
      <w:r w:rsidRPr="008842BD">
        <w:rPr>
          <w:rFonts w:ascii="Times New Roman" w:hAnsi="Times New Roman" w:cs="Times New Roman"/>
          <w:i/>
          <w:sz w:val="24"/>
          <w:szCs w:val="24"/>
        </w:rPr>
        <w:t>Declaratio</w:t>
      </w:r>
      <w:r>
        <w:rPr>
          <w:rFonts w:ascii="Times New Roman" w:hAnsi="Times New Roman" w:cs="Times New Roman"/>
          <w:sz w:val="24"/>
          <w:szCs w:val="24"/>
        </w:rPr>
        <w:t xml:space="preserve">, p. 931, 1 febbraio 1928,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360">
    <w:p w14:paraId="3C9F74E6" w14:textId="77777777" w:rsidR="00F202D0" w:rsidRDefault="00F202D0" w:rsidP="00140247">
      <w:pPr>
        <w:pStyle w:val="Testonotaapidipagina"/>
      </w:pPr>
      <w:r>
        <w:rPr>
          <w:rStyle w:val="Rimandonotaapidipagina"/>
        </w:rPr>
        <w:footnoteRef/>
      </w:r>
      <w:r>
        <w:t xml:space="preserve"> </w:t>
      </w:r>
      <w:r w:rsidRPr="00012224">
        <w:rPr>
          <w:rFonts w:ascii="Times New Roman" w:hAnsi="Times New Roman" w:cs="Times New Roman"/>
          <w:i/>
          <w:sz w:val="24"/>
          <w:szCs w:val="24"/>
        </w:rPr>
        <w:t>Epistola</w:t>
      </w:r>
      <w:r w:rsidRPr="00012224">
        <w:rPr>
          <w:rFonts w:ascii="Times New Roman" w:hAnsi="Times New Roman" w:cs="Times New Roman"/>
          <w:sz w:val="24"/>
          <w:szCs w:val="24"/>
        </w:rPr>
        <w:t>, pp</w:t>
      </w:r>
      <w:r>
        <w:rPr>
          <w:rFonts w:ascii="Times New Roman" w:hAnsi="Times New Roman" w:cs="Times New Roman"/>
          <w:sz w:val="24"/>
          <w:szCs w:val="24"/>
        </w:rPr>
        <w:t>.</w:t>
      </w:r>
      <w:r w:rsidRPr="00012224">
        <w:rPr>
          <w:rFonts w:ascii="Times New Roman" w:hAnsi="Times New Roman" w:cs="Times New Roman"/>
          <w:sz w:val="24"/>
          <w:szCs w:val="24"/>
        </w:rPr>
        <w:t xml:space="preserve"> 1821-1822, 3 maggio 1937, in </w:t>
      </w:r>
      <w:r w:rsidRPr="00012224">
        <w:rPr>
          <w:rFonts w:ascii="Times New Roman" w:hAnsi="Times New Roman" w:cs="Times New Roman"/>
          <w:i/>
          <w:sz w:val="24"/>
          <w:szCs w:val="24"/>
        </w:rPr>
        <w:t>Leges ecclesiae</w:t>
      </w:r>
      <w:r w:rsidRPr="00012224">
        <w:rPr>
          <w:rFonts w:ascii="Times New Roman" w:hAnsi="Times New Roman" w:cs="Times New Roman"/>
          <w:sz w:val="24"/>
          <w:szCs w:val="24"/>
        </w:rPr>
        <w:t xml:space="preserve"> Vol. I, 1918-1941.</w:t>
      </w:r>
    </w:p>
  </w:footnote>
  <w:footnote w:id="361">
    <w:p w14:paraId="4C546E80" w14:textId="77777777" w:rsidR="00F202D0" w:rsidRDefault="00F202D0" w:rsidP="00140247">
      <w:pPr>
        <w:pStyle w:val="Testonotaapidipagina"/>
      </w:pPr>
      <w:r>
        <w:rPr>
          <w:rStyle w:val="Rimandonotaapidipagina"/>
        </w:rPr>
        <w:footnoteRef/>
      </w:r>
      <w:r w:rsidRPr="00F50054">
        <w:rPr>
          <w:rFonts w:ascii="Times New Roman" w:hAnsi="Times New Roman" w:cs="Times New Roman"/>
          <w:i/>
          <w:sz w:val="24"/>
          <w:szCs w:val="24"/>
        </w:rPr>
        <w:t>Ibidem</w:t>
      </w:r>
      <w:r>
        <w:rPr>
          <w:rFonts w:ascii="Times New Roman" w:hAnsi="Times New Roman" w:cs="Times New Roman"/>
          <w:i/>
          <w:sz w:val="24"/>
          <w:szCs w:val="24"/>
        </w:rPr>
        <w:t>.</w:t>
      </w:r>
      <w:r>
        <w:t xml:space="preserve"> </w:t>
      </w:r>
    </w:p>
  </w:footnote>
  <w:footnote w:id="362">
    <w:p w14:paraId="5E200142"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363">
    <w:p w14:paraId="0CDD3C3D" w14:textId="77777777" w:rsidR="00F202D0" w:rsidRPr="002636F4" w:rsidRDefault="00F202D0" w:rsidP="00140247">
      <w:pPr>
        <w:rPr>
          <w:rFonts w:ascii="Times New Roman" w:hAnsi="Times New Roman" w:cs="Times New Roman"/>
          <w:sz w:val="24"/>
          <w:szCs w:val="24"/>
        </w:rPr>
      </w:pPr>
      <w:r>
        <w:rPr>
          <w:rStyle w:val="Rimandonotaapidipagina"/>
        </w:rPr>
        <w:footnoteRef/>
      </w:r>
      <w:r>
        <w:t xml:space="preserve"> </w:t>
      </w:r>
      <w:r w:rsidRPr="009E30EA">
        <w:rPr>
          <w:rFonts w:ascii="Times New Roman" w:hAnsi="Times New Roman" w:cs="Times New Roman"/>
          <w:i/>
          <w:sz w:val="24"/>
          <w:szCs w:val="24"/>
        </w:rPr>
        <w:t>Circ.</w:t>
      </w:r>
      <w:r>
        <w:rPr>
          <w:rFonts w:ascii="Times New Roman" w:hAnsi="Times New Roman" w:cs="Times New Roman"/>
          <w:sz w:val="24"/>
          <w:szCs w:val="24"/>
        </w:rPr>
        <w:t xml:space="preserve">, pp. 884-885, 5 giugno 1927,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364">
    <w:p w14:paraId="1E5C9BEC" w14:textId="77777777" w:rsidR="00F202D0" w:rsidRDefault="00F202D0" w:rsidP="00140247">
      <w:pPr>
        <w:rPr>
          <w:rFonts w:ascii="Times New Roman" w:hAnsi="Times New Roman" w:cs="Times New Roman"/>
          <w:sz w:val="24"/>
          <w:szCs w:val="24"/>
        </w:rPr>
      </w:pPr>
      <w:r>
        <w:rPr>
          <w:rStyle w:val="Rimandonotaapidipagina"/>
        </w:rPr>
        <w:footnoteRef/>
      </w:r>
      <w:r>
        <w:t xml:space="preserve"> </w:t>
      </w:r>
      <w:r w:rsidRPr="00381AF0">
        <w:rPr>
          <w:rFonts w:ascii="Times New Roman" w:hAnsi="Times New Roman" w:cs="Times New Roman"/>
          <w:i/>
          <w:sz w:val="24"/>
          <w:szCs w:val="24"/>
        </w:rPr>
        <w:t>Epistola</w:t>
      </w:r>
      <w:r>
        <w:rPr>
          <w:rFonts w:ascii="Times New Roman" w:hAnsi="Times New Roman" w:cs="Times New Roman"/>
          <w:sz w:val="24"/>
          <w:szCs w:val="24"/>
        </w:rPr>
        <w:t xml:space="preserve">, pp. 2867-2868, 21 febbraio 1951, in </w:t>
      </w:r>
      <w:r>
        <w:rPr>
          <w:rFonts w:ascii="Times New Roman" w:hAnsi="Times New Roman" w:cs="Times New Roman"/>
          <w:i/>
          <w:sz w:val="24"/>
          <w:szCs w:val="24"/>
        </w:rPr>
        <w:t>L</w:t>
      </w:r>
      <w:r w:rsidRPr="00CC0D6F">
        <w:rPr>
          <w:rFonts w:ascii="Times New Roman" w:hAnsi="Times New Roman" w:cs="Times New Roman"/>
          <w:i/>
          <w:sz w:val="24"/>
          <w:szCs w:val="24"/>
        </w:rPr>
        <w:t>eges ecclesiae</w:t>
      </w:r>
      <w:r>
        <w:rPr>
          <w:rFonts w:ascii="Times New Roman" w:hAnsi="Times New Roman" w:cs="Times New Roman"/>
          <w:i/>
          <w:sz w:val="24"/>
          <w:szCs w:val="24"/>
        </w:rPr>
        <w:t xml:space="preserve"> </w:t>
      </w:r>
      <w:r w:rsidRPr="00F136D7">
        <w:rPr>
          <w:rFonts w:ascii="Times New Roman" w:hAnsi="Times New Roman" w:cs="Times New Roman"/>
          <w:sz w:val="24"/>
          <w:szCs w:val="24"/>
        </w:rPr>
        <w:t>Vol.2</w:t>
      </w:r>
      <w:r>
        <w:rPr>
          <w:rFonts w:ascii="Times New Roman" w:hAnsi="Times New Roman" w:cs="Times New Roman"/>
          <w:i/>
          <w:sz w:val="24"/>
          <w:szCs w:val="24"/>
        </w:rPr>
        <w:t>,</w:t>
      </w:r>
      <w:r w:rsidRPr="00CC0D6F">
        <w:rPr>
          <w:rFonts w:ascii="Times New Roman" w:hAnsi="Times New Roman" w:cs="Times New Roman"/>
          <w:i/>
          <w:sz w:val="24"/>
          <w:szCs w:val="24"/>
        </w:rPr>
        <w:t xml:space="preserve"> </w:t>
      </w:r>
      <w:r w:rsidRPr="00F136D7">
        <w:rPr>
          <w:rFonts w:ascii="Times New Roman" w:hAnsi="Times New Roman" w:cs="Times New Roman"/>
          <w:sz w:val="24"/>
          <w:szCs w:val="24"/>
        </w:rPr>
        <w:t>1942-1958.</w:t>
      </w:r>
    </w:p>
    <w:p w14:paraId="61D66335" w14:textId="77777777" w:rsidR="00F202D0" w:rsidRPr="00B94C82" w:rsidRDefault="00F202D0" w:rsidP="00140247">
      <w:pPr>
        <w:rPr>
          <w:rFonts w:ascii="Times New Roman" w:hAnsi="Times New Roman" w:cs="Times New Roman"/>
          <w:sz w:val="24"/>
          <w:szCs w:val="24"/>
        </w:rPr>
      </w:pPr>
      <w:r>
        <w:rPr>
          <w:rFonts w:ascii="Times New Roman" w:hAnsi="Times New Roman" w:cs="Times New Roman"/>
          <w:sz w:val="24"/>
          <w:szCs w:val="24"/>
        </w:rPr>
        <w:t xml:space="preserve">G. Zameza, </w:t>
      </w:r>
      <w:r>
        <w:rPr>
          <w:rFonts w:ascii="Times New Roman" w:hAnsi="Times New Roman" w:cs="Times New Roman"/>
          <w:i/>
          <w:sz w:val="24"/>
          <w:szCs w:val="24"/>
        </w:rPr>
        <w:t>I</w:t>
      </w:r>
      <w:r w:rsidRPr="00B94C82">
        <w:rPr>
          <w:rFonts w:ascii="Times New Roman" w:hAnsi="Times New Roman" w:cs="Times New Roman"/>
          <w:i/>
          <w:sz w:val="24"/>
          <w:szCs w:val="24"/>
        </w:rPr>
        <w:t>stituto pontificio dei santi apostolici Pietro e Paolo e dei</w:t>
      </w:r>
      <w:r>
        <w:rPr>
          <w:rFonts w:ascii="Times New Roman" w:hAnsi="Times New Roman" w:cs="Times New Roman"/>
          <w:i/>
          <w:sz w:val="24"/>
          <w:szCs w:val="24"/>
        </w:rPr>
        <w:t xml:space="preserve"> santi Ambrogio e Carlo per le Missioni E</w:t>
      </w:r>
      <w:r w:rsidRPr="00B94C82">
        <w:rPr>
          <w:rFonts w:ascii="Times New Roman" w:hAnsi="Times New Roman" w:cs="Times New Roman"/>
          <w:i/>
          <w:sz w:val="24"/>
          <w:szCs w:val="24"/>
        </w:rPr>
        <w:t>stere</w:t>
      </w:r>
      <w:r>
        <w:rPr>
          <w:rFonts w:ascii="Times New Roman" w:hAnsi="Times New Roman" w:cs="Times New Roman"/>
          <w:sz w:val="24"/>
          <w:szCs w:val="24"/>
        </w:rPr>
        <w:t xml:space="preserve">, in </w:t>
      </w:r>
      <w:r w:rsidRPr="00B94C82">
        <w:rPr>
          <w:rFonts w:ascii="Times New Roman" w:hAnsi="Times New Roman" w:cs="Times New Roman"/>
          <w:i/>
          <w:sz w:val="24"/>
          <w:szCs w:val="24"/>
        </w:rPr>
        <w:t>Enciclopedia cattolica</w:t>
      </w:r>
      <w:r>
        <w:rPr>
          <w:rFonts w:ascii="Times New Roman" w:hAnsi="Times New Roman" w:cs="Times New Roman"/>
          <w:sz w:val="24"/>
          <w:szCs w:val="24"/>
        </w:rPr>
        <w:t>, Vol.7, 1948, Roma, p. 363.</w:t>
      </w:r>
    </w:p>
  </w:footnote>
  <w:footnote w:id="365">
    <w:p w14:paraId="78A8C41D"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66">
    <w:p w14:paraId="7D7880E5"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67">
    <w:p w14:paraId="12F5D4D8"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68">
    <w:p w14:paraId="7BF31B7C"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69">
    <w:p w14:paraId="38726D04"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70">
    <w:p w14:paraId="18CD0DCB"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71">
    <w:p w14:paraId="0D96E856" w14:textId="77777777" w:rsidR="00F202D0" w:rsidRDefault="00F202D0">
      <w:pPr>
        <w:pStyle w:val="Testonotaapidipagina"/>
      </w:pPr>
      <w:r>
        <w:rPr>
          <w:rStyle w:val="Rimandonotaapidipagina"/>
        </w:rPr>
        <w:footnoteRef/>
      </w:r>
      <w:r>
        <w:t xml:space="preserve"> </w:t>
      </w:r>
      <w:r w:rsidRPr="00D64EBC">
        <w:rPr>
          <w:rFonts w:ascii="Times New Roman" w:hAnsi="Times New Roman" w:cs="Times New Roman"/>
          <w:sz w:val="24"/>
          <w:szCs w:val="24"/>
        </w:rPr>
        <w:t>S.</w:t>
      </w:r>
      <w:r>
        <w:rPr>
          <w:rFonts w:ascii="Times New Roman" w:hAnsi="Times New Roman" w:cs="Times New Roman"/>
          <w:sz w:val="24"/>
          <w:szCs w:val="24"/>
        </w:rPr>
        <w:t xml:space="preserve"> </w:t>
      </w:r>
      <w:r w:rsidRPr="00D64EBC">
        <w:rPr>
          <w:rFonts w:ascii="Times New Roman" w:hAnsi="Times New Roman" w:cs="Times New Roman"/>
          <w:sz w:val="24"/>
          <w:szCs w:val="24"/>
        </w:rPr>
        <w:t xml:space="preserve">Paventi, </w:t>
      </w:r>
      <w:r w:rsidRPr="00D64EBC">
        <w:rPr>
          <w:rFonts w:ascii="Times New Roman" w:hAnsi="Times New Roman" w:cs="Times New Roman"/>
          <w:i/>
          <w:sz w:val="24"/>
          <w:szCs w:val="24"/>
        </w:rPr>
        <w:t>Opere Pontificie missionarie</w:t>
      </w:r>
      <w:r w:rsidRPr="00D64EBC">
        <w:rPr>
          <w:rFonts w:ascii="Times New Roman" w:hAnsi="Times New Roman" w:cs="Times New Roman"/>
          <w:sz w:val="24"/>
          <w:szCs w:val="24"/>
        </w:rPr>
        <w:t xml:space="preserve">, in </w:t>
      </w:r>
      <w:r w:rsidRPr="00D64EBC">
        <w:rPr>
          <w:rFonts w:ascii="Times New Roman" w:hAnsi="Times New Roman" w:cs="Times New Roman"/>
          <w:i/>
          <w:sz w:val="24"/>
          <w:szCs w:val="24"/>
        </w:rPr>
        <w:t>Enciclopedia cattolica</w:t>
      </w:r>
      <w:r w:rsidRPr="00D64EBC">
        <w:rPr>
          <w:rFonts w:ascii="Times New Roman" w:hAnsi="Times New Roman" w:cs="Times New Roman"/>
          <w:sz w:val="24"/>
          <w:szCs w:val="24"/>
        </w:rPr>
        <w:t>, pp.162-166.</w:t>
      </w:r>
    </w:p>
  </w:footnote>
  <w:footnote w:id="372">
    <w:p w14:paraId="715BD892"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73">
    <w:p w14:paraId="6B90551E"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74">
    <w:p w14:paraId="1B1E5850"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75">
    <w:p w14:paraId="762EA4A4"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376">
    <w:p w14:paraId="766F0E87" w14:textId="77777777" w:rsidR="00F202D0" w:rsidRDefault="00F202D0">
      <w:pPr>
        <w:pStyle w:val="Testonotaapidipagina"/>
      </w:pPr>
      <w:r>
        <w:rPr>
          <w:rStyle w:val="Rimandonotaapidipagina"/>
        </w:rPr>
        <w:footnoteRef/>
      </w:r>
      <w:r>
        <w:t xml:space="preserve"> </w:t>
      </w:r>
      <w:r w:rsidRPr="00BF7E15">
        <w:rPr>
          <w:rFonts w:ascii="Times New Roman" w:hAnsi="Times New Roman" w:cs="Times New Roman"/>
          <w:i/>
          <w:sz w:val="24"/>
          <w:szCs w:val="24"/>
        </w:rPr>
        <w:t>Decretum: super adprobatione operis s. Petri apostoli</w:t>
      </w:r>
      <w:r>
        <w:rPr>
          <w:rFonts w:ascii="Times New Roman" w:hAnsi="Times New Roman" w:cs="Times New Roman"/>
          <w:sz w:val="24"/>
          <w:szCs w:val="24"/>
        </w:rPr>
        <w:t>,</w:t>
      </w:r>
      <w:r w:rsidRPr="00BF7E15">
        <w:rPr>
          <w:rFonts w:ascii="Times New Roman" w:hAnsi="Times New Roman" w:cs="Times New Roman"/>
          <w:sz w:val="24"/>
          <w:szCs w:val="24"/>
        </w:rPr>
        <w:t xml:space="preserve"> </w:t>
      </w:r>
      <w:r>
        <w:rPr>
          <w:rFonts w:ascii="Times New Roman" w:hAnsi="Times New Roman" w:cs="Times New Roman"/>
          <w:sz w:val="24"/>
          <w:szCs w:val="24"/>
        </w:rPr>
        <w:t>in AAS12-1920, 26 aprile 1920, p. 247.</w:t>
      </w:r>
    </w:p>
  </w:footnote>
  <w:footnote w:id="377">
    <w:p w14:paraId="1D8D4110" w14:textId="77777777" w:rsidR="00F202D0" w:rsidRDefault="00F202D0">
      <w:pPr>
        <w:pStyle w:val="Testonotaapidipagina"/>
      </w:pPr>
      <w:r>
        <w:rPr>
          <w:rStyle w:val="Rimandonotaapidipagina"/>
        </w:rPr>
        <w:footnoteRef/>
      </w:r>
      <w:r>
        <w:t xml:space="preserve"> </w:t>
      </w:r>
      <w:r>
        <w:rPr>
          <w:rFonts w:ascii="Times New Roman" w:hAnsi="Times New Roman" w:cs="Times New Roman"/>
          <w:i/>
          <w:sz w:val="24"/>
          <w:szCs w:val="24"/>
        </w:rPr>
        <w:t>Ibidem.</w:t>
      </w:r>
    </w:p>
  </w:footnote>
  <w:footnote w:id="378">
    <w:p w14:paraId="4F05CB91" w14:textId="77777777" w:rsidR="00F202D0" w:rsidRDefault="00F202D0">
      <w:pPr>
        <w:pStyle w:val="Testonotaapidipagina"/>
      </w:pPr>
      <w:r>
        <w:rPr>
          <w:rStyle w:val="Rimandonotaapidipagina"/>
        </w:rPr>
        <w:footnoteRef/>
      </w:r>
      <w:r>
        <w:t xml:space="preserve"> </w:t>
      </w:r>
      <w:r w:rsidRPr="00D64EBC">
        <w:rPr>
          <w:rFonts w:ascii="Times New Roman" w:hAnsi="Times New Roman" w:cs="Times New Roman"/>
          <w:sz w:val="24"/>
          <w:szCs w:val="24"/>
        </w:rPr>
        <w:t>S.</w:t>
      </w:r>
      <w:r>
        <w:rPr>
          <w:rFonts w:ascii="Times New Roman" w:hAnsi="Times New Roman" w:cs="Times New Roman"/>
          <w:sz w:val="24"/>
          <w:szCs w:val="24"/>
        </w:rPr>
        <w:t xml:space="preserve"> </w:t>
      </w:r>
      <w:r w:rsidRPr="00D64EBC">
        <w:rPr>
          <w:rFonts w:ascii="Times New Roman" w:hAnsi="Times New Roman" w:cs="Times New Roman"/>
          <w:sz w:val="24"/>
          <w:szCs w:val="24"/>
        </w:rPr>
        <w:t xml:space="preserve">Paventi, </w:t>
      </w:r>
      <w:r w:rsidRPr="00D64EBC">
        <w:rPr>
          <w:rFonts w:ascii="Times New Roman" w:hAnsi="Times New Roman" w:cs="Times New Roman"/>
          <w:i/>
          <w:sz w:val="24"/>
          <w:szCs w:val="24"/>
        </w:rPr>
        <w:t>Opere Pontificie missionarie</w:t>
      </w:r>
      <w:r w:rsidRPr="00D64EBC">
        <w:rPr>
          <w:rFonts w:ascii="Times New Roman" w:hAnsi="Times New Roman" w:cs="Times New Roman"/>
          <w:sz w:val="24"/>
          <w:szCs w:val="24"/>
        </w:rPr>
        <w:t xml:space="preserve">, in </w:t>
      </w:r>
      <w:r w:rsidRPr="00D64EBC">
        <w:rPr>
          <w:rFonts w:ascii="Times New Roman" w:hAnsi="Times New Roman" w:cs="Times New Roman"/>
          <w:i/>
          <w:sz w:val="24"/>
          <w:szCs w:val="24"/>
        </w:rPr>
        <w:t>Enciclopedia cattolica</w:t>
      </w:r>
      <w:r w:rsidRPr="00D64EBC">
        <w:rPr>
          <w:rFonts w:ascii="Times New Roman" w:hAnsi="Times New Roman" w:cs="Times New Roman"/>
          <w:sz w:val="24"/>
          <w:szCs w:val="24"/>
        </w:rPr>
        <w:t>, pp.162-166.</w:t>
      </w:r>
    </w:p>
  </w:footnote>
  <w:footnote w:id="379">
    <w:p w14:paraId="2C5F61D4" w14:textId="77777777" w:rsidR="00F202D0" w:rsidRPr="00911652" w:rsidRDefault="00F202D0">
      <w:pPr>
        <w:pStyle w:val="Testonotaapidipagina"/>
        <w:rPr>
          <w:lang w:val="en-US"/>
        </w:rPr>
      </w:pPr>
      <w:r>
        <w:rPr>
          <w:rStyle w:val="Rimandonotaapidipagina"/>
        </w:rPr>
        <w:footnoteRef/>
      </w:r>
      <w:r w:rsidRPr="00911652">
        <w:rPr>
          <w:lang w:val="en-US"/>
        </w:rPr>
        <w:t xml:space="preserve"> </w:t>
      </w:r>
      <w:r w:rsidRPr="00911652">
        <w:rPr>
          <w:rFonts w:ascii="Times New Roman" w:hAnsi="Times New Roman" w:cs="Times New Roman"/>
          <w:i/>
          <w:sz w:val="24"/>
          <w:szCs w:val="24"/>
          <w:lang w:val="en-US"/>
        </w:rPr>
        <w:t>Ibidem.</w:t>
      </w:r>
    </w:p>
  </w:footnote>
  <w:footnote w:id="380">
    <w:p w14:paraId="6238C7EC" w14:textId="77777777" w:rsidR="00F202D0" w:rsidRPr="00911652" w:rsidRDefault="00F202D0">
      <w:pPr>
        <w:pStyle w:val="Testonotaapidipagina"/>
        <w:rPr>
          <w:lang w:val="en-US"/>
        </w:rPr>
      </w:pPr>
      <w:r>
        <w:rPr>
          <w:rStyle w:val="Rimandonotaapidipagina"/>
        </w:rPr>
        <w:footnoteRef/>
      </w:r>
      <w:r w:rsidRPr="00911652">
        <w:rPr>
          <w:lang w:val="en-US"/>
        </w:rPr>
        <w:t xml:space="preserve"> </w:t>
      </w:r>
      <w:r w:rsidRPr="00911652">
        <w:rPr>
          <w:rFonts w:ascii="Times New Roman" w:hAnsi="Times New Roman" w:cs="Times New Roman"/>
          <w:i/>
          <w:sz w:val="24"/>
          <w:szCs w:val="24"/>
          <w:lang w:val="en-US"/>
        </w:rPr>
        <w:t>Ibidem.</w:t>
      </w:r>
    </w:p>
  </w:footnote>
  <w:footnote w:id="381">
    <w:p w14:paraId="375A94A2" w14:textId="77777777" w:rsidR="00F202D0" w:rsidRPr="00140247" w:rsidRDefault="00F202D0">
      <w:pPr>
        <w:pStyle w:val="Testonotaapidipagina"/>
        <w:rPr>
          <w:rFonts w:ascii="Times New Roman" w:hAnsi="Times New Roman" w:cs="Times New Roman"/>
          <w:color w:val="000000" w:themeColor="text1"/>
          <w:sz w:val="24"/>
          <w:szCs w:val="24"/>
          <w:lang w:val="en-US"/>
        </w:rPr>
      </w:pPr>
      <w:r w:rsidRPr="00F71409">
        <w:rPr>
          <w:rStyle w:val="Rimandonotaapidipagina"/>
          <w:rFonts w:ascii="Times New Roman" w:hAnsi="Times New Roman" w:cs="Times New Roman"/>
          <w:sz w:val="24"/>
          <w:szCs w:val="24"/>
        </w:rPr>
        <w:footnoteRef/>
      </w:r>
      <w:r w:rsidRPr="00911652">
        <w:rPr>
          <w:rFonts w:ascii="Times New Roman" w:hAnsi="Times New Roman" w:cs="Times New Roman"/>
          <w:sz w:val="24"/>
          <w:szCs w:val="24"/>
          <w:lang w:val="en-US"/>
        </w:rPr>
        <w:t xml:space="preserve"> </w:t>
      </w:r>
      <w:hyperlink r:id="rId21" w:history="1">
        <w:r w:rsidRPr="00140247">
          <w:rPr>
            <w:rStyle w:val="Collegamentoipertestuale"/>
            <w:rFonts w:ascii="Times New Roman" w:hAnsi="Times New Roman" w:cs="Times New Roman"/>
            <w:color w:val="000000" w:themeColor="text1"/>
            <w:sz w:val="24"/>
            <w:szCs w:val="24"/>
            <w:lang w:val="en-US"/>
          </w:rPr>
          <w:t>https://www.ppoomm.va/it/chi-siamo/le-4-opere-missionarie/posi/storia.html</w:t>
        </w:r>
      </w:hyperlink>
    </w:p>
    <w:p w14:paraId="2904D3E9" w14:textId="77777777" w:rsidR="00F202D0" w:rsidRPr="00140247" w:rsidRDefault="00F202D0">
      <w:pPr>
        <w:pStyle w:val="Testonotaapidipagina"/>
        <w:rPr>
          <w:rFonts w:ascii="Times New Roman" w:hAnsi="Times New Roman" w:cs="Times New Roman"/>
          <w:color w:val="000000" w:themeColor="text1"/>
          <w:sz w:val="24"/>
          <w:szCs w:val="24"/>
        </w:rPr>
      </w:pPr>
      <w:r w:rsidRPr="00140247">
        <w:rPr>
          <w:rFonts w:ascii="Times New Roman" w:hAnsi="Times New Roman" w:cs="Times New Roman"/>
          <w:color w:val="000000" w:themeColor="text1"/>
          <w:sz w:val="24"/>
          <w:szCs w:val="24"/>
        </w:rPr>
        <w:t>Consultato 6/08/2022.</w:t>
      </w:r>
    </w:p>
  </w:footnote>
  <w:footnote w:id="382">
    <w:p w14:paraId="394248F1" w14:textId="77777777" w:rsidR="00F202D0" w:rsidRDefault="00F202D0">
      <w:pPr>
        <w:pStyle w:val="Testonotaapidipagina"/>
      </w:pPr>
      <w:r>
        <w:rPr>
          <w:rStyle w:val="Rimandonotaapidipagina"/>
        </w:rPr>
        <w:footnoteRef/>
      </w:r>
      <w:r>
        <w:t xml:space="preserve"> </w:t>
      </w:r>
      <w:r>
        <w:rPr>
          <w:rFonts w:ascii="Times New Roman" w:hAnsi="Times New Roman" w:cs="Times New Roman"/>
          <w:i/>
          <w:sz w:val="24"/>
          <w:szCs w:val="24"/>
        </w:rPr>
        <w:t>Ibidem.</w:t>
      </w:r>
    </w:p>
  </w:footnote>
  <w:footnote w:id="383">
    <w:p w14:paraId="3EF52157" w14:textId="77777777" w:rsidR="00F202D0" w:rsidRPr="00D9358C" w:rsidRDefault="00F202D0">
      <w:pPr>
        <w:pStyle w:val="Testonotaapidipagina"/>
        <w:rPr>
          <w:rFonts w:ascii="Times New Roman" w:hAnsi="Times New Roman" w:cs="Times New Roman"/>
          <w:color w:val="0D0D0D" w:themeColor="text1" w:themeTint="F2"/>
          <w:sz w:val="24"/>
          <w:szCs w:val="24"/>
        </w:rPr>
      </w:pPr>
      <w:r>
        <w:rPr>
          <w:rStyle w:val="Rimandonotaapidipagina"/>
        </w:rPr>
        <w:footnoteRef/>
      </w:r>
      <w:r>
        <w:t xml:space="preserve"> </w:t>
      </w:r>
      <w:hyperlink r:id="rId22" w:history="1">
        <w:r w:rsidRPr="00D9358C">
          <w:rPr>
            <w:rStyle w:val="Collegamentoipertestuale"/>
            <w:rFonts w:ascii="Times New Roman" w:hAnsi="Times New Roman" w:cs="Times New Roman"/>
            <w:color w:val="0D0D0D" w:themeColor="text1" w:themeTint="F2"/>
            <w:sz w:val="24"/>
            <w:szCs w:val="24"/>
          </w:rPr>
          <w:t>https://www.ppoomm.va/it/chi-siamo/le-4-opere-missionarie/pum.html</w:t>
        </w:r>
      </w:hyperlink>
    </w:p>
    <w:p w14:paraId="5D0CCDA3" w14:textId="77777777" w:rsidR="00F202D0" w:rsidRPr="00D9358C" w:rsidRDefault="00F202D0">
      <w:pPr>
        <w:pStyle w:val="Testonotaapidipagina"/>
        <w:rPr>
          <w:rFonts w:ascii="Times New Roman" w:hAnsi="Times New Roman" w:cs="Times New Roman"/>
          <w:color w:val="0D0D0D" w:themeColor="text1" w:themeTint="F2"/>
          <w:sz w:val="24"/>
          <w:szCs w:val="24"/>
        </w:rPr>
      </w:pPr>
      <w:r w:rsidRPr="00D9358C">
        <w:rPr>
          <w:rFonts w:ascii="Times New Roman" w:hAnsi="Times New Roman" w:cs="Times New Roman"/>
          <w:color w:val="0D0D0D" w:themeColor="text1" w:themeTint="F2"/>
          <w:sz w:val="24"/>
          <w:szCs w:val="24"/>
        </w:rPr>
        <w:t>Consultato 6/08/2022.</w:t>
      </w:r>
    </w:p>
  </w:footnote>
  <w:footnote w:id="384">
    <w:p w14:paraId="4F39C78C" w14:textId="77777777" w:rsidR="00F202D0" w:rsidRPr="00D9358C" w:rsidRDefault="00F202D0">
      <w:pPr>
        <w:pStyle w:val="Testonotaapidipagina"/>
        <w:rPr>
          <w:rFonts w:ascii="Times New Roman" w:hAnsi="Times New Roman" w:cs="Times New Roman"/>
          <w:sz w:val="24"/>
          <w:szCs w:val="24"/>
        </w:rPr>
      </w:pPr>
      <w:r>
        <w:rPr>
          <w:rStyle w:val="Rimandonotaapidipagina"/>
        </w:rPr>
        <w:footnoteRef/>
      </w:r>
      <w:r>
        <w:t xml:space="preserve"> </w:t>
      </w:r>
      <w:r w:rsidRPr="00D9358C">
        <w:rPr>
          <w:rFonts w:ascii="Times New Roman" w:hAnsi="Times New Roman" w:cs="Times New Roman"/>
          <w:sz w:val="24"/>
          <w:szCs w:val="24"/>
        </w:rPr>
        <w:t>S.</w:t>
      </w:r>
      <w:r>
        <w:rPr>
          <w:rFonts w:ascii="Times New Roman" w:hAnsi="Times New Roman" w:cs="Times New Roman"/>
          <w:sz w:val="24"/>
          <w:szCs w:val="24"/>
        </w:rPr>
        <w:t xml:space="preserve"> </w:t>
      </w:r>
      <w:r w:rsidRPr="00D9358C">
        <w:rPr>
          <w:rFonts w:ascii="Times New Roman" w:hAnsi="Times New Roman" w:cs="Times New Roman"/>
          <w:sz w:val="24"/>
          <w:szCs w:val="24"/>
        </w:rPr>
        <w:t xml:space="preserve">Paventi, </w:t>
      </w:r>
      <w:r w:rsidRPr="00D9358C">
        <w:rPr>
          <w:rFonts w:ascii="Times New Roman" w:hAnsi="Times New Roman" w:cs="Times New Roman"/>
          <w:i/>
          <w:sz w:val="24"/>
          <w:szCs w:val="24"/>
        </w:rPr>
        <w:t>Unione Missionaria del Clero</w:t>
      </w:r>
      <w:r w:rsidRPr="00D9358C">
        <w:rPr>
          <w:rFonts w:ascii="Times New Roman" w:hAnsi="Times New Roman" w:cs="Times New Roman"/>
          <w:sz w:val="24"/>
          <w:szCs w:val="24"/>
        </w:rPr>
        <w:t xml:space="preserve">, in </w:t>
      </w:r>
      <w:r w:rsidRPr="00D9358C">
        <w:rPr>
          <w:rFonts w:ascii="Times New Roman" w:hAnsi="Times New Roman" w:cs="Times New Roman"/>
          <w:i/>
          <w:sz w:val="24"/>
          <w:szCs w:val="24"/>
        </w:rPr>
        <w:t>Enciclopedia cattolica</w:t>
      </w:r>
      <w:r w:rsidRPr="00D9358C">
        <w:rPr>
          <w:rFonts w:ascii="Times New Roman" w:hAnsi="Times New Roman" w:cs="Times New Roman"/>
          <w:sz w:val="24"/>
          <w:szCs w:val="24"/>
        </w:rPr>
        <w:t>, Vol.12, 1948, Roma, p.827.</w:t>
      </w:r>
    </w:p>
  </w:footnote>
  <w:footnote w:id="385">
    <w:p w14:paraId="76A91DD2" w14:textId="77777777" w:rsidR="00F202D0" w:rsidRDefault="00F202D0">
      <w:pPr>
        <w:pStyle w:val="Testonotaapidipagina"/>
      </w:pPr>
      <w:r>
        <w:rPr>
          <w:rStyle w:val="Rimandonotaapidipagina"/>
        </w:rPr>
        <w:footnoteRef/>
      </w:r>
      <w:r>
        <w:t xml:space="preserve"> </w:t>
      </w:r>
      <w:r>
        <w:rPr>
          <w:rFonts w:ascii="Times New Roman" w:hAnsi="Times New Roman" w:cs="Times New Roman"/>
          <w:i/>
          <w:sz w:val="24"/>
          <w:szCs w:val="24"/>
        </w:rPr>
        <w:t>Ibidem.</w:t>
      </w:r>
    </w:p>
  </w:footnote>
  <w:footnote w:id="386">
    <w:p w14:paraId="50EA0AEE" w14:textId="77777777" w:rsidR="00F202D0" w:rsidRDefault="00F202D0">
      <w:pPr>
        <w:pStyle w:val="Testonotaapidipagina"/>
      </w:pPr>
      <w:r>
        <w:rPr>
          <w:rStyle w:val="Rimandonotaapidipagina"/>
        </w:rPr>
        <w:footnoteRef/>
      </w:r>
      <w:r>
        <w:t xml:space="preserve"> </w:t>
      </w:r>
      <w:r>
        <w:rPr>
          <w:rFonts w:ascii="Times New Roman" w:hAnsi="Times New Roman" w:cs="Times New Roman"/>
          <w:i/>
          <w:sz w:val="24"/>
          <w:szCs w:val="24"/>
        </w:rPr>
        <w:t>Ibidem.</w:t>
      </w:r>
    </w:p>
  </w:footnote>
  <w:footnote w:id="387">
    <w:p w14:paraId="3DB2403A" w14:textId="77777777" w:rsidR="00F202D0" w:rsidRDefault="00F202D0" w:rsidP="00140247">
      <w:pPr>
        <w:pStyle w:val="Testonotaapidipagina"/>
      </w:pPr>
      <w:r>
        <w:rPr>
          <w:rStyle w:val="Rimandonotaapidipagina"/>
        </w:rPr>
        <w:footnoteRef/>
      </w:r>
      <w:r>
        <w:t xml:space="preserve"> </w:t>
      </w:r>
      <w:r>
        <w:rPr>
          <w:rFonts w:ascii="Times New Roman" w:hAnsi="Times New Roman" w:cs="Times New Roman"/>
          <w:i/>
          <w:sz w:val="24"/>
          <w:szCs w:val="24"/>
        </w:rPr>
        <w:t>Ibidem.</w:t>
      </w:r>
    </w:p>
    <w:p w14:paraId="7A56BCE5" w14:textId="77777777" w:rsidR="00F202D0" w:rsidRDefault="00F202D0">
      <w:pPr>
        <w:pStyle w:val="Testonotaapidipagina"/>
      </w:pPr>
    </w:p>
  </w:footnote>
  <w:footnote w:id="388">
    <w:p w14:paraId="6C99967F"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389">
    <w:p w14:paraId="5B2F8956" w14:textId="77777777" w:rsidR="00F202D0" w:rsidRPr="00537D3A" w:rsidRDefault="00F202D0" w:rsidP="00140247">
      <w:pPr>
        <w:rPr>
          <w:rFonts w:ascii="Times New Roman" w:hAnsi="Times New Roman" w:cs="Times New Roman"/>
          <w:sz w:val="24"/>
          <w:szCs w:val="24"/>
        </w:rPr>
      </w:pPr>
      <w:r w:rsidRPr="005022D3">
        <w:rPr>
          <w:rStyle w:val="Rimandonotaapidipagina"/>
          <w:sz w:val="24"/>
          <w:szCs w:val="24"/>
        </w:rPr>
        <w:footnoteRef/>
      </w:r>
      <w:r w:rsidRPr="005022D3">
        <w:rPr>
          <w:sz w:val="24"/>
          <w:szCs w:val="24"/>
        </w:rPr>
        <w:t xml:space="preserve"> </w:t>
      </w:r>
      <w:r w:rsidRPr="005022D3">
        <w:rPr>
          <w:rFonts w:ascii="Times New Roman" w:hAnsi="Times New Roman" w:cs="Times New Roman"/>
          <w:i/>
          <w:sz w:val="24"/>
          <w:szCs w:val="24"/>
        </w:rPr>
        <w:t>Decretum: promulgantur statuta generalia pia et unionis cleri pro missionibus atque summarium spiritualium favorum quibuseiusdem pia et unionis sodales fruuntur</w:t>
      </w:r>
      <w:r w:rsidRPr="005022D3">
        <w:rPr>
          <w:rFonts w:ascii="Times New Roman" w:hAnsi="Times New Roman" w:cs="Times New Roman"/>
          <w:sz w:val="24"/>
          <w:szCs w:val="24"/>
        </w:rPr>
        <w:t xml:space="preserve"> in AAS17-1926,</w:t>
      </w:r>
      <w:r>
        <w:rPr>
          <w:rFonts w:ascii="Times New Roman" w:hAnsi="Times New Roman" w:cs="Times New Roman"/>
          <w:sz w:val="24"/>
          <w:szCs w:val="24"/>
        </w:rPr>
        <w:t xml:space="preserve"> 4 aprile 1926, pp. 230-236.</w:t>
      </w:r>
    </w:p>
  </w:footnote>
  <w:footnote w:id="390">
    <w:p w14:paraId="49B4842E"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391">
    <w:p w14:paraId="2D3FADAE" w14:textId="77777777" w:rsidR="00F202D0" w:rsidRPr="00815E45"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sidRPr="00815E45">
        <w:rPr>
          <w:rFonts w:ascii="Times New Roman" w:hAnsi="Times New Roman" w:cs="Times New Roman"/>
          <w:sz w:val="24"/>
          <w:szCs w:val="24"/>
        </w:rPr>
        <w:t>S.</w:t>
      </w:r>
      <w:r>
        <w:rPr>
          <w:rFonts w:ascii="Times New Roman" w:hAnsi="Times New Roman" w:cs="Times New Roman"/>
          <w:sz w:val="24"/>
          <w:szCs w:val="24"/>
        </w:rPr>
        <w:t xml:space="preserve"> </w:t>
      </w:r>
      <w:r w:rsidRPr="00815E45">
        <w:rPr>
          <w:rFonts w:ascii="Times New Roman" w:hAnsi="Times New Roman" w:cs="Times New Roman"/>
          <w:sz w:val="24"/>
          <w:szCs w:val="24"/>
        </w:rPr>
        <w:t xml:space="preserve">Paventi, </w:t>
      </w:r>
      <w:r w:rsidRPr="00815E45">
        <w:rPr>
          <w:rFonts w:ascii="Times New Roman" w:hAnsi="Times New Roman" w:cs="Times New Roman"/>
          <w:i/>
          <w:sz w:val="24"/>
          <w:szCs w:val="24"/>
        </w:rPr>
        <w:t>Unione missionaria del clero</w:t>
      </w:r>
      <w:r w:rsidRPr="00815E45">
        <w:rPr>
          <w:rFonts w:ascii="Times New Roman" w:hAnsi="Times New Roman" w:cs="Times New Roman"/>
          <w:sz w:val="24"/>
          <w:szCs w:val="24"/>
        </w:rPr>
        <w:t xml:space="preserve">, in </w:t>
      </w:r>
      <w:r w:rsidRPr="00815E45">
        <w:rPr>
          <w:rFonts w:ascii="Times New Roman" w:hAnsi="Times New Roman" w:cs="Times New Roman"/>
          <w:i/>
          <w:sz w:val="24"/>
          <w:szCs w:val="24"/>
        </w:rPr>
        <w:t>Enciclopedia cattolica</w:t>
      </w:r>
      <w:r>
        <w:rPr>
          <w:rFonts w:ascii="Times New Roman" w:hAnsi="Times New Roman" w:cs="Times New Roman"/>
          <w:i/>
          <w:sz w:val="24"/>
          <w:szCs w:val="24"/>
        </w:rPr>
        <w:t>,</w:t>
      </w:r>
      <w:r w:rsidRPr="00815E45">
        <w:rPr>
          <w:rFonts w:ascii="Times New Roman" w:hAnsi="Times New Roman" w:cs="Times New Roman"/>
          <w:sz w:val="24"/>
          <w:szCs w:val="24"/>
        </w:rPr>
        <w:t xml:space="preserve"> Vol. 12, 1948, p. 823.</w:t>
      </w:r>
    </w:p>
  </w:footnote>
  <w:footnote w:id="392">
    <w:p w14:paraId="7EF6C54C"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93">
    <w:p w14:paraId="5BFBF3B0"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94">
    <w:p w14:paraId="6BC0832C"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95">
    <w:p w14:paraId="53751FD3"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96">
    <w:p w14:paraId="4F52D0C5"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97">
    <w:p w14:paraId="371FFDB8"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98">
    <w:p w14:paraId="615541C0"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399">
    <w:p w14:paraId="1EC84EA6" w14:textId="77777777" w:rsidR="00F202D0" w:rsidRPr="00874758" w:rsidRDefault="00F202D0" w:rsidP="00140247">
      <w:pPr>
        <w:rPr>
          <w:rFonts w:ascii="Times New Roman" w:hAnsi="Times New Roman" w:cs="Times New Roman"/>
          <w:sz w:val="24"/>
          <w:szCs w:val="24"/>
        </w:rPr>
      </w:pPr>
      <w:r>
        <w:rPr>
          <w:rStyle w:val="Rimandonotaapidipagina"/>
        </w:rPr>
        <w:footnoteRef/>
      </w:r>
      <w:r w:rsidRPr="00874758">
        <w:t xml:space="preserve"> </w:t>
      </w:r>
      <w:r w:rsidRPr="00874758">
        <w:rPr>
          <w:rFonts w:ascii="Times New Roman" w:hAnsi="Times New Roman" w:cs="Times New Roman"/>
          <w:i/>
          <w:sz w:val="24"/>
          <w:szCs w:val="24"/>
        </w:rPr>
        <w:t>Instructio de coordinatione piae unionis cleri pro missionibus cum operibus missionalibus</w:t>
      </w:r>
      <w:r w:rsidRPr="00874758">
        <w:rPr>
          <w:rFonts w:ascii="Times New Roman" w:hAnsi="Times New Roman" w:cs="Times New Roman"/>
          <w:sz w:val="24"/>
          <w:szCs w:val="24"/>
        </w:rPr>
        <w:t>, in AAS29-1937, 9 marzo 1937, pp. 475-476.</w:t>
      </w:r>
    </w:p>
  </w:footnote>
  <w:footnote w:id="400">
    <w:p w14:paraId="057DFF5D"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401">
    <w:p w14:paraId="4DBA4A15"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402">
    <w:p w14:paraId="7EB8E36A"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403">
    <w:p w14:paraId="15F946E8" w14:textId="77777777" w:rsidR="00F202D0" w:rsidRPr="00443B30" w:rsidRDefault="00F202D0" w:rsidP="00140247">
      <w:pPr>
        <w:rPr>
          <w:rFonts w:ascii="Times New Roman" w:hAnsi="Times New Roman" w:cs="Times New Roman"/>
          <w:sz w:val="24"/>
          <w:szCs w:val="24"/>
        </w:rPr>
      </w:pPr>
      <w:r>
        <w:rPr>
          <w:rStyle w:val="Rimandonotaapidipagina"/>
        </w:rPr>
        <w:footnoteRef/>
      </w:r>
      <w:r>
        <w:t xml:space="preserve"> </w:t>
      </w:r>
      <w:r w:rsidRPr="00A60645">
        <w:rPr>
          <w:rFonts w:ascii="Times New Roman" w:hAnsi="Times New Roman" w:cs="Times New Roman"/>
          <w:i/>
          <w:sz w:val="24"/>
          <w:szCs w:val="24"/>
        </w:rPr>
        <w:t>Lit. Circ</w:t>
      </w:r>
      <w:r>
        <w:rPr>
          <w:rFonts w:ascii="Times New Roman" w:hAnsi="Times New Roman" w:cs="Times New Roman"/>
          <w:sz w:val="24"/>
          <w:szCs w:val="24"/>
        </w:rPr>
        <w:t xml:space="preserve">, p. 1821, 14 aprile 1937,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404">
    <w:p w14:paraId="1721ED41" w14:textId="77777777" w:rsidR="00F202D0" w:rsidRDefault="00F202D0" w:rsidP="00140247">
      <w:pPr>
        <w:pStyle w:val="Testonotaapidipagina"/>
      </w:pPr>
      <w:r>
        <w:rPr>
          <w:rStyle w:val="Rimandonotaapidipagina"/>
        </w:rPr>
        <w:footnoteRef/>
      </w:r>
      <w:r>
        <w:t xml:space="preserve"> </w:t>
      </w:r>
      <w:r w:rsidRPr="00F608D1">
        <w:rPr>
          <w:rFonts w:ascii="Times New Roman" w:hAnsi="Times New Roman" w:cs="Times New Roman"/>
          <w:i/>
          <w:sz w:val="24"/>
          <w:szCs w:val="24"/>
        </w:rPr>
        <w:t>Decretum: statuta generalia piae unionis cleri pro missionibus, revisa ac recognita, approbantur</w:t>
      </w:r>
      <w:r>
        <w:rPr>
          <w:rFonts w:ascii="Times New Roman" w:hAnsi="Times New Roman" w:cs="Times New Roman"/>
          <w:sz w:val="24"/>
          <w:szCs w:val="24"/>
        </w:rPr>
        <w:t xml:space="preserve">, in </w:t>
      </w:r>
      <w:r w:rsidRPr="00F608D1">
        <w:rPr>
          <w:rFonts w:ascii="Times New Roman" w:hAnsi="Times New Roman" w:cs="Times New Roman"/>
          <w:sz w:val="24"/>
          <w:szCs w:val="24"/>
        </w:rPr>
        <w:t>AAS29-1937,</w:t>
      </w:r>
      <w:r>
        <w:rPr>
          <w:rFonts w:ascii="Times New Roman" w:hAnsi="Times New Roman" w:cs="Times New Roman"/>
          <w:sz w:val="24"/>
          <w:szCs w:val="24"/>
        </w:rPr>
        <w:t>14 aprile 1937, p. 435.</w:t>
      </w:r>
    </w:p>
  </w:footnote>
  <w:footnote w:id="405">
    <w:p w14:paraId="0B978838" w14:textId="77777777" w:rsidR="00F202D0" w:rsidRPr="00E52132" w:rsidRDefault="00F202D0" w:rsidP="00140247">
      <w:pPr>
        <w:rPr>
          <w:rFonts w:ascii="Times New Roman" w:hAnsi="Times New Roman" w:cs="Times New Roman"/>
          <w:b/>
          <w:sz w:val="24"/>
          <w:szCs w:val="24"/>
          <w:u w:val="single"/>
          <w:lang w:val="en-US"/>
        </w:rPr>
      </w:pPr>
      <w:r>
        <w:rPr>
          <w:rStyle w:val="Rimandonotaapidipagina"/>
        </w:rPr>
        <w:footnoteRef/>
      </w:r>
      <w:r w:rsidRPr="00E52132">
        <w:rPr>
          <w:lang w:val="en-US"/>
        </w:rPr>
        <w:t xml:space="preserve"> </w:t>
      </w:r>
      <w:r w:rsidRPr="00E52132">
        <w:rPr>
          <w:rStyle w:val="fontstyle01"/>
          <w:rFonts w:ascii="Times New Roman" w:hAnsi="Times New Roman" w:cs="Times New Roman"/>
          <w:i/>
          <w:lang w:val="en-US"/>
        </w:rPr>
        <w:t>Decretum</w:t>
      </w:r>
      <w:r w:rsidRPr="00E52132">
        <w:rPr>
          <w:rStyle w:val="fontstyle01"/>
          <w:rFonts w:ascii="Times New Roman" w:hAnsi="Times New Roman" w:cs="Times New Roman"/>
          <w:lang w:val="en-US"/>
        </w:rPr>
        <w:t xml:space="preserve">, </w:t>
      </w:r>
      <w:r w:rsidRPr="00E52132">
        <w:rPr>
          <w:rStyle w:val="fontstyle21"/>
          <w:rFonts w:ascii="Times New Roman" w:hAnsi="Times New Roman" w:cs="Times New Roman"/>
          <w:lang w:val="en-US"/>
        </w:rPr>
        <w:t xml:space="preserve">pp. 2235-2236, 1943, in </w:t>
      </w:r>
      <w:r w:rsidRPr="00E52132">
        <w:rPr>
          <w:rStyle w:val="fontstyle01"/>
          <w:rFonts w:ascii="Times New Roman" w:hAnsi="Times New Roman" w:cs="Times New Roman"/>
          <w:i/>
          <w:lang w:val="en-US"/>
        </w:rPr>
        <w:t>Leges ecclesiae</w:t>
      </w:r>
      <w:r w:rsidRPr="00E52132">
        <w:rPr>
          <w:rStyle w:val="fontstyle01"/>
          <w:rFonts w:ascii="Times New Roman" w:hAnsi="Times New Roman" w:cs="Times New Roman"/>
          <w:lang w:val="en-US"/>
        </w:rPr>
        <w:t xml:space="preserve"> Vol. 2 ,1942-1958.</w:t>
      </w:r>
    </w:p>
  </w:footnote>
  <w:footnote w:id="406">
    <w:p w14:paraId="4F518943" w14:textId="77777777" w:rsidR="00F202D0" w:rsidRPr="00E52132" w:rsidRDefault="00F202D0" w:rsidP="00140247">
      <w:pPr>
        <w:pStyle w:val="Testonotaapidipagina"/>
        <w:rPr>
          <w:lang w:val="en-US"/>
        </w:rPr>
      </w:pPr>
      <w:r>
        <w:rPr>
          <w:rStyle w:val="Rimandonotaapidipagina"/>
        </w:rPr>
        <w:footnoteRef/>
      </w:r>
      <w:r w:rsidRPr="00E52132">
        <w:rPr>
          <w:lang w:val="en-US"/>
        </w:rPr>
        <w:t xml:space="preserve"> </w:t>
      </w:r>
      <w:r w:rsidRPr="00E52132">
        <w:rPr>
          <w:rFonts w:ascii="Times New Roman" w:hAnsi="Times New Roman" w:cs="Times New Roman"/>
          <w:i/>
          <w:sz w:val="24"/>
          <w:szCs w:val="24"/>
          <w:lang w:val="en-US"/>
        </w:rPr>
        <w:t>Ibidem.</w:t>
      </w:r>
    </w:p>
  </w:footnote>
  <w:footnote w:id="407">
    <w:p w14:paraId="060B9CAB" w14:textId="77777777" w:rsidR="00F202D0" w:rsidRPr="00E52132" w:rsidRDefault="00F202D0" w:rsidP="00140247">
      <w:pPr>
        <w:pStyle w:val="Testonotaapidipagina"/>
        <w:rPr>
          <w:lang w:val="en-US"/>
        </w:rPr>
      </w:pPr>
      <w:r>
        <w:rPr>
          <w:rStyle w:val="Rimandonotaapidipagina"/>
        </w:rPr>
        <w:footnoteRef/>
      </w:r>
      <w:r w:rsidRPr="00E52132">
        <w:rPr>
          <w:lang w:val="en-US"/>
        </w:rPr>
        <w:t xml:space="preserve"> </w:t>
      </w:r>
      <w:r w:rsidRPr="00E52132">
        <w:rPr>
          <w:rFonts w:ascii="Times New Roman" w:hAnsi="Times New Roman" w:cs="Times New Roman"/>
          <w:i/>
          <w:sz w:val="24"/>
          <w:szCs w:val="24"/>
          <w:lang w:val="en-US"/>
        </w:rPr>
        <w:t>Ibidem.</w:t>
      </w:r>
    </w:p>
  </w:footnote>
  <w:footnote w:id="408">
    <w:p w14:paraId="068610FC" w14:textId="77777777" w:rsidR="00F202D0" w:rsidRPr="00E52132" w:rsidRDefault="00F202D0" w:rsidP="00140247">
      <w:pPr>
        <w:pStyle w:val="Testonotaapidipagina"/>
        <w:rPr>
          <w:lang w:val="en-US"/>
        </w:rPr>
      </w:pPr>
      <w:r>
        <w:rPr>
          <w:rStyle w:val="Rimandonotaapidipagina"/>
        </w:rPr>
        <w:footnoteRef/>
      </w:r>
      <w:r w:rsidRPr="00E52132">
        <w:rPr>
          <w:lang w:val="en-US"/>
        </w:rPr>
        <w:t xml:space="preserve"> </w:t>
      </w:r>
      <w:r w:rsidRPr="00E52132">
        <w:rPr>
          <w:rFonts w:ascii="Times New Roman" w:hAnsi="Times New Roman" w:cs="Times New Roman"/>
          <w:i/>
          <w:sz w:val="24"/>
          <w:szCs w:val="24"/>
          <w:lang w:val="en-US"/>
        </w:rPr>
        <w:t>Ibidem.</w:t>
      </w:r>
    </w:p>
    <w:p w14:paraId="60464440" w14:textId="77777777" w:rsidR="00F202D0" w:rsidRPr="00E52132" w:rsidRDefault="00F202D0" w:rsidP="00140247">
      <w:pPr>
        <w:pStyle w:val="Testonotaapidipagina"/>
        <w:rPr>
          <w:lang w:val="en-US"/>
        </w:rPr>
      </w:pPr>
    </w:p>
  </w:footnote>
  <w:footnote w:id="409">
    <w:p w14:paraId="02B527A4" w14:textId="77777777" w:rsidR="00F202D0" w:rsidRPr="005636A4" w:rsidRDefault="00F202D0" w:rsidP="00140247">
      <w:pPr>
        <w:rPr>
          <w:rFonts w:ascii="Times New Roman" w:hAnsi="Times New Roman" w:cs="Times New Roman"/>
          <w:sz w:val="24"/>
          <w:szCs w:val="24"/>
          <w:lang w:val="en-US"/>
        </w:rPr>
      </w:pPr>
      <w:r>
        <w:rPr>
          <w:rStyle w:val="Rimandonotaapidipagina"/>
        </w:rPr>
        <w:footnoteRef/>
      </w:r>
      <w:r w:rsidRPr="00E52132">
        <w:rPr>
          <w:lang w:val="en-US"/>
        </w:rPr>
        <w:t xml:space="preserve"> </w:t>
      </w:r>
      <w:r w:rsidRPr="00656339">
        <w:rPr>
          <w:rFonts w:ascii="Times New Roman" w:hAnsi="Times New Roman" w:cs="Times New Roman"/>
          <w:i/>
          <w:sz w:val="24"/>
          <w:szCs w:val="24"/>
          <w:lang w:val="en-US"/>
        </w:rPr>
        <w:t xml:space="preserve">Statuta, </w:t>
      </w:r>
      <w:r w:rsidRPr="00656339">
        <w:rPr>
          <w:rFonts w:ascii="Times New Roman" w:hAnsi="Times New Roman" w:cs="Times New Roman"/>
          <w:sz w:val="24"/>
          <w:szCs w:val="24"/>
          <w:lang w:val="en-US"/>
        </w:rPr>
        <w:t xml:space="preserve">pp. 2392-2394, 1946, in </w:t>
      </w:r>
      <w:r w:rsidRPr="00656339">
        <w:rPr>
          <w:rFonts w:ascii="Times New Roman" w:hAnsi="Times New Roman" w:cs="Times New Roman"/>
          <w:i/>
          <w:sz w:val="24"/>
          <w:szCs w:val="24"/>
          <w:lang w:val="en-US"/>
        </w:rPr>
        <w:t xml:space="preserve">Leges ecclesiae </w:t>
      </w:r>
      <w:r>
        <w:rPr>
          <w:rFonts w:ascii="Times New Roman" w:hAnsi="Times New Roman" w:cs="Times New Roman"/>
          <w:sz w:val="24"/>
          <w:szCs w:val="24"/>
          <w:lang w:val="en-US"/>
        </w:rPr>
        <w:t>Vol.2, 1942-1958.</w:t>
      </w:r>
    </w:p>
  </w:footnote>
  <w:footnote w:id="410">
    <w:p w14:paraId="7ABE70A1" w14:textId="77777777" w:rsidR="00F202D0" w:rsidRPr="00E52132" w:rsidRDefault="00F202D0" w:rsidP="00140247">
      <w:pPr>
        <w:pStyle w:val="Testonotaapidipagina"/>
        <w:rPr>
          <w:lang w:val="en-US"/>
        </w:rPr>
      </w:pPr>
      <w:r>
        <w:rPr>
          <w:rStyle w:val="Rimandonotaapidipagina"/>
        </w:rPr>
        <w:footnoteRef/>
      </w:r>
      <w:r w:rsidRPr="00E52132">
        <w:rPr>
          <w:lang w:val="en-US"/>
        </w:rPr>
        <w:t xml:space="preserve"> </w:t>
      </w:r>
      <w:r w:rsidRPr="00E52132">
        <w:rPr>
          <w:rFonts w:ascii="Times New Roman" w:hAnsi="Times New Roman" w:cs="Times New Roman"/>
          <w:i/>
          <w:sz w:val="24"/>
          <w:szCs w:val="24"/>
          <w:lang w:val="en-US"/>
        </w:rPr>
        <w:t>Ibidem.</w:t>
      </w:r>
    </w:p>
  </w:footnote>
  <w:footnote w:id="411">
    <w:p w14:paraId="76F3B737" w14:textId="77777777" w:rsidR="00F202D0" w:rsidRPr="00E52132" w:rsidRDefault="00F202D0" w:rsidP="00140247">
      <w:pPr>
        <w:pStyle w:val="Testonotaapidipagina"/>
        <w:rPr>
          <w:lang w:val="en-US"/>
        </w:rPr>
      </w:pPr>
      <w:r>
        <w:rPr>
          <w:rStyle w:val="Rimandonotaapidipagina"/>
        </w:rPr>
        <w:footnoteRef/>
      </w:r>
      <w:r w:rsidRPr="00E52132">
        <w:rPr>
          <w:lang w:val="en-US"/>
        </w:rPr>
        <w:t xml:space="preserve"> </w:t>
      </w:r>
      <w:r w:rsidRPr="00E52132">
        <w:rPr>
          <w:rFonts w:ascii="Times New Roman" w:hAnsi="Times New Roman" w:cs="Times New Roman"/>
          <w:i/>
          <w:sz w:val="24"/>
          <w:szCs w:val="24"/>
          <w:lang w:val="en-US"/>
        </w:rPr>
        <w:t>Ibidem.</w:t>
      </w:r>
    </w:p>
  </w:footnote>
  <w:footnote w:id="412">
    <w:p w14:paraId="7EC8AAF1" w14:textId="77777777" w:rsidR="00F202D0" w:rsidRDefault="00F202D0" w:rsidP="00140247">
      <w:pPr>
        <w:pStyle w:val="Testonotaapidipagina"/>
      </w:pPr>
      <w:r>
        <w:rPr>
          <w:rStyle w:val="Rimandonotaapidipagina"/>
        </w:rPr>
        <w:footnoteRef/>
      </w:r>
      <w:r w:rsidRPr="00F50054">
        <w:rPr>
          <w:rFonts w:ascii="Times New Roman" w:hAnsi="Times New Roman" w:cs="Times New Roman"/>
          <w:i/>
          <w:sz w:val="24"/>
          <w:szCs w:val="24"/>
        </w:rPr>
        <w:t>Ibidem</w:t>
      </w:r>
      <w:r>
        <w:rPr>
          <w:rFonts w:ascii="Times New Roman" w:hAnsi="Times New Roman" w:cs="Times New Roman"/>
          <w:i/>
          <w:sz w:val="24"/>
          <w:szCs w:val="24"/>
        </w:rPr>
        <w:t>.</w:t>
      </w:r>
    </w:p>
    <w:p w14:paraId="7352EA64" w14:textId="77777777" w:rsidR="00F202D0" w:rsidRDefault="00F202D0" w:rsidP="00140247">
      <w:pPr>
        <w:pStyle w:val="Testonotaapidipagina"/>
      </w:pPr>
    </w:p>
  </w:footnote>
  <w:footnote w:id="413">
    <w:p w14:paraId="4EF6EE7F" w14:textId="77777777" w:rsidR="00F202D0" w:rsidRPr="00802727" w:rsidRDefault="00F202D0">
      <w:pPr>
        <w:pStyle w:val="Testonotaapidipagina"/>
        <w:rPr>
          <w:rFonts w:ascii="Times New Roman" w:hAnsi="Times New Roman" w:cs="Times New Roman"/>
          <w:sz w:val="24"/>
          <w:szCs w:val="24"/>
        </w:rPr>
      </w:pPr>
      <w:r>
        <w:rPr>
          <w:rStyle w:val="Rimandonotaapidipagina"/>
        </w:rPr>
        <w:footnoteRef/>
      </w:r>
      <w:r>
        <w:t xml:space="preserve"> </w:t>
      </w:r>
      <w:r w:rsidRPr="00802727">
        <w:rPr>
          <w:rFonts w:ascii="Times New Roman" w:hAnsi="Times New Roman" w:cs="Times New Roman"/>
          <w:sz w:val="24"/>
          <w:szCs w:val="24"/>
        </w:rPr>
        <w:t>Vedi figura</w:t>
      </w:r>
      <w:r>
        <w:rPr>
          <w:rFonts w:ascii="Times New Roman" w:hAnsi="Times New Roman" w:cs="Times New Roman"/>
          <w:sz w:val="24"/>
          <w:szCs w:val="24"/>
        </w:rPr>
        <w:t xml:space="preserve"> 17</w:t>
      </w:r>
      <w:r w:rsidRPr="00802727">
        <w:rPr>
          <w:rFonts w:ascii="Times New Roman" w:hAnsi="Times New Roman" w:cs="Times New Roman"/>
          <w:sz w:val="24"/>
          <w:szCs w:val="24"/>
        </w:rPr>
        <w:t xml:space="preserve"> in Appendice.</w:t>
      </w:r>
    </w:p>
  </w:footnote>
  <w:footnote w:id="414">
    <w:p w14:paraId="722854D3" w14:textId="77777777" w:rsidR="00F202D0" w:rsidRPr="005176D8" w:rsidRDefault="00F202D0">
      <w:pPr>
        <w:pStyle w:val="Testonotaapidipagina"/>
        <w:rPr>
          <w:rFonts w:ascii="Times New Roman" w:hAnsi="Times New Roman" w:cs="Times New Roman"/>
          <w:sz w:val="24"/>
          <w:szCs w:val="24"/>
        </w:rPr>
      </w:pPr>
      <w:r>
        <w:rPr>
          <w:rStyle w:val="Rimandonotaapidipagina"/>
        </w:rPr>
        <w:footnoteRef/>
      </w:r>
      <w:r>
        <w:t xml:space="preserve"> </w:t>
      </w:r>
      <w:r w:rsidRPr="005176D8">
        <w:rPr>
          <w:rFonts w:ascii="Times New Roman" w:hAnsi="Times New Roman" w:cs="Times New Roman"/>
          <w:sz w:val="24"/>
          <w:szCs w:val="24"/>
        </w:rPr>
        <w:t>N.</w:t>
      </w:r>
      <w:r>
        <w:rPr>
          <w:rFonts w:ascii="Times New Roman" w:hAnsi="Times New Roman" w:cs="Times New Roman"/>
          <w:sz w:val="24"/>
          <w:szCs w:val="24"/>
        </w:rPr>
        <w:t xml:space="preserve"> </w:t>
      </w:r>
      <w:r w:rsidRPr="005176D8">
        <w:rPr>
          <w:rFonts w:ascii="Times New Roman" w:hAnsi="Times New Roman" w:cs="Times New Roman"/>
          <w:sz w:val="24"/>
          <w:szCs w:val="24"/>
        </w:rPr>
        <w:t xml:space="preserve">Turci, </w:t>
      </w:r>
      <w:r w:rsidRPr="005176D8">
        <w:rPr>
          <w:rFonts w:ascii="Times New Roman" w:hAnsi="Times New Roman" w:cs="Times New Roman"/>
          <w:i/>
          <w:sz w:val="24"/>
          <w:szCs w:val="24"/>
        </w:rPr>
        <w:t>Missione</w:t>
      </w:r>
      <w:r w:rsidRPr="005176D8">
        <w:rPr>
          <w:rFonts w:ascii="Times New Roman" w:hAnsi="Times New Roman" w:cs="Times New Roman"/>
          <w:sz w:val="24"/>
          <w:szCs w:val="24"/>
        </w:rPr>
        <w:t xml:space="preserve">, in </w:t>
      </w:r>
      <w:r w:rsidRPr="005176D8">
        <w:rPr>
          <w:rFonts w:ascii="Times New Roman" w:hAnsi="Times New Roman" w:cs="Times New Roman"/>
          <w:i/>
          <w:sz w:val="24"/>
          <w:szCs w:val="24"/>
        </w:rPr>
        <w:t>Enciclopedia italiana</w:t>
      </w:r>
      <w:r w:rsidRPr="005176D8">
        <w:rPr>
          <w:rFonts w:ascii="Times New Roman" w:hAnsi="Times New Roman" w:cs="Times New Roman"/>
          <w:sz w:val="24"/>
          <w:szCs w:val="24"/>
        </w:rPr>
        <w:t xml:space="preserve">, 1934, cit., </w:t>
      </w:r>
      <w:r w:rsidRPr="005176D8">
        <w:rPr>
          <w:rFonts w:ascii="Times New Roman" w:hAnsi="Times New Roman" w:cs="Times New Roman"/>
          <w:i/>
          <w:sz w:val="24"/>
          <w:szCs w:val="24"/>
        </w:rPr>
        <w:t>passim</w:t>
      </w:r>
      <w:r w:rsidRPr="005176D8">
        <w:rPr>
          <w:rFonts w:ascii="Times New Roman" w:hAnsi="Times New Roman" w:cs="Times New Roman"/>
          <w:sz w:val="24"/>
          <w:szCs w:val="24"/>
        </w:rPr>
        <w:t>.</w:t>
      </w:r>
    </w:p>
  </w:footnote>
  <w:footnote w:id="415">
    <w:p w14:paraId="104B28ED" w14:textId="77777777" w:rsidR="00F202D0" w:rsidRPr="00874758" w:rsidRDefault="00F202D0">
      <w:pPr>
        <w:pStyle w:val="Testonotaapidipagina"/>
        <w:rPr>
          <w:rFonts w:ascii="Times New Roman" w:hAnsi="Times New Roman" w:cs="Times New Roman"/>
          <w:sz w:val="24"/>
          <w:szCs w:val="24"/>
          <w:lang w:val="fr-FR"/>
        </w:rPr>
      </w:pPr>
      <w:r>
        <w:rPr>
          <w:rStyle w:val="Rimandonotaapidipagina"/>
        </w:rPr>
        <w:footnoteRef/>
      </w:r>
      <w:r w:rsidRPr="00874758">
        <w:rPr>
          <w:lang w:val="fr-FR"/>
        </w:rPr>
        <w:t xml:space="preserve"> </w:t>
      </w:r>
      <w:r w:rsidRPr="00874758">
        <w:rPr>
          <w:rFonts w:ascii="Times New Roman" w:hAnsi="Times New Roman" w:cs="Times New Roman"/>
          <w:sz w:val="24"/>
          <w:szCs w:val="24"/>
          <w:lang w:val="fr-FR"/>
        </w:rPr>
        <w:t>B.</w:t>
      </w:r>
      <w:r>
        <w:rPr>
          <w:rFonts w:ascii="Times New Roman" w:hAnsi="Times New Roman" w:cs="Times New Roman"/>
          <w:sz w:val="24"/>
          <w:szCs w:val="24"/>
          <w:lang w:val="fr-FR"/>
        </w:rPr>
        <w:t xml:space="preserve"> </w:t>
      </w:r>
      <w:r w:rsidRPr="00874758">
        <w:rPr>
          <w:rFonts w:ascii="Times New Roman" w:hAnsi="Times New Roman" w:cs="Times New Roman"/>
          <w:sz w:val="24"/>
          <w:szCs w:val="24"/>
          <w:lang w:val="fr-FR"/>
        </w:rPr>
        <w:t>Arens</w:t>
      </w:r>
      <w:r w:rsidRPr="00874758">
        <w:rPr>
          <w:rFonts w:ascii="Times New Roman" w:hAnsi="Times New Roman" w:cs="Times New Roman"/>
          <w:i/>
          <w:sz w:val="24"/>
          <w:szCs w:val="24"/>
          <w:lang w:val="fr-FR"/>
        </w:rPr>
        <w:t>, Manuel des Missions Catholiques</w:t>
      </w:r>
      <w:r w:rsidRPr="00874758">
        <w:rPr>
          <w:rFonts w:ascii="Times New Roman" w:hAnsi="Times New Roman" w:cs="Times New Roman"/>
          <w:sz w:val="24"/>
          <w:szCs w:val="24"/>
          <w:lang w:val="fr-FR"/>
        </w:rPr>
        <w:t>, 1925, pp.8-9.</w:t>
      </w:r>
    </w:p>
  </w:footnote>
  <w:footnote w:id="416">
    <w:p w14:paraId="2E6DD2C2" w14:textId="77777777" w:rsidR="00F202D0" w:rsidRPr="00953EBF"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sidRPr="00953EBF">
        <w:rPr>
          <w:rFonts w:ascii="Times New Roman" w:hAnsi="Times New Roman" w:cs="Times New Roman"/>
          <w:i/>
          <w:sz w:val="24"/>
          <w:szCs w:val="24"/>
        </w:rPr>
        <w:t>Codex iuris canonici</w:t>
      </w:r>
      <w:r w:rsidRPr="00953EBF">
        <w:rPr>
          <w:rFonts w:ascii="Times New Roman" w:hAnsi="Times New Roman" w:cs="Times New Roman"/>
          <w:sz w:val="24"/>
          <w:szCs w:val="24"/>
        </w:rPr>
        <w:t>, 1917, can.252.</w:t>
      </w:r>
    </w:p>
  </w:footnote>
  <w:footnote w:id="417">
    <w:p w14:paraId="463B1AF7"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418">
    <w:p w14:paraId="6486624D"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419">
    <w:p w14:paraId="12760562" w14:textId="77777777" w:rsidR="00F202D0" w:rsidRPr="0099036F" w:rsidRDefault="00F202D0" w:rsidP="00140247">
      <w:pPr>
        <w:pStyle w:val="Testonotaapidipagina"/>
        <w:rPr>
          <w:rFonts w:ascii="Times New Roman" w:hAnsi="Times New Roman" w:cs="Times New Roman"/>
          <w:color w:val="0D0D0D" w:themeColor="text1" w:themeTint="F2"/>
          <w:sz w:val="24"/>
          <w:szCs w:val="24"/>
        </w:rPr>
      </w:pPr>
      <w:r>
        <w:rPr>
          <w:rStyle w:val="Rimandonotaapidipagina"/>
        </w:rPr>
        <w:footnoteRef/>
      </w:r>
      <w:r>
        <w:t xml:space="preserve"> </w:t>
      </w:r>
      <w:r w:rsidRPr="008F1B61">
        <w:rPr>
          <w:rFonts w:ascii="Times New Roman" w:hAnsi="Times New Roman" w:cs="Times New Roman"/>
          <w:i/>
          <w:color w:val="0D0D0D" w:themeColor="text1" w:themeTint="F2"/>
          <w:sz w:val="24"/>
          <w:szCs w:val="24"/>
        </w:rPr>
        <w:t>Pontificio collegio urbano</w:t>
      </w:r>
      <w:r w:rsidRPr="0099036F">
        <w:rPr>
          <w:rFonts w:ascii="Times New Roman" w:hAnsi="Times New Roman" w:cs="Times New Roman"/>
          <w:color w:val="0D0D0D" w:themeColor="text1" w:themeTint="F2"/>
          <w:sz w:val="24"/>
          <w:szCs w:val="24"/>
        </w:rPr>
        <w:t xml:space="preserve"> in </w:t>
      </w:r>
      <w:hyperlink r:id="rId23" w:history="1">
        <w:r w:rsidRPr="0099036F">
          <w:rPr>
            <w:rStyle w:val="Collegamentoipertestuale"/>
            <w:rFonts w:ascii="Times New Roman" w:hAnsi="Times New Roman" w:cs="Times New Roman"/>
            <w:color w:val="0D0D0D" w:themeColor="text1" w:themeTint="F2"/>
            <w:sz w:val="24"/>
            <w:szCs w:val="24"/>
          </w:rPr>
          <w:t>http://www.archiviostoricopropaganda.va/content/archiviostoricopropagandafide/it/la-congregazione/collegio-urbano.html</w:t>
        </w:r>
      </w:hyperlink>
    </w:p>
    <w:p w14:paraId="54B9392C" w14:textId="77777777" w:rsidR="00F202D0" w:rsidRDefault="00F202D0" w:rsidP="00140247">
      <w:pPr>
        <w:pStyle w:val="Testonotaapidipagina"/>
      </w:pPr>
      <w:r w:rsidRPr="0099036F">
        <w:rPr>
          <w:rFonts w:ascii="Times New Roman" w:hAnsi="Times New Roman" w:cs="Times New Roman"/>
          <w:color w:val="0D0D0D" w:themeColor="text1" w:themeTint="F2"/>
          <w:sz w:val="24"/>
          <w:szCs w:val="24"/>
        </w:rPr>
        <w:t>Consultato 31/07/22.</w:t>
      </w:r>
    </w:p>
  </w:footnote>
  <w:footnote w:id="420">
    <w:p w14:paraId="60D32C24" w14:textId="77777777" w:rsidR="00F202D0" w:rsidRDefault="00F202D0">
      <w:pPr>
        <w:pStyle w:val="Testonotaapidipagina"/>
      </w:pPr>
      <w:r>
        <w:rPr>
          <w:rStyle w:val="Rimandonotaapidipagina"/>
        </w:rPr>
        <w:footnoteRef/>
      </w:r>
      <w:r>
        <w:t xml:space="preserve"> </w:t>
      </w:r>
      <w:r w:rsidRPr="008408AF">
        <w:rPr>
          <w:rFonts w:ascii="Times New Roman" w:hAnsi="Times New Roman" w:cs="Times New Roman"/>
          <w:sz w:val="24"/>
          <w:szCs w:val="24"/>
        </w:rPr>
        <w:t>P.</w:t>
      </w:r>
      <w:r>
        <w:rPr>
          <w:rFonts w:ascii="Times New Roman" w:hAnsi="Times New Roman" w:cs="Times New Roman"/>
          <w:sz w:val="24"/>
          <w:szCs w:val="24"/>
        </w:rPr>
        <w:t xml:space="preserve"> </w:t>
      </w:r>
      <w:r w:rsidRPr="008408AF">
        <w:rPr>
          <w:rFonts w:ascii="Times New Roman" w:hAnsi="Times New Roman" w:cs="Times New Roman"/>
          <w:sz w:val="24"/>
          <w:szCs w:val="24"/>
        </w:rPr>
        <w:t xml:space="preserve">Borgna, </w:t>
      </w:r>
      <w:r w:rsidRPr="008408AF">
        <w:rPr>
          <w:rFonts w:ascii="Times New Roman" w:hAnsi="Times New Roman" w:cs="Times New Roman"/>
          <w:i/>
          <w:sz w:val="24"/>
          <w:szCs w:val="24"/>
        </w:rPr>
        <w:t>Collegio Urbano di Propaganda fide</w:t>
      </w:r>
      <w:r w:rsidRPr="008408AF">
        <w:rPr>
          <w:rFonts w:ascii="Times New Roman" w:hAnsi="Times New Roman" w:cs="Times New Roman"/>
          <w:sz w:val="24"/>
          <w:szCs w:val="24"/>
        </w:rPr>
        <w:t xml:space="preserve">, in </w:t>
      </w:r>
      <w:r w:rsidRPr="008408AF">
        <w:rPr>
          <w:rFonts w:ascii="Times New Roman" w:hAnsi="Times New Roman" w:cs="Times New Roman"/>
          <w:i/>
          <w:sz w:val="24"/>
          <w:szCs w:val="24"/>
        </w:rPr>
        <w:t>Enciclopedia cattolica</w:t>
      </w:r>
      <w:r w:rsidRPr="008408AF">
        <w:rPr>
          <w:rFonts w:ascii="Times New Roman" w:hAnsi="Times New Roman" w:cs="Times New Roman"/>
          <w:sz w:val="24"/>
          <w:szCs w:val="24"/>
        </w:rPr>
        <w:t>, Vol.3, 1948, Roma, p. 1962.</w:t>
      </w:r>
    </w:p>
  </w:footnote>
  <w:footnote w:id="421">
    <w:p w14:paraId="20515525" w14:textId="77777777" w:rsidR="00F202D0" w:rsidRPr="008408AF"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8408AF">
        <w:rPr>
          <w:rFonts w:ascii="Times New Roman" w:hAnsi="Times New Roman" w:cs="Times New Roman"/>
          <w:i/>
          <w:sz w:val="24"/>
          <w:szCs w:val="24"/>
        </w:rPr>
        <w:t>Ibidem.</w:t>
      </w:r>
    </w:p>
  </w:footnote>
  <w:footnote w:id="422">
    <w:p w14:paraId="6B3C2DC7" w14:textId="77777777" w:rsidR="00F202D0" w:rsidRPr="008408AF"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8408AF">
        <w:rPr>
          <w:rFonts w:ascii="Times New Roman" w:hAnsi="Times New Roman" w:cs="Times New Roman"/>
          <w:i/>
          <w:sz w:val="24"/>
          <w:szCs w:val="24"/>
        </w:rPr>
        <w:t>Ibidem.</w:t>
      </w:r>
    </w:p>
  </w:footnote>
  <w:footnote w:id="423">
    <w:p w14:paraId="7EB5141D" w14:textId="77777777" w:rsidR="00F202D0" w:rsidRPr="008408AF" w:rsidRDefault="00F202D0" w:rsidP="00140247">
      <w:pPr>
        <w:pStyle w:val="Testonotaapidipagina"/>
        <w:rPr>
          <w:rFonts w:ascii="Times New Roman" w:hAnsi="Times New Roman" w:cs="Times New Roman"/>
          <w:i/>
          <w:sz w:val="24"/>
          <w:szCs w:val="24"/>
        </w:rPr>
      </w:pPr>
      <w:r>
        <w:rPr>
          <w:rStyle w:val="Rimandonotaapidipagina"/>
        </w:rPr>
        <w:footnoteRef/>
      </w:r>
      <w:r>
        <w:t xml:space="preserve"> </w:t>
      </w:r>
      <w:r w:rsidRPr="008408AF">
        <w:rPr>
          <w:rFonts w:ascii="Times New Roman" w:hAnsi="Times New Roman" w:cs="Times New Roman"/>
          <w:i/>
          <w:sz w:val="24"/>
          <w:szCs w:val="24"/>
        </w:rPr>
        <w:t>Ibidem.</w:t>
      </w:r>
    </w:p>
    <w:p w14:paraId="03D1A13D" w14:textId="77777777" w:rsidR="00F202D0" w:rsidRDefault="00F202D0">
      <w:pPr>
        <w:pStyle w:val="Testonotaapidipagina"/>
      </w:pPr>
    </w:p>
  </w:footnote>
  <w:footnote w:id="424">
    <w:p w14:paraId="1C2348A6" w14:textId="77777777" w:rsidR="00F202D0" w:rsidRPr="0099036F" w:rsidRDefault="00F202D0" w:rsidP="00140247">
      <w:pPr>
        <w:rPr>
          <w:rFonts w:ascii="Times New Roman" w:hAnsi="Times New Roman" w:cs="Times New Roman"/>
          <w:sz w:val="24"/>
          <w:szCs w:val="24"/>
        </w:rPr>
      </w:pPr>
      <w:r>
        <w:rPr>
          <w:rStyle w:val="Rimandonotaapidipagina"/>
        </w:rPr>
        <w:footnoteRef/>
      </w:r>
      <w:r>
        <w:t xml:space="preserve"> </w:t>
      </w:r>
      <w:r w:rsidRPr="00F52470">
        <w:rPr>
          <w:rFonts w:ascii="Times New Roman" w:hAnsi="Times New Roman" w:cs="Times New Roman"/>
          <w:i/>
          <w:sz w:val="24"/>
          <w:szCs w:val="24"/>
        </w:rPr>
        <w:t>Instructio</w:t>
      </w:r>
      <w:r>
        <w:rPr>
          <w:rFonts w:ascii="Times New Roman" w:hAnsi="Times New Roman" w:cs="Times New Roman"/>
          <w:sz w:val="24"/>
          <w:szCs w:val="24"/>
        </w:rPr>
        <w:t xml:space="preserve">, pp. 689-690, 1 maggio 1924,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 I, 1918-1941.</w:t>
      </w:r>
    </w:p>
  </w:footnote>
  <w:footnote w:id="425">
    <w:p w14:paraId="10A6D795"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426">
    <w:p w14:paraId="6BA92959" w14:textId="77777777" w:rsidR="00F202D0" w:rsidRPr="0044233F" w:rsidRDefault="00F202D0" w:rsidP="00140247">
      <w:pPr>
        <w:rPr>
          <w:rFonts w:ascii="Times New Roman" w:hAnsi="Times New Roman" w:cs="Times New Roman"/>
          <w:sz w:val="24"/>
          <w:szCs w:val="24"/>
        </w:rPr>
      </w:pPr>
      <w:r>
        <w:rPr>
          <w:rStyle w:val="Rimandonotaapidipagina"/>
        </w:rPr>
        <w:footnoteRef/>
      </w:r>
      <w:r>
        <w:t xml:space="preserve"> </w:t>
      </w:r>
      <w:r w:rsidRPr="00A907BD">
        <w:rPr>
          <w:rFonts w:ascii="Times New Roman" w:hAnsi="Times New Roman" w:cs="Times New Roman"/>
          <w:i/>
          <w:sz w:val="24"/>
          <w:szCs w:val="24"/>
        </w:rPr>
        <w:t>Decretum</w:t>
      </w:r>
      <w:r>
        <w:rPr>
          <w:rFonts w:ascii="Times New Roman" w:hAnsi="Times New Roman" w:cs="Times New Roman"/>
          <w:sz w:val="24"/>
          <w:szCs w:val="24"/>
        </w:rPr>
        <w:t xml:space="preserve">, pp. 1114-1115, 1 dicembre 1929,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427">
    <w:p w14:paraId="53A41A57" w14:textId="77777777" w:rsidR="00F202D0" w:rsidRDefault="00F202D0">
      <w:pPr>
        <w:pStyle w:val="Testonotaapidipagina"/>
      </w:pPr>
      <w:r>
        <w:rPr>
          <w:rStyle w:val="Rimandonotaapidipagina"/>
        </w:rPr>
        <w:footnoteRef/>
      </w:r>
      <w:r>
        <w:t xml:space="preserve"> </w:t>
      </w:r>
      <w:r w:rsidRPr="00AC68C3">
        <w:rPr>
          <w:rFonts w:ascii="Times New Roman" w:hAnsi="Times New Roman" w:cs="Times New Roman"/>
          <w:sz w:val="24"/>
          <w:szCs w:val="24"/>
        </w:rPr>
        <w:t>S.</w:t>
      </w:r>
      <w:r>
        <w:rPr>
          <w:rFonts w:ascii="Times New Roman" w:hAnsi="Times New Roman" w:cs="Times New Roman"/>
          <w:sz w:val="24"/>
          <w:szCs w:val="24"/>
        </w:rPr>
        <w:t xml:space="preserve"> </w:t>
      </w:r>
      <w:r w:rsidRPr="00AC68C3">
        <w:rPr>
          <w:rFonts w:ascii="Times New Roman" w:hAnsi="Times New Roman" w:cs="Times New Roman"/>
          <w:sz w:val="24"/>
          <w:szCs w:val="24"/>
        </w:rPr>
        <w:t xml:space="preserve">Paventi, </w:t>
      </w:r>
      <w:r w:rsidRPr="00AC68C3">
        <w:rPr>
          <w:rFonts w:ascii="Times New Roman" w:hAnsi="Times New Roman" w:cs="Times New Roman"/>
          <w:i/>
          <w:sz w:val="24"/>
          <w:szCs w:val="24"/>
        </w:rPr>
        <w:t>Collegio di S.Pietro Apostolo</w:t>
      </w:r>
      <w:r w:rsidRPr="00AC68C3">
        <w:rPr>
          <w:rFonts w:ascii="Times New Roman" w:hAnsi="Times New Roman" w:cs="Times New Roman"/>
          <w:sz w:val="24"/>
          <w:szCs w:val="24"/>
        </w:rPr>
        <w:t xml:space="preserve">, in </w:t>
      </w:r>
      <w:r w:rsidRPr="00AC68C3">
        <w:rPr>
          <w:rFonts w:ascii="Times New Roman" w:hAnsi="Times New Roman" w:cs="Times New Roman"/>
          <w:i/>
          <w:sz w:val="24"/>
          <w:szCs w:val="24"/>
        </w:rPr>
        <w:t>Enciclopedia cattolica</w:t>
      </w:r>
      <w:r w:rsidRPr="00AC68C3">
        <w:rPr>
          <w:rFonts w:ascii="Times New Roman" w:hAnsi="Times New Roman" w:cs="Times New Roman"/>
          <w:sz w:val="24"/>
          <w:szCs w:val="24"/>
        </w:rPr>
        <w:t>, Vol.3, 1948, Roma, p. 1960.</w:t>
      </w:r>
    </w:p>
  </w:footnote>
  <w:footnote w:id="428">
    <w:p w14:paraId="599361BB"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p w14:paraId="061932E1" w14:textId="77777777" w:rsidR="00F202D0" w:rsidRDefault="00F202D0">
      <w:pPr>
        <w:pStyle w:val="Testonotaapidipagina"/>
      </w:pPr>
    </w:p>
  </w:footnote>
  <w:footnote w:id="429">
    <w:p w14:paraId="0FC1A374" w14:textId="77777777" w:rsidR="00F202D0" w:rsidRDefault="00F202D0" w:rsidP="00140247">
      <w:pPr>
        <w:rPr>
          <w:rFonts w:ascii="Times New Roman" w:hAnsi="Times New Roman" w:cs="Times New Roman"/>
          <w:sz w:val="24"/>
          <w:szCs w:val="24"/>
        </w:rPr>
      </w:pPr>
      <w:r>
        <w:rPr>
          <w:rStyle w:val="Rimandonotaapidipagina"/>
        </w:rPr>
        <w:footnoteRef/>
      </w:r>
      <w:r>
        <w:t xml:space="preserve"> </w:t>
      </w:r>
      <w:r w:rsidRPr="00B81A6A">
        <w:rPr>
          <w:rFonts w:ascii="Times New Roman" w:hAnsi="Times New Roman" w:cs="Times New Roman"/>
          <w:i/>
          <w:sz w:val="24"/>
          <w:szCs w:val="24"/>
        </w:rPr>
        <w:t>Const</w:t>
      </w:r>
      <w:r w:rsidRPr="00B81A6A">
        <w:rPr>
          <w:rFonts w:ascii="Times New Roman" w:hAnsi="Times New Roman" w:cs="Times New Roman"/>
          <w:sz w:val="24"/>
          <w:szCs w:val="24"/>
        </w:rPr>
        <w:t>., pp</w:t>
      </w:r>
      <w:r>
        <w:rPr>
          <w:rFonts w:ascii="Times New Roman" w:hAnsi="Times New Roman" w:cs="Times New Roman"/>
          <w:sz w:val="24"/>
          <w:szCs w:val="24"/>
        </w:rPr>
        <w:t>.</w:t>
      </w:r>
      <w:r w:rsidRPr="00B81A6A">
        <w:rPr>
          <w:rFonts w:ascii="Times New Roman" w:hAnsi="Times New Roman" w:cs="Times New Roman"/>
          <w:sz w:val="24"/>
          <w:szCs w:val="24"/>
        </w:rPr>
        <w:t xml:space="preserve"> 1823-1826, 6 maggio 1937, in </w:t>
      </w:r>
      <w:r w:rsidRPr="00B81A6A">
        <w:rPr>
          <w:rFonts w:ascii="Times New Roman" w:hAnsi="Times New Roman" w:cs="Times New Roman"/>
          <w:i/>
          <w:sz w:val="24"/>
          <w:szCs w:val="24"/>
        </w:rPr>
        <w:t>Leges ecclesiae</w:t>
      </w:r>
      <w:r w:rsidRPr="00B81A6A">
        <w:rPr>
          <w:rFonts w:ascii="Times New Roman" w:hAnsi="Times New Roman" w:cs="Times New Roman"/>
          <w:sz w:val="24"/>
          <w:szCs w:val="24"/>
        </w:rPr>
        <w:t xml:space="preserve"> Vol. I, 1918-1941.</w:t>
      </w:r>
    </w:p>
    <w:p w14:paraId="12A85815" w14:textId="77777777" w:rsidR="00F202D0" w:rsidRPr="001A7C30" w:rsidRDefault="00F202D0" w:rsidP="00140247">
      <w:pPr>
        <w:rPr>
          <w:rFonts w:ascii="Times New Roman" w:hAnsi="Times New Roman" w:cs="Times New Roman"/>
          <w:color w:val="000000" w:themeColor="text1"/>
          <w:sz w:val="24"/>
          <w:szCs w:val="24"/>
        </w:rPr>
      </w:pPr>
      <w:r w:rsidRPr="008F1B61">
        <w:rPr>
          <w:rFonts w:ascii="Times New Roman" w:hAnsi="Times New Roman" w:cs="Times New Roman"/>
          <w:i/>
          <w:color w:val="000000" w:themeColor="text1"/>
          <w:sz w:val="24"/>
          <w:szCs w:val="24"/>
        </w:rPr>
        <w:t>Pontificio collegio pio romeno</w:t>
      </w:r>
      <w:r w:rsidRPr="001A7C30">
        <w:rPr>
          <w:rFonts w:ascii="Times New Roman" w:hAnsi="Times New Roman" w:cs="Times New Roman"/>
          <w:color w:val="000000" w:themeColor="text1"/>
          <w:sz w:val="24"/>
          <w:szCs w:val="24"/>
        </w:rPr>
        <w:t xml:space="preserve"> in </w:t>
      </w:r>
      <w:hyperlink r:id="rId24" w:history="1">
        <w:r w:rsidRPr="001A7C30">
          <w:rPr>
            <w:rStyle w:val="Collegamentoipertestuale"/>
            <w:rFonts w:ascii="Times New Roman" w:hAnsi="Times New Roman" w:cs="Times New Roman"/>
            <w:color w:val="000000" w:themeColor="text1"/>
            <w:sz w:val="24"/>
            <w:szCs w:val="24"/>
          </w:rPr>
          <w:t>http://pioromeno.com/</w:t>
        </w:r>
      </w:hyperlink>
    </w:p>
    <w:p w14:paraId="5F47E748" w14:textId="77777777" w:rsidR="00F202D0" w:rsidRPr="001A7C30" w:rsidRDefault="00F202D0" w:rsidP="00140247">
      <w:pPr>
        <w:rPr>
          <w:rFonts w:ascii="Times New Roman" w:hAnsi="Times New Roman" w:cs="Times New Roman"/>
          <w:color w:val="000000" w:themeColor="text1"/>
          <w:sz w:val="24"/>
          <w:szCs w:val="24"/>
        </w:rPr>
      </w:pPr>
      <w:r w:rsidRPr="001A7C30">
        <w:rPr>
          <w:rFonts w:ascii="Times New Roman" w:hAnsi="Times New Roman" w:cs="Times New Roman"/>
          <w:color w:val="000000" w:themeColor="text1"/>
          <w:sz w:val="24"/>
          <w:szCs w:val="24"/>
        </w:rPr>
        <w:t>Consultato il 3/08/22</w:t>
      </w:r>
      <w:r>
        <w:rPr>
          <w:rFonts w:ascii="Times New Roman" w:hAnsi="Times New Roman" w:cs="Times New Roman"/>
          <w:color w:val="000000" w:themeColor="text1"/>
          <w:sz w:val="24"/>
          <w:szCs w:val="24"/>
        </w:rPr>
        <w:t>.</w:t>
      </w:r>
    </w:p>
  </w:footnote>
  <w:footnote w:id="430">
    <w:p w14:paraId="6480A433"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431">
    <w:p w14:paraId="362819B6"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w:t>
      </w:r>
    </w:p>
  </w:footnote>
  <w:footnote w:id="432">
    <w:p w14:paraId="3B6F2526" w14:textId="77777777" w:rsidR="00F202D0" w:rsidRPr="00464380" w:rsidRDefault="00F202D0">
      <w:pPr>
        <w:pStyle w:val="Testonotaapidipagina"/>
        <w:rPr>
          <w:rFonts w:ascii="Times New Roman" w:hAnsi="Times New Roman" w:cs="Times New Roman"/>
          <w:sz w:val="24"/>
          <w:szCs w:val="24"/>
        </w:rPr>
      </w:pPr>
      <w:r>
        <w:rPr>
          <w:rStyle w:val="Rimandonotaapidipagina"/>
        </w:rPr>
        <w:footnoteRef/>
      </w:r>
      <w:r>
        <w:t xml:space="preserve"> </w:t>
      </w:r>
      <w:r w:rsidRPr="00464380">
        <w:rPr>
          <w:rFonts w:ascii="Times New Roman" w:hAnsi="Times New Roman" w:cs="Times New Roman"/>
          <w:sz w:val="24"/>
          <w:szCs w:val="24"/>
        </w:rPr>
        <w:t>L.</w:t>
      </w:r>
      <w:r>
        <w:rPr>
          <w:rFonts w:ascii="Times New Roman" w:hAnsi="Times New Roman" w:cs="Times New Roman"/>
          <w:sz w:val="24"/>
          <w:szCs w:val="24"/>
        </w:rPr>
        <w:t xml:space="preserve"> </w:t>
      </w:r>
      <w:r w:rsidRPr="00464380">
        <w:rPr>
          <w:rFonts w:ascii="Times New Roman" w:hAnsi="Times New Roman" w:cs="Times New Roman"/>
          <w:sz w:val="24"/>
          <w:szCs w:val="24"/>
        </w:rPr>
        <w:t xml:space="preserve">Giambene, </w:t>
      </w:r>
      <w:r w:rsidRPr="00464380">
        <w:rPr>
          <w:rFonts w:ascii="Times New Roman" w:hAnsi="Times New Roman" w:cs="Times New Roman"/>
          <w:i/>
          <w:sz w:val="24"/>
          <w:szCs w:val="24"/>
        </w:rPr>
        <w:t>Missione</w:t>
      </w:r>
      <w:r w:rsidRPr="00464380">
        <w:rPr>
          <w:rFonts w:ascii="Times New Roman" w:hAnsi="Times New Roman" w:cs="Times New Roman"/>
          <w:sz w:val="24"/>
          <w:szCs w:val="24"/>
        </w:rPr>
        <w:t xml:space="preserve">, in </w:t>
      </w:r>
      <w:r w:rsidRPr="00464380">
        <w:rPr>
          <w:rFonts w:ascii="Times New Roman" w:hAnsi="Times New Roman" w:cs="Times New Roman"/>
          <w:i/>
          <w:sz w:val="24"/>
          <w:szCs w:val="24"/>
        </w:rPr>
        <w:t>Enciclopedia italiana</w:t>
      </w:r>
      <w:r w:rsidRPr="00464380">
        <w:rPr>
          <w:rFonts w:ascii="Times New Roman" w:hAnsi="Times New Roman" w:cs="Times New Roman"/>
          <w:sz w:val="24"/>
          <w:szCs w:val="24"/>
        </w:rPr>
        <w:t xml:space="preserve">, 1934, cit., </w:t>
      </w:r>
      <w:r w:rsidRPr="00464380">
        <w:rPr>
          <w:rFonts w:ascii="Times New Roman" w:hAnsi="Times New Roman" w:cs="Times New Roman"/>
          <w:i/>
          <w:sz w:val="24"/>
          <w:szCs w:val="24"/>
        </w:rPr>
        <w:t>passim</w:t>
      </w:r>
      <w:r w:rsidRPr="00464380">
        <w:rPr>
          <w:rFonts w:ascii="Times New Roman" w:hAnsi="Times New Roman" w:cs="Times New Roman"/>
          <w:sz w:val="24"/>
          <w:szCs w:val="24"/>
        </w:rPr>
        <w:t>.</w:t>
      </w:r>
    </w:p>
  </w:footnote>
  <w:footnote w:id="433">
    <w:p w14:paraId="31F0E7F7" w14:textId="77777777" w:rsidR="00F202D0" w:rsidRPr="005F2A75" w:rsidRDefault="00F202D0" w:rsidP="00140247">
      <w:pPr>
        <w:rPr>
          <w:rFonts w:ascii="Times New Roman" w:hAnsi="Times New Roman" w:cs="Times New Roman"/>
          <w:sz w:val="24"/>
          <w:szCs w:val="24"/>
        </w:rPr>
      </w:pPr>
      <w:r>
        <w:rPr>
          <w:rStyle w:val="Rimandonotaapidipagina"/>
        </w:rPr>
        <w:footnoteRef/>
      </w:r>
      <w:r>
        <w:t xml:space="preserve"> </w:t>
      </w:r>
      <w:r w:rsidRPr="00C32620">
        <w:rPr>
          <w:rFonts w:ascii="Times New Roman" w:hAnsi="Times New Roman" w:cs="Times New Roman"/>
          <w:i/>
          <w:sz w:val="24"/>
          <w:szCs w:val="24"/>
        </w:rPr>
        <w:t>Decretum: novum collegium missionum a sancto Alexio de Falcuneriis o. S. M. In urbe erigitur</w:t>
      </w:r>
      <w:r w:rsidRPr="00C32620">
        <w:rPr>
          <w:rFonts w:ascii="Times New Roman" w:hAnsi="Times New Roman" w:cs="Times New Roman"/>
          <w:sz w:val="24"/>
          <w:szCs w:val="24"/>
        </w:rPr>
        <w:t>, in AAS-14-1922, 25 gennaio 1921, p. 15.</w:t>
      </w:r>
    </w:p>
  </w:footnote>
  <w:footnote w:id="434">
    <w:p w14:paraId="01FFBB50" w14:textId="77777777" w:rsidR="00F202D0" w:rsidRDefault="00F202D0" w:rsidP="00140247">
      <w:pPr>
        <w:pStyle w:val="Testonotaapidipagina"/>
      </w:pPr>
      <w:r>
        <w:rPr>
          <w:rStyle w:val="Rimandonotaapidipagina"/>
        </w:rPr>
        <w:footnoteRef/>
      </w:r>
      <w:r>
        <w:t xml:space="preserve"> </w:t>
      </w:r>
      <w:r w:rsidRPr="00464380">
        <w:rPr>
          <w:rFonts w:ascii="Times New Roman" w:hAnsi="Times New Roman" w:cs="Times New Roman"/>
          <w:sz w:val="24"/>
          <w:szCs w:val="24"/>
        </w:rPr>
        <w:t>L.</w:t>
      </w:r>
      <w:r>
        <w:rPr>
          <w:rFonts w:ascii="Times New Roman" w:hAnsi="Times New Roman" w:cs="Times New Roman"/>
          <w:sz w:val="24"/>
          <w:szCs w:val="24"/>
        </w:rPr>
        <w:t xml:space="preserve"> </w:t>
      </w:r>
      <w:r w:rsidRPr="00464380">
        <w:rPr>
          <w:rFonts w:ascii="Times New Roman" w:hAnsi="Times New Roman" w:cs="Times New Roman"/>
          <w:sz w:val="24"/>
          <w:szCs w:val="24"/>
        </w:rPr>
        <w:t xml:space="preserve">Giambene, </w:t>
      </w:r>
      <w:r w:rsidRPr="00464380">
        <w:rPr>
          <w:rFonts w:ascii="Times New Roman" w:hAnsi="Times New Roman" w:cs="Times New Roman"/>
          <w:i/>
          <w:sz w:val="24"/>
          <w:szCs w:val="24"/>
        </w:rPr>
        <w:t>Missione</w:t>
      </w:r>
      <w:r w:rsidRPr="00464380">
        <w:rPr>
          <w:rFonts w:ascii="Times New Roman" w:hAnsi="Times New Roman" w:cs="Times New Roman"/>
          <w:sz w:val="24"/>
          <w:szCs w:val="24"/>
        </w:rPr>
        <w:t>,</w:t>
      </w:r>
      <w:r>
        <w:rPr>
          <w:rFonts w:ascii="Times New Roman" w:hAnsi="Times New Roman" w:cs="Times New Roman"/>
          <w:sz w:val="24"/>
          <w:szCs w:val="24"/>
        </w:rPr>
        <w:t xml:space="preserve"> cit., </w:t>
      </w:r>
      <w:r w:rsidRPr="00464380">
        <w:rPr>
          <w:rFonts w:ascii="Times New Roman" w:hAnsi="Times New Roman" w:cs="Times New Roman"/>
          <w:i/>
          <w:sz w:val="24"/>
          <w:szCs w:val="24"/>
        </w:rPr>
        <w:t>passim</w:t>
      </w:r>
      <w:r>
        <w:rPr>
          <w:rFonts w:ascii="Times New Roman" w:hAnsi="Times New Roman" w:cs="Times New Roman"/>
          <w:sz w:val="24"/>
          <w:szCs w:val="24"/>
        </w:rPr>
        <w:t>.</w:t>
      </w:r>
    </w:p>
  </w:footnote>
  <w:footnote w:id="435">
    <w:p w14:paraId="4AC1919A" w14:textId="77777777" w:rsidR="00F202D0" w:rsidRPr="00874758" w:rsidRDefault="00F202D0">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436">
    <w:p w14:paraId="7EFB9ADC" w14:textId="77777777" w:rsidR="00F202D0" w:rsidRPr="00874758" w:rsidRDefault="00F202D0">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437">
    <w:p w14:paraId="1570D991" w14:textId="77777777" w:rsidR="00F202D0" w:rsidRPr="00874758" w:rsidRDefault="00F202D0">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438">
    <w:p w14:paraId="25575C08" w14:textId="77777777" w:rsidR="00F202D0" w:rsidRPr="00874758" w:rsidRDefault="00F202D0" w:rsidP="00140247">
      <w:pPr>
        <w:rPr>
          <w:rFonts w:ascii="Times New Roman" w:hAnsi="Times New Roman" w:cs="Times New Roman"/>
          <w:sz w:val="24"/>
          <w:szCs w:val="24"/>
        </w:rPr>
      </w:pPr>
      <w:r>
        <w:rPr>
          <w:rStyle w:val="Rimandonotaapidipagina"/>
        </w:rPr>
        <w:footnoteRef/>
      </w:r>
      <w:r w:rsidRPr="00874758">
        <w:t xml:space="preserve"> </w:t>
      </w:r>
      <w:r w:rsidRPr="00874758">
        <w:rPr>
          <w:rFonts w:ascii="Times New Roman" w:hAnsi="Times New Roman" w:cs="Times New Roman"/>
          <w:i/>
          <w:sz w:val="24"/>
          <w:szCs w:val="24"/>
        </w:rPr>
        <w:t>Instructio pro religiosis mulierum institutis, ad tuendam puerorum matrum - que vitam in locis missionum</w:t>
      </w:r>
      <w:r w:rsidRPr="00874758">
        <w:rPr>
          <w:rFonts w:ascii="Times New Roman" w:hAnsi="Times New Roman" w:cs="Times New Roman"/>
          <w:sz w:val="24"/>
          <w:szCs w:val="24"/>
        </w:rPr>
        <w:t>, in AAS28-1936, 11 febbraio 1936, pp. 208-210.</w:t>
      </w:r>
    </w:p>
  </w:footnote>
  <w:footnote w:id="439">
    <w:p w14:paraId="237255E8" w14:textId="77777777" w:rsidR="00F202D0" w:rsidRPr="00874758" w:rsidRDefault="00F202D0">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440">
    <w:p w14:paraId="74566531" w14:textId="77777777" w:rsidR="00F202D0" w:rsidRPr="00874758" w:rsidRDefault="00F202D0">
      <w:pPr>
        <w:pStyle w:val="Testonotaapidipagina"/>
        <w:rPr>
          <w:rFonts w:ascii="Times New Roman" w:hAnsi="Times New Roman" w:cs="Times New Roman"/>
          <w:sz w:val="24"/>
          <w:szCs w:val="24"/>
        </w:rPr>
      </w:pPr>
      <w:r>
        <w:rPr>
          <w:rStyle w:val="Rimandonotaapidipagina"/>
        </w:rPr>
        <w:footnoteRef/>
      </w:r>
      <w:r w:rsidRPr="00874758">
        <w:t xml:space="preserve"> </w:t>
      </w:r>
      <w:r w:rsidRPr="00874758">
        <w:rPr>
          <w:rFonts w:ascii="Times New Roman" w:hAnsi="Times New Roman" w:cs="Times New Roman"/>
          <w:i/>
          <w:sz w:val="24"/>
          <w:szCs w:val="24"/>
        </w:rPr>
        <w:t>Codex iuris canonici</w:t>
      </w:r>
      <w:r w:rsidRPr="00874758">
        <w:rPr>
          <w:rFonts w:ascii="Times New Roman" w:hAnsi="Times New Roman" w:cs="Times New Roman"/>
          <w:sz w:val="24"/>
          <w:szCs w:val="24"/>
        </w:rPr>
        <w:t xml:space="preserve"> 1917, can.492.</w:t>
      </w:r>
    </w:p>
  </w:footnote>
  <w:footnote w:id="441">
    <w:p w14:paraId="317506AE" w14:textId="77777777" w:rsidR="00F202D0" w:rsidRPr="00874758" w:rsidRDefault="00F202D0" w:rsidP="00140247">
      <w:pPr>
        <w:rPr>
          <w:rFonts w:ascii="Times New Roman" w:hAnsi="Times New Roman" w:cs="Times New Roman"/>
          <w:sz w:val="24"/>
          <w:szCs w:val="24"/>
        </w:rPr>
      </w:pPr>
      <w:r>
        <w:rPr>
          <w:rStyle w:val="Rimandonotaapidipagina"/>
        </w:rPr>
        <w:footnoteRef/>
      </w:r>
      <w:r w:rsidRPr="00874758">
        <w:t xml:space="preserve"> </w:t>
      </w:r>
      <w:r w:rsidRPr="00874758">
        <w:rPr>
          <w:rFonts w:ascii="Times New Roman" w:hAnsi="Times New Roman" w:cs="Times New Roman"/>
          <w:i/>
          <w:sz w:val="24"/>
          <w:szCs w:val="24"/>
        </w:rPr>
        <w:t>Instructio</w:t>
      </w:r>
      <w:r w:rsidRPr="00874758">
        <w:rPr>
          <w:rFonts w:ascii="Times New Roman" w:hAnsi="Times New Roman" w:cs="Times New Roman"/>
          <w:sz w:val="24"/>
          <w:szCs w:val="24"/>
        </w:rPr>
        <w:t xml:space="preserve">, pp. 1807-1809, 19 marzo 1937, in </w:t>
      </w:r>
      <w:r w:rsidRPr="00874758">
        <w:rPr>
          <w:rFonts w:ascii="Times New Roman" w:hAnsi="Times New Roman" w:cs="Times New Roman"/>
          <w:i/>
          <w:sz w:val="24"/>
          <w:szCs w:val="24"/>
        </w:rPr>
        <w:t>Leges ecclesiae</w:t>
      </w:r>
      <w:r w:rsidRPr="00874758">
        <w:rPr>
          <w:rFonts w:ascii="Times New Roman" w:hAnsi="Times New Roman" w:cs="Times New Roman"/>
          <w:sz w:val="24"/>
          <w:szCs w:val="24"/>
        </w:rPr>
        <w:t xml:space="preserve"> Vol. I, 1918-1941.</w:t>
      </w:r>
    </w:p>
  </w:footnote>
  <w:footnote w:id="442">
    <w:p w14:paraId="718E210B" w14:textId="77777777" w:rsidR="00F202D0" w:rsidRPr="00874758" w:rsidRDefault="00F202D0">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443">
    <w:p w14:paraId="7496890C" w14:textId="77777777" w:rsidR="00F202D0" w:rsidRPr="00874758" w:rsidRDefault="00F202D0">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444">
    <w:p w14:paraId="4E147A7C" w14:textId="77777777" w:rsidR="00F202D0" w:rsidRPr="00874758" w:rsidRDefault="00F202D0" w:rsidP="00140247">
      <w:pPr>
        <w:rPr>
          <w:rFonts w:ascii="Times New Roman" w:hAnsi="Times New Roman" w:cs="Times New Roman"/>
          <w:sz w:val="24"/>
          <w:szCs w:val="24"/>
        </w:rPr>
      </w:pPr>
      <w:r>
        <w:rPr>
          <w:rStyle w:val="Rimandonotaapidipagina"/>
        </w:rPr>
        <w:footnoteRef/>
      </w:r>
      <w:r w:rsidRPr="00874758">
        <w:t xml:space="preserve"> </w:t>
      </w:r>
      <w:r w:rsidRPr="00874758">
        <w:rPr>
          <w:rFonts w:ascii="Times New Roman" w:hAnsi="Times New Roman" w:cs="Times New Roman"/>
          <w:i/>
          <w:sz w:val="24"/>
          <w:szCs w:val="24"/>
        </w:rPr>
        <w:t xml:space="preserve">Res.part </w:t>
      </w:r>
      <w:r w:rsidRPr="00874758">
        <w:rPr>
          <w:rFonts w:ascii="Times New Roman" w:hAnsi="Times New Roman" w:cs="Times New Roman"/>
          <w:sz w:val="24"/>
          <w:szCs w:val="24"/>
        </w:rPr>
        <w:t xml:space="preserve">,p. 1722, 10 aprile 1937, in </w:t>
      </w:r>
      <w:r w:rsidRPr="00874758">
        <w:rPr>
          <w:rFonts w:ascii="Times New Roman" w:hAnsi="Times New Roman" w:cs="Times New Roman"/>
          <w:i/>
          <w:sz w:val="24"/>
          <w:szCs w:val="24"/>
        </w:rPr>
        <w:t>Leges ecclesiae</w:t>
      </w:r>
      <w:r w:rsidRPr="00874758">
        <w:rPr>
          <w:rFonts w:ascii="Times New Roman" w:hAnsi="Times New Roman" w:cs="Times New Roman"/>
          <w:sz w:val="24"/>
          <w:szCs w:val="24"/>
        </w:rPr>
        <w:t xml:space="preserve"> Vol. I, 1918-1941.</w:t>
      </w:r>
    </w:p>
  </w:footnote>
  <w:footnote w:id="445">
    <w:p w14:paraId="02ABBAE5" w14:textId="77777777" w:rsidR="00F202D0" w:rsidRPr="0099036F" w:rsidRDefault="00F202D0" w:rsidP="00140247">
      <w:pPr>
        <w:rPr>
          <w:rFonts w:ascii="Times New Roman" w:hAnsi="Times New Roman" w:cs="Times New Roman"/>
          <w:sz w:val="24"/>
          <w:szCs w:val="24"/>
        </w:rPr>
      </w:pPr>
      <w:r>
        <w:rPr>
          <w:rStyle w:val="Rimandonotaapidipagina"/>
        </w:rPr>
        <w:footnoteRef/>
      </w:r>
      <w:r>
        <w:t xml:space="preserve"> </w:t>
      </w:r>
      <w:r w:rsidRPr="00506412">
        <w:rPr>
          <w:rFonts w:ascii="Times New Roman" w:hAnsi="Times New Roman" w:cs="Times New Roman"/>
          <w:i/>
          <w:sz w:val="24"/>
          <w:szCs w:val="24"/>
        </w:rPr>
        <w:t>Sacra congregazione di propaganda fide comunicato</w:t>
      </w:r>
      <w:r>
        <w:rPr>
          <w:rFonts w:ascii="Times New Roman" w:hAnsi="Times New Roman" w:cs="Times New Roman"/>
          <w:sz w:val="24"/>
          <w:szCs w:val="24"/>
        </w:rPr>
        <w:t>, in AAS-15-1923, p. 477.</w:t>
      </w:r>
    </w:p>
  </w:footnote>
  <w:footnote w:id="446">
    <w:p w14:paraId="112DA07C" w14:textId="77777777" w:rsidR="00F202D0" w:rsidRPr="00895F45" w:rsidRDefault="00F202D0" w:rsidP="00140247">
      <w:pPr>
        <w:rPr>
          <w:rFonts w:ascii="Times New Roman" w:hAnsi="Times New Roman" w:cs="Times New Roman"/>
          <w:sz w:val="24"/>
          <w:szCs w:val="24"/>
        </w:rPr>
      </w:pPr>
      <w:r>
        <w:rPr>
          <w:rStyle w:val="Rimandonotaapidipagina"/>
        </w:rPr>
        <w:footnoteRef/>
      </w:r>
      <w:r>
        <w:t xml:space="preserve"> </w:t>
      </w:r>
      <w:r w:rsidRPr="007854F3">
        <w:rPr>
          <w:rFonts w:ascii="Times New Roman" w:hAnsi="Times New Roman" w:cs="Times New Roman"/>
          <w:i/>
          <w:sz w:val="24"/>
          <w:szCs w:val="24"/>
        </w:rPr>
        <w:t>Res.part</w:t>
      </w:r>
      <w:r>
        <w:rPr>
          <w:rFonts w:ascii="Times New Roman" w:hAnsi="Times New Roman" w:cs="Times New Roman"/>
          <w:sz w:val="24"/>
          <w:szCs w:val="24"/>
        </w:rPr>
        <w:t xml:space="preserve">., p. 1407, 28 luglio 1932,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447">
    <w:p w14:paraId="1E727EDB"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48">
    <w:p w14:paraId="29795ED1" w14:textId="77777777" w:rsidR="00F202D0" w:rsidRDefault="00F202D0" w:rsidP="00140247">
      <w:pPr>
        <w:pStyle w:val="Testonotaapidipagina"/>
      </w:pPr>
      <w:r>
        <w:rPr>
          <w:rStyle w:val="Rimandonotaapidipagina"/>
        </w:rPr>
        <w:footnoteRef/>
      </w:r>
      <w:r>
        <w:t xml:space="preserve"> </w:t>
      </w:r>
      <w:r>
        <w:rPr>
          <w:rFonts w:ascii="Times New Roman" w:hAnsi="Times New Roman" w:cs="Times New Roman"/>
          <w:sz w:val="24"/>
          <w:szCs w:val="24"/>
        </w:rPr>
        <w:t>S</w:t>
      </w:r>
      <w:r w:rsidRPr="000D79C0">
        <w:rPr>
          <w:rFonts w:ascii="Times New Roman" w:hAnsi="Times New Roman" w:cs="Times New Roman"/>
          <w:sz w:val="24"/>
          <w:szCs w:val="24"/>
        </w:rPr>
        <w:t>.</w:t>
      </w:r>
      <w:r>
        <w:rPr>
          <w:rFonts w:ascii="Times New Roman" w:hAnsi="Times New Roman" w:cs="Times New Roman"/>
          <w:sz w:val="24"/>
          <w:szCs w:val="24"/>
        </w:rPr>
        <w:t xml:space="preserve"> </w:t>
      </w:r>
      <w:r w:rsidRPr="000D79C0">
        <w:rPr>
          <w:rFonts w:ascii="Times New Roman" w:hAnsi="Times New Roman" w:cs="Times New Roman"/>
          <w:sz w:val="24"/>
          <w:szCs w:val="24"/>
        </w:rPr>
        <w:t xml:space="preserve">Paventi, </w:t>
      </w:r>
      <w:r w:rsidRPr="000D79C0">
        <w:rPr>
          <w:rFonts w:ascii="Times New Roman" w:hAnsi="Times New Roman" w:cs="Times New Roman"/>
          <w:i/>
          <w:sz w:val="24"/>
          <w:szCs w:val="24"/>
        </w:rPr>
        <w:t>La Chiesa missionaria dottrinale. Manuale di missionologia</w:t>
      </w:r>
      <w:r w:rsidRPr="000D79C0">
        <w:rPr>
          <w:rFonts w:ascii="Times New Roman" w:hAnsi="Times New Roman" w:cs="Times New Roman"/>
          <w:sz w:val="24"/>
          <w:szCs w:val="24"/>
        </w:rPr>
        <w:t>,</w:t>
      </w:r>
      <w:r>
        <w:rPr>
          <w:rFonts w:ascii="Times New Roman" w:hAnsi="Times New Roman" w:cs="Times New Roman"/>
          <w:sz w:val="24"/>
          <w:szCs w:val="24"/>
        </w:rPr>
        <w:t xml:space="preserve"> cit., </w:t>
      </w:r>
      <w:r w:rsidRPr="003A78C3">
        <w:rPr>
          <w:rFonts w:ascii="Times New Roman" w:hAnsi="Times New Roman" w:cs="Times New Roman"/>
          <w:i/>
          <w:sz w:val="24"/>
          <w:szCs w:val="24"/>
        </w:rPr>
        <w:t>passim</w:t>
      </w:r>
      <w:r>
        <w:rPr>
          <w:rFonts w:ascii="Times New Roman" w:hAnsi="Times New Roman" w:cs="Times New Roman"/>
          <w:sz w:val="24"/>
          <w:szCs w:val="24"/>
        </w:rPr>
        <w:t>.</w:t>
      </w:r>
    </w:p>
  </w:footnote>
  <w:footnote w:id="449">
    <w:p w14:paraId="303747CD"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50">
    <w:p w14:paraId="53CA4F13"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51">
    <w:p w14:paraId="1348704F" w14:textId="77777777" w:rsidR="00F202D0" w:rsidRPr="00E31FF0" w:rsidRDefault="00F202D0">
      <w:pPr>
        <w:pStyle w:val="Testonotaapidipagina"/>
        <w:rPr>
          <w:rFonts w:ascii="Times New Roman" w:hAnsi="Times New Roman" w:cs="Times New Roman"/>
          <w:sz w:val="24"/>
          <w:szCs w:val="24"/>
        </w:rPr>
      </w:pPr>
      <w:r>
        <w:rPr>
          <w:rStyle w:val="Rimandonotaapidipagina"/>
        </w:rPr>
        <w:footnoteRef/>
      </w:r>
      <w:r>
        <w:t xml:space="preserve"> </w:t>
      </w:r>
      <w:r w:rsidRPr="00E31FF0">
        <w:rPr>
          <w:rFonts w:ascii="Times New Roman" w:hAnsi="Times New Roman" w:cs="Times New Roman"/>
          <w:sz w:val="24"/>
          <w:szCs w:val="24"/>
        </w:rPr>
        <w:t xml:space="preserve">G. Damizia, </w:t>
      </w:r>
      <w:r w:rsidRPr="00E31FF0">
        <w:rPr>
          <w:rFonts w:ascii="Times New Roman" w:hAnsi="Times New Roman" w:cs="Times New Roman"/>
          <w:i/>
          <w:sz w:val="24"/>
          <w:szCs w:val="24"/>
        </w:rPr>
        <w:t>Quasi-parroci</w:t>
      </w:r>
      <w:r w:rsidRPr="00E31FF0">
        <w:rPr>
          <w:rFonts w:ascii="Times New Roman" w:hAnsi="Times New Roman" w:cs="Times New Roman"/>
          <w:sz w:val="24"/>
          <w:szCs w:val="24"/>
        </w:rPr>
        <w:t xml:space="preserve">, in </w:t>
      </w:r>
      <w:r w:rsidRPr="00E31FF0">
        <w:rPr>
          <w:rFonts w:ascii="Times New Roman" w:hAnsi="Times New Roman" w:cs="Times New Roman"/>
          <w:i/>
          <w:sz w:val="24"/>
          <w:szCs w:val="24"/>
        </w:rPr>
        <w:t>Enciclopedia cattolica</w:t>
      </w:r>
      <w:r w:rsidRPr="00E31FF0">
        <w:rPr>
          <w:rFonts w:ascii="Times New Roman" w:hAnsi="Times New Roman" w:cs="Times New Roman"/>
          <w:sz w:val="24"/>
          <w:szCs w:val="24"/>
        </w:rPr>
        <w:t>, Vol.10, 1948, Roma, p. 383.</w:t>
      </w:r>
    </w:p>
  </w:footnote>
  <w:footnote w:id="452">
    <w:p w14:paraId="5D094975"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53">
    <w:p w14:paraId="485407A3" w14:textId="77777777" w:rsidR="00F202D0" w:rsidRDefault="00F202D0">
      <w:pPr>
        <w:pStyle w:val="Testonotaapidipagina"/>
      </w:pPr>
      <w:r>
        <w:rPr>
          <w:rStyle w:val="Rimandonotaapidipagina"/>
        </w:rPr>
        <w:footnoteRef/>
      </w:r>
      <w:r>
        <w:t xml:space="preserve"> </w:t>
      </w:r>
      <w:r w:rsidRPr="00BF7E15">
        <w:rPr>
          <w:rFonts w:ascii="Times New Roman" w:hAnsi="Times New Roman" w:cs="Times New Roman"/>
          <w:i/>
          <w:sz w:val="24"/>
          <w:szCs w:val="24"/>
        </w:rPr>
        <w:t>Instructio: circa erectionem quasi-paroeciarum in vicariatibus et praefecturis apostolicis</w:t>
      </w:r>
      <w:r w:rsidRPr="006555FD">
        <w:rPr>
          <w:rFonts w:ascii="Times New Roman" w:hAnsi="Times New Roman" w:cs="Times New Roman"/>
          <w:sz w:val="24"/>
          <w:szCs w:val="24"/>
        </w:rPr>
        <w:t xml:space="preserve">, in </w:t>
      </w:r>
      <w:r>
        <w:rPr>
          <w:rFonts w:ascii="Times New Roman" w:hAnsi="Times New Roman" w:cs="Times New Roman"/>
          <w:sz w:val="24"/>
          <w:szCs w:val="24"/>
        </w:rPr>
        <w:t>AAS12-1920</w:t>
      </w:r>
      <w:r w:rsidRPr="006555FD">
        <w:rPr>
          <w:rFonts w:ascii="Times New Roman" w:hAnsi="Times New Roman" w:cs="Times New Roman"/>
          <w:sz w:val="24"/>
          <w:szCs w:val="24"/>
        </w:rPr>
        <w:t xml:space="preserve">, </w:t>
      </w:r>
      <w:r>
        <w:rPr>
          <w:rFonts w:ascii="Times New Roman" w:hAnsi="Times New Roman" w:cs="Times New Roman"/>
          <w:sz w:val="24"/>
          <w:szCs w:val="24"/>
        </w:rPr>
        <w:t>25 luglio, p. 331.</w:t>
      </w:r>
    </w:p>
  </w:footnote>
  <w:footnote w:id="454">
    <w:p w14:paraId="5AB5D4E6"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55">
    <w:p w14:paraId="0CB56FD9"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56">
    <w:p w14:paraId="279087B7"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57">
    <w:p w14:paraId="6EB32D94"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58">
    <w:p w14:paraId="6AE86626"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59">
    <w:p w14:paraId="70A3A27C" w14:textId="77777777" w:rsidR="00F202D0" w:rsidRDefault="00F202D0">
      <w:pPr>
        <w:pStyle w:val="Testonotaapidipagina"/>
      </w:pPr>
      <w:r>
        <w:rPr>
          <w:rStyle w:val="Rimandonotaapidipagina"/>
        </w:rPr>
        <w:footnoteRef/>
      </w:r>
      <w:r>
        <w:t xml:space="preserve"> </w:t>
      </w:r>
      <w:r w:rsidRPr="0005657D">
        <w:rPr>
          <w:rFonts w:ascii="Times New Roman" w:hAnsi="Times New Roman" w:cs="Times New Roman"/>
          <w:i/>
          <w:sz w:val="24"/>
          <w:szCs w:val="24"/>
        </w:rPr>
        <w:t xml:space="preserve">Epistola ad episcopos, vicarios, praefectosque apostolicos ac missionum superiores: de relationibus missionum, singulis quinquenniis exhibendis, </w:t>
      </w:r>
      <w:r w:rsidRPr="0005657D">
        <w:rPr>
          <w:rFonts w:ascii="Times New Roman" w:hAnsi="Times New Roman" w:cs="Times New Roman"/>
          <w:sz w:val="24"/>
          <w:szCs w:val="24"/>
        </w:rPr>
        <w:t>in AAS-14-1922, 16 aprile1922, pp. 287-302.</w:t>
      </w:r>
    </w:p>
  </w:footnote>
  <w:footnote w:id="460">
    <w:p w14:paraId="509D516D"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61">
    <w:p w14:paraId="3E49AF78"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62">
    <w:p w14:paraId="2BDD6583"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63">
    <w:p w14:paraId="678C210A"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64">
    <w:p w14:paraId="05DC5D4B"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65">
    <w:p w14:paraId="71F3C5DC" w14:textId="77777777" w:rsidR="00F202D0" w:rsidRDefault="00F202D0" w:rsidP="00140247">
      <w:pPr>
        <w:pStyle w:val="Testonotaapidipagina"/>
      </w:pPr>
      <w:r>
        <w:rPr>
          <w:rStyle w:val="Rimandonotaapidipagina"/>
        </w:rPr>
        <w:footnoteRef/>
      </w:r>
      <w:r>
        <w:t xml:space="preserve"> </w:t>
      </w:r>
      <w:r w:rsidRPr="00EF54D8">
        <w:rPr>
          <w:rFonts w:ascii="Times New Roman" w:hAnsi="Times New Roman" w:cs="Times New Roman"/>
          <w:sz w:val="24"/>
          <w:szCs w:val="24"/>
        </w:rPr>
        <w:t xml:space="preserve">Lit. Circ., p. 1170, 12 maggio 1930, in </w:t>
      </w:r>
      <w:r w:rsidRPr="00EF54D8">
        <w:rPr>
          <w:rFonts w:ascii="Times New Roman" w:hAnsi="Times New Roman" w:cs="Times New Roman"/>
          <w:i/>
          <w:sz w:val="24"/>
          <w:szCs w:val="24"/>
        </w:rPr>
        <w:t>Leges ecclesiae</w:t>
      </w:r>
      <w:r w:rsidRPr="00EF54D8">
        <w:rPr>
          <w:rFonts w:ascii="Times New Roman" w:hAnsi="Times New Roman" w:cs="Times New Roman"/>
          <w:sz w:val="24"/>
          <w:szCs w:val="24"/>
        </w:rPr>
        <w:t xml:space="preserve"> Vol. I, 1918-1941.</w:t>
      </w:r>
    </w:p>
  </w:footnote>
  <w:footnote w:id="466">
    <w:p w14:paraId="2FFA6AEE" w14:textId="77777777" w:rsidR="00F202D0" w:rsidRDefault="00F202D0">
      <w:pPr>
        <w:pStyle w:val="Testonotaapidipagina"/>
      </w:pPr>
      <w:r>
        <w:rPr>
          <w:rStyle w:val="Rimandonotaapidipagina"/>
        </w:rPr>
        <w:footnoteRef/>
      </w:r>
      <w:r>
        <w:t xml:space="preserve"> </w:t>
      </w:r>
      <w:r>
        <w:rPr>
          <w:rFonts w:ascii="Times New Roman" w:hAnsi="Times New Roman" w:cs="Times New Roman"/>
          <w:i/>
          <w:sz w:val="24"/>
          <w:szCs w:val="24"/>
        </w:rPr>
        <w:t>Lit. Circ.</w:t>
      </w:r>
      <w:r>
        <w:rPr>
          <w:rFonts w:ascii="Times New Roman" w:hAnsi="Times New Roman" w:cs="Times New Roman"/>
          <w:sz w:val="24"/>
          <w:szCs w:val="24"/>
        </w:rPr>
        <w:t xml:space="preserve">, pp. 1186-1887, 14 luglio 1930,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 I, 1918-1941.</w:t>
      </w:r>
    </w:p>
  </w:footnote>
  <w:footnote w:id="467">
    <w:p w14:paraId="34E4F66B"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68">
    <w:p w14:paraId="4ECE2510" w14:textId="77777777" w:rsidR="00F202D0" w:rsidRDefault="00F202D0">
      <w:pPr>
        <w:pStyle w:val="Testonotaapidipagina"/>
      </w:pPr>
      <w:r>
        <w:rPr>
          <w:rStyle w:val="Rimandonotaapidipagina"/>
        </w:rPr>
        <w:footnoteRef/>
      </w:r>
      <w:r w:rsidRPr="007854F3">
        <w:rPr>
          <w:rFonts w:ascii="Times New Roman" w:hAnsi="Times New Roman" w:cs="Times New Roman"/>
          <w:i/>
          <w:sz w:val="24"/>
          <w:szCs w:val="24"/>
        </w:rPr>
        <w:t>Res.part</w:t>
      </w:r>
      <w:r>
        <w:rPr>
          <w:rFonts w:ascii="Times New Roman" w:hAnsi="Times New Roman" w:cs="Times New Roman"/>
          <w:sz w:val="24"/>
          <w:szCs w:val="24"/>
        </w:rPr>
        <w:t xml:space="preserve">, p. 1544, 4 giugno 1934,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r>
        <w:t xml:space="preserve"> </w:t>
      </w:r>
    </w:p>
  </w:footnote>
  <w:footnote w:id="469">
    <w:p w14:paraId="5570A782"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70">
    <w:p w14:paraId="5DD7181E" w14:textId="77777777" w:rsidR="00F202D0" w:rsidRPr="00874758" w:rsidRDefault="00F202D0">
      <w:pPr>
        <w:pStyle w:val="Testonotaapidipagina"/>
        <w:rPr>
          <w:sz w:val="24"/>
          <w:szCs w:val="24"/>
        </w:rPr>
      </w:pPr>
      <w:r>
        <w:rPr>
          <w:rStyle w:val="Rimandonotaapidipagina"/>
        </w:rPr>
        <w:footnoteRef/>
      </w:r>
      <w:r w:rsidRPr="00874758">
        <w:t xml:space="preserve"> </w:t>
      </w:r>
      <w:r w:rsidRPr="00874758">
        <w:rPr>
          <w:rFonts w:ascii="Times New Roman" w:hAnsi="Times New Roman" w:cs="Times New Roman"/>
          <w:i/>
          <w:sz w:val="24"/>
          <w:szCs w:val="24"/>
        </w:rPr>
        <w:t>Instructio de novis praefecturis aut vicariatibus apostolicis aut dioecesibus condendis</w:t>
      </w:r>
      <w:r w:rsidRPr="00874758">
        <w:rPr>
          <w:rFonts w:ascii="Times New Roman" w:hAnsi="Times New Roman" w:cs="Times New Roman"/>
          <w:sz w:val="24"/>
          <w:szCs w:val="24"/>
        </w:rPr>
        <w:t>, in AAS34-1942, 21 giugno 1942, pp. 347-349.</w:t>
      </w:r>
    </w:p>
  </w:footnote>
  <w:footnote w:id="471">
    <w:p w14:paraId="1FC51456" w14:textId="77777777" w:rsidR="00F202D0" w:rsidRPr="00F538C9" w:rsidRDefault="00F202D0">
      <w:pPr>
        <w:pStyle w:val="Testonotaapidipagina"/>
        <w:rPr>
          <w:sz w:val="24"/>
          <w:szCs w:val="24"/>
        </w:rPr>
      </w:pPr>
      <w:r w:rsidRPr="00F538C9">
        <w:rPr>
          <w:rStyle w:val="Rimandonotaapidipagina"/>
          <w:sz w:val="24"/>
          <w:szCs w:val="24"/>
        </w:rPr>
        <w:footnoteRef/>
      </w:r>
      <w:r w:rsidRPr="00F538C9">
        <w:rPr>
          <w:sz w:val="24"/>
          <w:szCs w:val="24"/>
        </w:rPr>
        <w:t xml:space="preserve"> </w:t>
      </w:r>
      <w:r w:rsidRPr="00F50054">
        <w:rPr>
          <w:rFonts w:ascii="Times New Roman" w:hAnsi="Times New Roman" w:cs="Times New Roman"/>
          <w:i/>
          <w:sz w:val="24"/>
          <w:szCs w:val="24"/>
        </w:rPr>
        <w:t>Ibidem.</w:t>
      </w:r>
    </w:p>
  </w:footnote>
  <w:footnote w:id="472">
    <w:p w14:paraId="66A9EE1F"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73">
    <w:p w14:paraId="20211506"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74">
    <w:p w14:paraId="30304107" w14:textId="77777777" w:rsidR="00F202D0" w:rsidRDefault="00F202D0">
      <w:pPr>
        <w:pStyle w:val="Testonotaapidipagina"/>
      </w:pPr>
      <w:r>
        <w:rPr>
          <w:rStyle w:val="Rimandonotaapidipagina"/>
        </w:rPr>
        <w:footnoteRef/>
      </w:r>
      <w:r>
        <w:t xml:space="preserve"> </w:t>
      </w:r>
      <w:r w:rsidRPr="007E534F">
        <w:rPr>
          <w:rFonts w:ascii="Times New Roman" w:hAnsi="Times New Roman" w:cs="Times New Roman"/>
          <w:i/>
          <w:sz w:val="24"/>
          <w:szCs w:val="24"/>
        </w:rPr>
        <w:t>Resp.</w:t>
      </w:r>
      <w:r>
        <w:rPr>
          <w:rFonts w:ascii="Times New Roman" w:hAnsi="Times New Roman" w:cs="Times New Roman"/>
          <w:sz w:val="24"/>
          <w:szCs w:val="24"/>
        </w:rPr>
        <w:t xml:space="preserve">, p. 3514, 2 luglio 1956, in </w:t>
      </w:r>
      <w:r>
        <w:rPr>
          <w:rFonts w:ascii="Times New Roman" w:hAnsi="Times New Roman" w:cs="Times New Roman"/>
          <w:i/>
          <w:sz w:val="24"/>
          <w:szCs w:val="24"/>
        </w:rPr>
        <w:t>L</w:t>
      </w:r>
      <w:r w:rsidRPr="00CC0D6F">
        <w:rPr>
          <w:rFonts w:ascii="Times New Roman" w:hAnsi="Times New Roman" w:cs="Times New Roman"/>
          <w:i/>
          <w:sz w:val="24"/>
          <w:szCs w:val="24"/>
        </w:rPr>
        <w:t xml:space="preserve">eges ecclesiae </w:t>
      </w:r>
      <w:r w:rsidRPr="00AE1656">
        <w:rPr>
          <w:rFonts w:ascii="Times New Roman" w:hAnsi="Times New Roman" w:cs="Times New Roman"/>
          <w:sz w:val="24"/>
          <w:szCs w:val="24"/>
        </w:rPr>
        <w:t>Vol.2 ,1942-1958.</w:t>
      </w:r>
    </w:p>
  </w:footnote>
  <w:footnote w:id="475">
    <w:p w14:paraId="463B65B6"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76">
    <w:p w14:paraId="6FB9CB7C" w14:textId="77777777" w:rsidR="00F202D0" w:rsidRDefault="00F202D0">
      <w:pPr>
        <w:pStyle w:val="Testonotaapidipagina"/>
      </w:pPr>
      <w:r>
        <w:rPr>
          <w:rStyle w:val="Rimandonotaapidipagina"/>
        </w:rPr>
        <w:footnoteRef/>
      </w:r>
      <w:r>
        <w:t xml:space="preserve"> </w:t>
      </w:r>
      <w:r w:rsidRPr="003204FE">
        <w:rPr>
          <w:rFonts w:ascii="Times New Roman" w:hAnsi="Times New Roman" w:cs="Times New Roman"/>
          <w:sz w:val="24"/>
          <w:szCs w:val="24"/>
        </w:rPr>
        <w:t>A.</w:t>
      </w:r>
      <w:r>
        <w:rPr>
          <w:rFonts w:ascii="Times New Roman" w:hAnsi="Times New Roman" w:cs="Times New Roman"/>
          <w:sz w:val="24"/>
          <w:szCs w:val="24"/>
        </w:rPr>
        <w:t xml:space="preserve"> </w:t>
      </w:r>
      <w:r w:rsidRPr="003204FE">
        <w:rPr>
          <w:rFonts w:ascii="Times New Roman" w:hAnsi="Times New Roman" w:cs="Times New Roman"/>
          <w:sz w:val="24"/>
          <w:szCs w:val="24"/>
        </w:rPr>
        <w:t xml:space="preserve">Scola, </w:t>
      </w:r>
      <w:r w:rsidRPr="003204FE">
        <w:rPr>
          <w:rFonts w:ascii="Times New Roman" w:hAnsi="Times New Roman" w:cs="Times New Roman"/>
          <w:i/>
          <w:sz w:val="24"/>
          <w:szCs w:val="24"/>
        </w:rPr>
        <w:t>Beneplacitum apostolicum</w:t>
      </w:r>
      <w:r w:rsidRPr="003204FE">
        <w:rPr>
          <w:rFonts w:ascii="Times New Roman" w:hAnsi="Times New Roman" w:cs="Times New Roman"/>
          <w:sz w:val="24"/>
          <w:szCs w:val="24"/>
        </w:rPr>
        <w:t xml:space="preserve">, in </w:t>
      </w:r>
      <w:r w:rsidRPr="003204FE">
        <w:rPr>
          <w:rFonts w:ascii="Times New Roman" w:hAnsi="Times New Roman" w:cs="Times New Roman"/>
          <w:i/>
          <w:sz w:val="24"/>
          <w:szCs w:val="24"/>
        </w:rPr>
        <w:t>Enciclopedia cattolica</w:t>
      </w:r>
      <w:r w:rsidRPr="003204FE">
        <w:rPr>
          <w:rFonts w:ascii="Times New Roman" w:hAnsi="Times New Roman" w:cs="Times New Roman"/>
          <w:sz w:val="24"/>
          <w:szCs w:val="24"/>
        </w:rPr>
        <w:t>, Vol.2, 1948, Roma, p. 1316.</w:t>
      </w:r>
    </w:p>
  </w:footnote>
  <w:footnote w:id="477">
    <w:p w14:paraId="45C0421E" w14:textId="77777777" w:rsidR="00F202D0" w:rsidRDefault="00F202D0">
      <w:pPr>
        <w:pStyle w:val="Testonotaapidipagina"/>
      </w:pPr>
      <w:r>
        <w:rPr>
          <w:rStyle w:val="Rimandonotaapidipagina"/>
        </w:rPr>
        <w:footnoteRef/>
      </w:r>
      <w:r>
        <w:t xml:space="preserve"> </w:t>
      </w:r>
      <w:r w:rsidRPr="006D54E9">
        <w:rPr>
          <w:rFonts w:ascii="Times New Roman" w:hAnsi="Times New Roman" w:cs="Times New Roman"/>
          <w:i/>
          <w:sz w:val="24"/>
          <w:szCs w:val="24"/>
        </w:rPr>
        <w:t>Normae,</w:t>
      </w:r>
      <w:r>
        <w:rPr>
          <w:rFonts w:ascii="Times New Roman" w:hAnsi="Times New Roman" w:cs="Times New Roman"/>
          <w:sz w:val="24"/>
          <w:szCs w:val="24"/>
        </w:rPr>
        <w:t xml:space="preserve"> p. 3924, 18 febbraio 1959, in </w:t>
      </w:r>
      <w:r>
        <w:rPr>
          <w:rFonts w:ascii="Times New Roman" w:hAnsi="Times New Roman" w:cs="Times New Roman"/>
          <w:i/>
          <w:sz w:val="24"/>
          <w:szCs w:val="24"/>
        </w:rPr>
        <w:t>L</w:t>
      </w:r>
      <w:r w:rsidRPr="006D54E9">
        <w:rPr>
          <w:rFonts w:ascii="Times New Roman" w:hAnsi="Times New Roman" w:cs="Times New Roman"/>
          <w:i/>
          <w:sz w:val="24"/>
          <w:szCs w:val="24"/>
        </w:rPr>
        <w:t xml:space="preserve">eges ecclesiae </w:t>
      </w:r>
      <w:r w:rsidRPr="00B337A6">
        <w:rPr>
          <w:rFonts w:ascii="Times New Roman" w:hAnsi="Times New Roman" w:cs="Times New Roman"/>
          <w:sz w:val="24"/>
          <w:szCs w:val="24"/>
        </w:rPr>
        <w:t>Vol. 3, 1959-1963.</w:t>
      </w:r>
    </w:p>
  </w:footnote>
  <w:footnote w:id="478">
    <w:p w14:paraId="7BB54C4A" w14:textId="77777777" w:rsidR="00F202D0" w:rsidRPr="004730FE" w:rsidRDefault="00F202D0">
      <w:pPr>
        <w:pStyle w:val="Testonotaapidipagina"/>
        <w:rPr>
          <w:rFonts w:ascii="Times New Roman" w:hAnsi="Times New Roman" w:cs="Times New Roman"/>
          <w:sz w:val="24"/>
          <w:szCs w:val="24"/>
        </w:rPr>
      </w:pPr>
      <w:r>
        <w:rPr>
          <w:rStyle w:val="Rimandonotaapidipagina"/>
        </w:rPr>
        <w:footnoteRef/>
      </w:r>
      <w:r>
        <w:t xml:space="preserve"> </w:t>
      </w:r>
      <w:r w:rsidRPr="004730FE">
        <w:rPr>
          <w:rFonts w:ascii="Times New Roman" w:hAnsi="Times New Roman" w:cs="Times New Roman"/>
          <w:sz w:val="24"/>
          <w:szCs w:val="24"/>
        </w:rPr>
        <w:t xml:space="preserve">S.Paventi, </w:t>
      </w:r>
      <w:r w:rsidRPr="004730FE">
        <w:rPr>
          <w:rFonts w:ascii="Times New Roman" w:hAnsi="Times New Roman" w:cs="Times New Roman"/>
          <w:i/>
          <w:sz w:val="24"/>
          <w:szCs w:val="24"/>
        </w:rPr>
        <w:t>Superiore ecclesiastico</w:t>
      </w:r>
      <w:r w:rsidRPr="004730FE">
        <w:rPr>
          <w:rFonts w:ascii="Times New Roman" w:hAnsi="Times New Roman" w:cs="Times New Roman"/>
          <w:sz w:val="24"/>
          <w:szCs w:val="24"/>
        </w:rPr>
        <w:t xml:space="preserve">, in </w:t>
      </w:r>
      <w:r w:rsidRPr="004730FE">
        <w:rPr>
          <w:rFonts w:ascii="Times New Roman" w:hAnsi="Times New Roman" w:cs="Times New Roman"/>
          <w:i/>
          <w:sz w:val="24"/>
          <w:szCs w:val="24"/>
        </w:rPr>
        <w:t>Enciclopedia cattolica</w:t>
      </w:r>
      <w:r w:rsidRPr="004730FE">
        <w:rPr>
          <w:rFonts w:ascii="Times New Roman" w:hAnsi="Times New Roman" w:cs="Times New Roman"/>
          <w:sz w:val="24"/>
          <w:szCs w:val="24"/>
        </w:rPr>
        <w:t>, Vol.11, 1948, Roma, p. 1572.</w:t>
      </w:r>
    </w:p>
  </w:footnote>
  <w:footnote w:id="479">
    <w:p w14:paraId="753CB973" w14:textId="77777777" w:rsidR="00F202D0" w:rsidRDefault="00F202D0">
      <w:pPr>
        <w:pStyle w:val="Testonotaapidipagina"/>
      </w:pPr>
      <w:r>
        <w:rPr>
          <w:rStyle w:val="Rimandonotaapidipagina"/>
        </w:rPr>
        <w:footnoteRef/>
      </w:r>
      <w:r>
        <w:t xml:space="preserve"> </w:t>
      </w:r>
      <w:r w:rsidRPr="007854F3">
        <w:rPr>
          <w:rFonts w:ascii="Times New Roman" w:hAnsi="Times New Roman" w:cs="Times New Roman"/>
          <w:i/>
          <w:sz w:val="24"/>
          <w:szCs w:val="24"/>
        </w:rPr>
        <w:t>Res.part</w:t>
      </w:r>
      <w:r>
        <w:rPr>
          <w:rFonts w:ascii="Times New Roman" w:hAnsi="Times New Roman" w:cs="Times New Roman"/>
          <w:sz w:val="24"/>
          <w:szCs w:val="24"/>
        </w:rPr>
        <w:t xml:space="preserve">, pp. 1590-91, 31 agosto 1934,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480">
    <w:p w14:paraId="35A379AC" w14:textId="77777777" w:rsidR="00F202D0" w:rsidRDefault="00F202D0">
      <w:pPr>
        <w:pStyle w:val="Testonotaapidipagina"/>
      </w:pPr>
      <w:r>
        <w:rPr>
          <w:rStyle w:val="Rimandonotaapidipagina"/>
        </w:rPr>
        <w:footnoteRef/>
      </w:r>
      <w:r>
        <w:t xml:space="preserve"> </w:t>
      </w:r>
      <w:r w:rsidRPr="00AE1656">
        <w:rPr>
          <w:rFonts w:ascii="Times New Roman" w:hAnsi="Times New Roman" w:cs="Times New Roman"/>
          <w:i/>
          <w:sz w:val="24"/>
          <w:szCs w:val="24"/>
        </w:rPr>
        <w:t>Resp</w:t>
      </w:r>
      <w:r>
        <w:rPr>
          <w:rFonts w:ascii="Times New Roman" w:hAnsi="Times New Roman" w:cs="Times New Roman"/>
          <w:sz w:val="24"/>
          <w:szCs w:val="24"/>
        </w:rPr>
        <w:t xml:space="preserve">., pp. 3246-3247, 26 gennaio 1954, in </w:t>
      </w:r>
      <w:r>
        <w:rPr>
          <w:rFonts w:ascii="Times New Roman" w:hAnsi="Times New Roman" w:cs="Times New Roman"/>
          <w:i/>
          <w:sz w:val="24"/>
          <w:szCs w:val="24"/>
        </w:rPr>
        <w:t>L</w:t>
      </w:r>
      <w:r w:rsidRPr="00CC0D6F">
        <w:rPr>
          <w:rFonts w:ascii="Times New Roman" w:hAnsi="Times New Roman" w:cs="Times New Roman"/>
          <w:i/>
          <w:sz w:val="24"/>
          <w:szCs w:val="24"/>
        </w:rPr>
        <w:t xml:space="preserve">eges ecclesiae </w:t>
      </w:r>
      <w:r w:rsidRPr="00AE1656">
        <w:rPr>
          <w:rFonts w:ascii="Times New Roman" w:hAnsi="Times New Roman" w:cs="Times New Roman"/>
          <w:sz w:val="24"/>
          <w:szCs w:val="24"/>
        </w:rPr>
        <w:t>Vol.2, 1942-1958.</w:t>
      </w:r>
    </w:p>
  </w:footnote>
  <w:footnote w:id="481">
    <w:p w14:paraId="5B7F8FED" w14:textId="77777777" w:rsidR="00F202D0" w:rsidRDefault="00F202D0" w:rsidP="00140247">
      <w:pPr>
        <w:pStyle w:val="Testonotaapidipagina"/>
      </w:pPr>
      <w:r>
        <w:rPr>
          <w:rStyle w:val="Rimandonotaapidipagina"/>
        </w:rPr>
        <w:footnoteRef/>
      </w:r>
      <w:r>
        <w:t xml:space="preserve"> </w:t>
      </w:r>
      <w:r w:rsidRPr="00BF7E15">
        <w:rPr>
          <w:rFonts w:ascii="Times New Roman" w:hAnsi="Times New Roman" w:cs="Times New Roman"/>
          <w:i/>
          <w:sz w:val="24"/>
          <w:szCs w:val="24"/>
        </w:rPr>
        <w:t>Epistola: ad vicarios et praefectos apostolicos, qua potestas ipsis fit nominandi vicarium delegatum</w:t>
      </w:r>
      <w:r w:rsidRPr="00012BCE">
        <w:rPr>
          <w:rFonts w:ascii="Times New Roman" w:hAnsi="Times New Roman" w:cs="Times New Roman"/>
          <w:sz w:val="24"/>
          <w:szCs w:val="24"/>
        </w:rPr>
        <w:t xml:space="preserve">, in </w:t>
      </w:r>
      <w:r>
        <w:rPr>
          <w:rFonts w:ascii="Times New Roman" w:hAnsi="Times New Roman" w:cs="Times New Roman"/>
          <w:sz w:val="24"/>
          <w:szCs w:val="24"/>
        </w:rPr>
        <w:t>AAS12-1920</w:t>
      </w:r>
      <w:r w:rsidRPr="00012BCE">
        <w:rPr>
          <w:rFonts w:ascii="Times New Roman" w:hAnsi="Times New Roman" w:cs="Times New Roman"/>
          <w:sz w:val="24"/>
          <w:szCs w:val="24"/>
        </w:rPr>
        <w:t>,</w:t>
      </w:r>
      <w:r>
        <w:rPr>
          <w:rFonts w:ascii="Times New Roman" w:hAnsi="Times New Roman" w:cs="Times New Roman"/>
          <w:sz w:val="24"/>
          <w:szCs w:val="24"/>
        </w:rPr>
        <w:t xml:space="preserve"> 8 dicembre 1919, p.</w:t>
      </w:r>
      <w:r w:rsidRPr="00012BCE">
        <w:rPr>
          <w:rFonts w:ascii="Times New Roman" w:hAnsi="Times New Roman" w:cs="Times New Roman"/>
          <w:sz w:val="24"/>
          <w:szCs w:val="24"/>
        </w:rPr>
        <w:t xml:space="preserve"> 120</w:t>
      </w:r>
      <w:r>
        <w:rPr>
          <w:rFonts w:ascii="Times New Roman" w:hAnsi="Times New Roman" w:cs="Times New Roman"/>
          <w:sz w:val="24"/>
          <w:szCs w:val="24"/>
        </w:rPr>
        <w:t>.</w:t>
      </w:r>
    </w:p>
  </w:footnote>
  <w:footnote w:id="482">
    <w:p w14:paraId="47C16C23"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83">
    <w:p w14:paraId="625E49EA"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84">
    <w:p w14:paraId="56466F9F"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85">
    <w:p w14:paraId="673509E4"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86">
    <w:p w14:paraId="78C95594"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87">
    <w:p w14:paraId="5EE5023B" w14:textId="77777777" w:rsidR="00F202D0" w:rsidRDefault="00F202D0">
      <w:pPr>
        <w:pStyle w:val="Testonotaapidipagina"/>
      </w:pPr>
      <w:r>
        <w:rPr>
          <w:rStyle w:val="Rimandonotaapidipagina"/>
        </w:rPr>
        <w:footnoteRef/>
      </w:r>
      <w:r>
        <w:t xml:space="preserve"> </w:t>
      </w:r>
      <w:r w:rsidRPr="00977313">
        <w:rPr>
          <w:rFonts w:ascii="Times New Roman" w:hAnsi="Times New Roman" w:cs="Times New Roman"/>
          <w:i/>
          <w:sz w:val="24"/>
          <w:szCs w:val="24"/>
        </w:rPr>
        <w:t>Instructio: ad vicarios praefectos que apostolicos et ad superiores institutorum, quibus a s. Sede missiones concreditae sunt</w:t>
      </w:r>
      <w:r>
        <w:rPr>
          <w:rFonts w:ascii="Times New Roman" w:hAnsi="Times New Roman" w:cs="Times New Roman"/>
          <w:sz w:val="24"/>
          <w:szCs w:val="24"/>
        </w:rPr>
        <w:t>, in AAS-22-1930, pp. 111-116.</w:t>
      </w:r>
    </w:p>
  </w:footnote>
  <w:footnote w:id="488">
    <w:p w14:paraId="129367D4" w14:textId="77777777" w:rsidR="00F202D0" w:rsidRPr="001B7EBE" w:rsidRDefault="00F202D0">
      <w:pPr>
        <w:pStyle w:val="Testonotaapidipagina"/>
        <w:rPr>
          <w:rFonts w:ascii="Times New Roman" w:hAnsi="Times New Roman" w:cs="Times New Roman"/>
          <w:sz w:val="24"/>
          <w:szCs w:val="24"/>
        </w:rPr>
      </w:pPr>
      <w:r>
        <w:rPr>
          <w:rStyle w:val="Rimandonotaapidipagina"/>
        </w:rPr>
        <w:footnoteRef/>
      </w:r>
      <w:r>
        <w:t xml:space="preserve"> </w:t>
      </w:r>
      <w:r w:rsidRPr="001B7EBE">
        <w:rPr>
          <w:rFonts w:ascii="Times New Roman" w:hAnsi="Times New Roman" w:cs="Times New Roman"/>
          <w:sz w:val="24"/>
          <w:szCs w:val="24"/>
        </w:rPr>
        <w:t xml:space="preserve">S.Paventi, </w:t>
      </w:r>
      <w:r w:rsidRPr="001B7EBE">
        <w:rPr>
          <w:rFonts w:ascii="Times New Roman" w:hAnsi="Times New Roman" w:cs="Times New Roman"/>
          <w:i/>
          <w:sz w:val="24"/>
          <w:szCs w:val="24"/>
        </w:rPr>
        <w:t>Missionari</w:t>
      </w:r>
      <w:r w:rsidRPr="001B7EBE">
        <w:rPr>
          <w:rFonts w:ascii="Times New Roman" w:hAnsi="Times New Roman" w:cs="Times New Roman"/>
          <w:sz w:val="24"/>
          <w:szCs w:val="24"/>
        </w:rPr>
        <w:t xml:space="preserve">, in </w:t>
      </w:r>
      <w:r w:rsidRPr="001B7EBE">
        <w:rPr>
          <w:rFonts w:ascii="Times New Roman" w:hAnsi="Times New Roman" w:cs="Times New Roman"/>
          <w:i/>
          <w:sz w:val="24"/>
          <w:szCs w:val="24"/>
        </w:rPr>
        <w:t>Enciclopedia cattolica</w:t>
      </w:r>
      <w:r w:rsidRPr="001B7EBE">
        <w:rPr>
          <w:rFonts w:ascii="Times New Roman" w:hAnsi="Times New Roman" w:cs="Times New Roman"/>
          <w:sz w:val="24"/>
          <w:szCs w:val="24"/>
        </w:rPr>
        <w:t>, Vol.8, 1948, Roma, p.</w:t>
      </w:r>
      <w:r>
        <w:rPr>
          <w:rFonts w:ascii="Times New Roman" w:hAnsi="Times New Roman" w:cs="Times New Roman"/>
          <w:sz w:val="24"/>
          <w:szCs w:val="24"/>
        </w:rPr>
        <w:t xml:space="preserve"> 1108.</w:t>
      </w:r>
    </w:p>
  </w:footnote>
  <w:footnote w:id="489">
    <w:p w14:paraId="3C02F40D" w14:textId="77777777" w:rsidR="00F202D0" w:rsidRPr="001B7EBE" w:rsidRDefault="00F202D0">
      <w:pPr>
        <w:pStyle w:val="Testonotaapidipagina"/>
      </w:pPr>
      <w:r w:rsidRPr="001B7EBE">
        <w:rPr>
          <w:rStyle w:val="Rimandonotaapidipagina"/>
          <w:rFonts w:ascii="Times New Roman" w:hAnsi="Times New Roman" w:cs="Times New Roman"/>
          <w:sz w:val="24"/>
          <w:szCs w:val="24"/>
        </w:rPr>
        <w:footnoteRef/>
      </w:r>
      <w:r w:rsidRPr="00F50054">
        <w:rPr>
          <w:rFonts w:ascii="Times New Roman" w:hAnsi="Times New Roman" w:cs="Times New Roman"/>
          <w:i/>
          <w:sz w:val="24"/>
          <w:szCs w:val="24"/>
        </w:rPr>
        <w:t>Ibidem.</w:t>
      </w:r>
      <w:r w:rsidRPr="001B7EBE">
        <w:rPr>
          <w:rFonts w:ascii="Times New Roman" w:hAnsi="Times New Roman" w:cs="Times New Roman"/>
          <w:sz w:val="24"/>
          <w:szCs w:val="24"/>
        </w:rPr>
        <w:t xml:space="preserve"> </w:t>
      </w:r>
    </w:p>
  </w:footnote>
  <w:footnote w:id="490">
    <w:p w14:paraId="58596DDD" w14:textId="77777777" w:rsidR="00F202D0" w:rsidRPr="00452448" w:rsidRDefault="00F202D0" w:rsidP="00140247">
      <w:pPr>
        <w:rPr>
          <w:rFonts w:ascii="Times New Roman" w:hAnsi="Times New Roman" w:cs="Times New Roman"/>
          <w:sz w:val="24"/>
          <w:szCs w:val="24"/>
        </w:rPr>
      </w:pPr>
      <w:r>
        <w:rPr>
          <w:rStyle w:val="Rimandonotaapidipagina"/>
        </w:rPr>
        <w:footnoteRef/>
      </w:r>
      <w:r>
        <w:t xml:space="preserve"> </w:t>
      </w:r>
      <w:r w:rsidRPr="001B7EBE">
        <w:rPr>
          <w:rFonts w:ascii="Times New Roman" w:hAnsi="Times New Roman" w:cs="Times New Roman"/>
          <w:i/>
          <w:sz w:val="24"/>
          <w:szCs w:val="24"/>
        </w:rPr>
        <w:t>Res.part.</w:t>
      </w:r>
      <w:r w:rsidRPr="001B7EBE">
        <w:rPr>
          <w:rFonts w:ascii="Times New Roman" w:hAnsi="Times New Roman" w:cs="Times New Roman"/>
          <w:sz w:val="24"/>
          <w:szCs w:val="24"/>
        </w:rPr>
        <w:t xml:space="preserve">, pp. 1982-1983, 12 giugno 1940, in </w:t>
      </w:r>
      <w:r w:rsidRPr="001B7EBE">
        <w:rPr>
          <w:rFonts w:ascii="Times New Roman" w:hAnsi="Times New Roman" w:cs="Times New Roman"/>
          <w:i/>
          <w:sz w:val="24"/>
          <w:szCs w:val="24"/>
        </w:rPr>
        <w:t>Leges ecclesiae</w:t>
      </w:r>
      <w:r w:rsidRPr="001B7EBE">
        <w:rPr>
          <w:rFonts w:ascii="Times New Roman" w:hAnsi="Times New Roman" w:cs="Times New Roman"/>
          <w:sz w:val="24"/>
          <w:szCs w:val="24"/>
        </w:rPr>
        <w:t xml:space="preserve"> Vol. I, 1918-1941.</w:t>
      </w:r>
    </w:p>
  </w:footnote>
  <w:footnote w:id="491">
    <w:p w14:paraId="79D89AA3"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92">
    <w:p w14:paraId="05B159E0" w14:textId="77777777" w:rsidR="00F202D0" w:rsidRDefault="00F202D0">
      <w:pPr>
        <w:pStyle w:val="Testonotaapidipagina"/>
      </w:pPr>
      <w:r>
        <w:rPr>
          <w:rStyle w:val="Rimandonotaapidipagina"/>
        </w:rPr>
        <w:footnoteRef/>
      </w:r>
      <w:r w:rsidRPr="00F50054">
        <w:rPr>
          <w:rFonts w:ascii="Times New Roman" w:hAnsi="Times New Roman" w:cs="Times New Roman"/>
          <w:i/>
          <w:sz w:val="24"/>
          <w:szCs w:val="24"/>
        </w:rPr>
        <w:t>Ibidem.</w:t>
      </w:r>
    </w:p>
  </w:footnote>
  <w:footnote w:id="493">
    <w:p w14:paraId="7FD1A72F"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94">
    <w:p w14:paraId="2907BAD9"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95">
    <w:p w14:paraId="2897EB94"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496">
    <w:p w14:paraId="673550F3" w14:textId="77777777" w:rsidR="00F202D0" w:rsidRDefault="00F202D0" w:rsidP="00140247">
      <w:pPr>
        <w:pStyle w:val="Testonotaapidipagina"/>
      </w:pPr>
      <w:r>
        <w:rPr>
          <w:rStyle w:val="Rimandonotaapidipagina"/>
        </w:rPr>
        <w:footnoteRef/>
      </w:r>
      <w:r>
        <w:t xml:space="preserve"> </w:t>
      </w:r>
      <w:r w:rsidRPr="00572780">
        <w:rPr>
          <w:rFonts w:ascii="Times New Roman" w:hAnsi="Times New Roman" w:cs="Times New Roman"/>
          <w:sz w:val="24"/>
          <w:szCs w:val="24"/>
        </w:rPr>
        <w:t xml:space="preserve">C. Pacelli, </w:t>
      </w:r>
      <w:r w:rsidRPr="00572780">
        <w:rPr>
          <w:rFonts w:ascii="Times New Roman" w:hAnsi="Times New Roman" w:cs="Times New Roman"/>
          <w:i/>
          <w:sz w:val="24"/>
          <w:szCs w:val="24"/>
        </w:rPr>
        <w:t>Beni ecclesiastici</w:t>
      </w:r>
      <w:r w:rsidRPr="00572780">
        <w:rPr>
          <w:rFonts w:ascii="Times New Roman" w:hAnsi="Times New Roman" w:cs="Times New Roman"/>
          <w:sz w:val="24"/>
          <w:szCs w:val="24"/>
        </w:rPr>
        <w:t xml:space="preserve">, in </w:t>
      </w:r>
      <w:r w:rsidRPr="00572780">
        <w:rPr>
          <w:rFonts w:ascii="Times New Roman" w:hAnsi="Times New Roman" w:cs="Times New Roman"/>
          <w:i/>
          <w:sz w:val="24"/>
          <w:szCs w:val="24"/>
        </w:rPr>
        <w:t>Enciclopedia cattolica</w:t>
      </w:r>
      <w:r w:rsidRPr="00572780">
        <w:rPr>
          <w:rFonts w:ascii="Times New Roman" w:hAnsi="Times New Roman" w:cs="Times New Roman"/>
          <w:sz w:val="24"/>
          <w:szCs w:val="24"/>
        </w:rPr>
        <w:t>, Vol. 2, 1948, Roma, p. 1342.</w:t>
      </w:r>
    </w:p>
  </w:footnote>
  <w:footnote w:id="497">
    <w:p w14:paraId="036F5F5C" w14:textId="77777777" w:rsidR="00F202D0" w:rsidRDefault="00F202D0" w:rsidP="00140247">
      <w:pPr>
        <w:pStyle w:val="Testonotaapidipagina"/>
      </w:pPr>
      <w:r>
        <w:rPr>
          <w:rStyle w:val="Rimandonotaapidipagina"/>
        </w:rPr>
        <w:footnoteRef/>
      </w:r>
      <w:r>
        <w:t xml:space="preserve"> </w:t>
      </w:r>
      <w:r>
        <w:rPr>
          <w:rFonts w:ascii="Times New Roman" w:hAnsi="Times New Roman" w:cs="Times New Roman"/>
          <w:i/>
          <w:sz w:val="24"/>
          <w:szCs w:val="24"/>
        </w:rPr>
        <w:t>Ibidem</w:t>
      </w:r>
    </w:p>
  </w:footnote>
  <w:footnote w:id="498">
    <w:p w14:paraId="62AA012B" w14:textId="77777777" w:rsidR="00F202D0" w:rsidRDefault="00F202D0" w:rsidP="00140247">
      <w:pPr>
        <w:pStyle w:val="Testonotaapidipagina"/>
      </w:pPr>
      <w:r>
        <w:rPr>
          <w:rStyle w:val="Rimandonotaapidipagina"/>
        </w:rPr>
        <w:footnoteRef/>
      </w:r>
      <w:r>
        <w:t xml:space="preserve"> </w:t>
      </w:r>
      <w:r w:rsidRPr="00F52470">
        <w:rPr>
          <w:rFonts w:ascii="Times New Roman" w:hAnsi="Times New Roman" w:cs="Times New Roman"/>
          <w:i/>
          <w:sz w:val="24"/>
          <w:szCs w:val="24"/>
        </w:rPr>
        <w:t>Dubia</w:t>
      </w:r>
      <w:r>
        <w:rPr>
          <w:rFonts w:ascii="Times New Roman" w:hAnsi="Times New Roman" w:cs="Times New Roman"/>
          <w:sz w:val="24"/>
          <w:szCs w:val="24"/>
        </w:rPr>
        <w:t xml:space="preserve">, pp. 719-720, 23 ottobre 1924,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 I, 1918-1941.</w:t>
      </w:r>
    </w:p>
  </w:footnote>
  <w:footnote w:id="499">
    <w:p w14:paraId="2EFBCA08" w14:textId="77777777" w:rsidR="00F202D0" w:rsidRDefault="00F202D0" w:rsidP="00140247">
      <w:pPr>
        <w:pStyle w:val="Testonotaapidipagina"/>
      </w:pPr>
      <w:r>
        <w:rPr>
          <w:rStyle w:val="Rimandonotaapidipagina"/>
        </w:rPr>
        <w:footnoteRef/>
      </w:r>
      <w:r>
        <w:t xml:space="preserve"> </w:t>
      </w:r>
      <w:r w:rsidRPr="00E041D6">
        <w:rPr>
          <w:rFonts w:ascii="Times New Roman" w:hAnsi="Times New Roman" w:cs="Times New Roman"/>
          <w:i/>
          <w:sz w:val="24"/>
          <w:szCs w:val="24"/>
        </w:rPr>
        <w:t>Circ</w:t>
      </w:r>
      <w:r>
        <w:rPr>
          <w:rFonts w:ascii="Times New Roman" w:hAnsi="Times New Roman" w:cs="Times New Roman"/>
          <w:sz w:val="24"/>
          <w:szCs w:val="24"/>
        </w:rPr>
        <w:t>., pp. 837-838, 1 luglio 1926, in</w:t>
      </w:r>
      <w:r w:rsidRPr="00A907BD">
        <w:rPr>
          <w:rFonts w:ascii="Times New Roman" w:hAnsi="Times New Roman" w:cs="Times New Roman"/>
          <w:i/>
          <w:sz w:val="24"/>
          <w:szCs w:val="24"/>
        </w:rPr>
        <w:t xml:space="preserve"> </w:t>
      </w:r>
      <w:r>
        <w:rPr>
          <w:rFonts w:ascii="Times New Roman" w:hAnsi="Times New Roman" w:cs="Times New Roman"/>
          <w:i/>
          <w:sz w:val="24"/>
          <w:szCs w:val="24"/>
        </w:rPr>
        <w:t>L</w:t>
      </w:r>
      <w:r w:rsidRPr="00A907BD">
        <w:rPr>
          <w:rFonts w:ascii="Times New Roman" w:hAnsi="Times New Roman" w:cs="Times New Roman"/>
          <w:i/>
          <w:sz w:val="24"/>
          <w:szCs w:val="24"/>
        </w:rPr>
        <w:t>eges ecclesiae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500">
    <w:p w14:paraId="0C824E9B"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501">
    <w:p w14:paraId="7E0E3E89"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502">
    <w:p w14:paraId="038210C0"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 xml:space="preserve">Ibidem. </w:t>
      </w:r>
    </w:p>
  </w:footnote>
  <w:footnote w:id="503">
    <w:p w14:paraId="2FC93658"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Lit. Circ</w:t>
      </w:r>
      <w:r w:rsidRPr="00874758">
        <w:rPr>
          <w:rFonts w:ascii="Times New Roman" w:hAnsi="Times New Roman" w:cs="Times New Roman"/>
          <w:sz w:val="24"/>
          <w:szCs w:val="24"/>
        </w:rPr>
        <w:t xml:space="preserve">, pp. 2883-2884, 21 marzo 1951, in </w:t>
      </w:r>
      <w:r w:rsidRPr="00874758">
        <w:rPr>
          <w:rFonts w:ascii="Times New Roman" w:hAnsi="Times New Roman" w:cs="Times New Roman"/>
          <w:i/>
          <w:sz w:val="24"/>
          <w:szCs w:val="24"/>
        </w:rPr>
        <w:t xml:space="preserve">Leges ecclesiae </w:t>
      </w:r>
      <w:r w:rsidRPr="00874758">
        <w:rPr>
          <w:rFonts w:ascii="Times New Roman" w:hAnsi="Times New Roman" w:cs="Times New Roman"/>
          <w:sz w:val="24"/>
          <w:szCs w:val="24"/>
        </w:rPr>
        <w:t>Vol.2</w:t>
      </w:r>
      <w:r w:rsidRPr="00874758">
        <w:rPr>
          <w:rFonts w:ascii="Times New Roman" w:hAnsi="Times New Roman" w:cs="Times New Roman"/>
          <w:i/>
          <w:sz w:val="24"/>
          <w:szCs w:val="24"/>
        </w:rPr>
        <w:t xml:space="preserve">, </w:t>
      </w:r>
      <w:r w:rsidRPr="00874758">
        <w:rPr>
          <w:rFonts w:ascii="Times New Roman" w:hAnsi="Times New Roman" w:cs="Times New Roman"/>
          <w:sz w:val="24"/>
          <w:szCs w:val="24"/>
        </w:rPr>
        <w:t>1942-1958</w:t>
      </w:r>
      <w:r w:rsidRPr="00874758">
        <w:rPr>
          <w:rFonts w:ascii="Times New Roman" w:hAnsi="Times New Roman" w:cs="Times New Roman"/>
          <w:i/>
          <w:sz w:val="24"/>
          <w:szCs w:val="24"/>
        </w:rPr>
        <w:t>.</w:t>
      </w:r>
    </w:p>
  </w:footnote>
  <w:footnote w:id="504">
    <w:p w14:paraId="5536A855" w14:textId="77777777" w:rsidR="00F202D0" w:rsidRPr="00874758" w:rsidRDefault="00F202D0" w:rsidP="00140247">
      <w:pPr>
        <w:pStyle w:val="Testonotaapidipagina"/>
      </w:pPr>
      <w:r>
        <w:rPr>
          <w:rStyle w:val="Rimandonotaapidipagina"/>
        </w:rPr>
        <w:footnoteRef/>
      </w:r>
      <w:r w:rsidRPr="00874758">
        <w:t xml:space="preserve"> </w:t>
      </w:r>
      <w:r w:rsidRPr="00874758">
        <w:rPr>
          <w:rFonts w:ascii="Times New Roman" w:hAnsi="Times New Roman" w:cs="Times New Roman"/>
          <w:i/>
          <w:sz w:val="24"/>
          <w:szCs w:val="24"/>
        </w:rPr>
        <w:t>Ibidem.</w:t>
      </w:r>
    </w:p>
  </w:footnote>
  <w:footnote w:id="505">
    <w:p w14:paraId="2CE4A0F8"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06">
    <w:p w14:paraId="5A0006A2"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07">
    <w:p w14:paraId="4E0B6C10"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 xml:space="preserve"> </w:t>
      </w:r>
    </w:p>
  </w:footnote>
  <w:footnote w:id="508">
    <w:p w14:paraId="273D7B47" w14:textId="77777777" w:rsidR="00F202D0" w:rsidRDefault="00F202D0" w:rsidP="00140247">
      <w:pPr>
        <w:pStyle w:val="Testonotaapidipagina"/>
      </w:pPr>
      <w:r>
        <w:rPr>
          <w:rStyle w:val="Rimandonotaapidipagina"/>
        </w:rPr>
        <w:footnoteRef/>
      </w:r>
      <w:r>
        <w:t xml:space="preserve"> </w:t>
      </w:r>
      <w:r w:rsidRPr="005E1903">
        <w:rPr>
          <w:rFonts w:ascii="Times New Roman" w:hAnsi="Times New Roman" w:cs="Times New Roman"/>
          <w:i/>
          <w:sz w:val="24"/>
          <w:szCs w:val="24"/>
        </w:rPr>
        <w:t>Lit</w:t>
      </w:r>
      <w:r>
        <w:rPr>
          <w:rFonts w:ascii="Times New Roman" w:hAnsi="Times New Roman" w:cs="Times New Roman"/>
          <w:i/>
          <w:sz w:val="24"/>
          <w:szCs w:val="24"/>
        </w:rPr>
        <w:t>terae</w:t>
      </w:r>
      <w:r w:rsidRPr="005E1903">
        <w:rPr>
          <w:rFonts w:ascii="Times New Roman" w:hAnsi="Times New Roman" w:cs="Times New Roman"/>
          <w:i/>
          <w:sz w:val="24"/>
          <w:szCs w:val="24"/>
        </w:rPr>
        <w:t>,</w:t>
      </w:r>
      <w:r>
        <w:rPr>
          <w:rFonts w:ascii="Times New Roman" w:hAnsi="Times New Roman" w:cs="Times New Roman"/>
          <w:sz w:val="24"/>
          <w:szCs w:val="24"/>
        </w:rPr>
        <w:t xml:space="preserve"> pp. 581-582, 20 maggio 1923,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509">
    <w:p w14:paraId="7CAF27FC"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10">
    <w:p w14:paraId="669DDC8A" w14:textId="77777777" w:rsidR="00F202D0" w:rsidRDefault="00F202D0">
      <w:pPr>
        <w:pStyle w:val="Testonotaapidipagina"/>
      </w:pPr>
      <w:r>
        <w:rPr>
          <w:rStyle w:val="Rimandonotaapidipagina"/>
        </w:rPr>
        <w:footnoteRef/>
      </w:r>
      <w:r>
        <w:t xml:space="preserve"> </w:t>
      </w:r>
      <w:r w:rsidRPr="00753802">
        <w:rPr>
          <w:rFonts w:ascii="Times New Roman" w:hAnsi="Times New Roman" w:cs="Times New Roman"/>
          <w:i/>
          <w:sz w:val="24"/>
          <w:szCs w:val="24"/>
        </w:rPr>
        <w:t>Epistola</w:t>
      </w:r>
      <w:r>
        <w:rPr>
          <w:rFonts w:ascii="Times New Roman" w:hAnsi="Times New Roman" w:cs="Times New Roman"/>
          <w:sz w:val="24"/>
          <w:szCs w:val="24"/>
        </w:rPr>
        <w:t xml:space="preserve">, pp. 1895-1896, 14 luglio 1938,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 I, 1918-1941.</w:t>
      </w:r>
    </w:p>
  </w:footnote>
  <w:footnote w:id="511">
    <w:p w14:paraId="51228CD9"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12">
    <w:p w14:paraId="35823E32" w14:textId="77777777" w:rsidR="00F202D0" w:rsidRDefault="00F202D0">
      <w:pPr>
        <w:pStyle w:val="Testonotaapidipagina"/>
      </w:pPr>
      <w:r>
        <w:rPr>
          <w:rStyle w:val="Rimandonotaapidipagina"/>
        </w:rPr>
        <w:footnoteRef/>
      </w:r>
      <w:r>
        <w:t xml:space="preserve"> </w:t>
      </w:r>
      <w:r w:rsidRPr="00D3448F">
        <w:rPr>
          <w:rFonts w:ascii="Times New Roman" w:hAnsi="Times New Roman" w:cs="Times New Roman"/>
          <w:i/>
          <w:sz w:val="24"/>
          <w:szCs w:val="24"/>
        </w:rPr>
        <w:t>Instructio circa prudentiorem de rebus missionalibus tractandi rationem</w:t>
      </w:r>
      <w:r w:rsidRPr="00D3448F">
        <w:rPr>
          <w:rFonts w:ascii="Times New Roman" w:hAnsi="Times New Roman" w:cs="Times New Roman"/>
          <w:sz w:val="24"/>
          <w:szCs w:val="24"/>
        </w:rPr>
        <w:t xml:space="preserve">, in AAS30-1938, </w:t>
      </w:r>
      <w:r>
        <w:rPr>
          <w:rFonts w:ascii="Times New Roman" w:hAnsi="Times New Roman" w:cs="Times New Roman"/>
          <w:sz w:val="24"/>
          <w:szCs w:val="24"/>
        </w:rPr>
        <w:t xml:space="preserve">9 giugno 1939, p. </w:t>
      </w:r>
      <w:r w:rsidRPr="00D3448F">
        <w:rPr>
          <w:rFonts w:ascii="Times New Roman" w:hAnsi="Times New Roman" w:cs="Times New Roman"/>
          <w:sz w:val="24"/>
          <w:szCs w:val="24"/>
        </w:rPr>
        <w:t>269</w:t>
      </w:r>
      <w:r>
        <w:rPr>
          <w:rFonts w:ascii="Times New Roman" w:hAnsi="Times New Roman" w:cs="Times New Roman"/>
          <w:sz w:val="24"/>
          <w:szCs w:val="24"/>
        </w:rPr>
        <w:t>.</w:t>
      </w:r>
    </w:p>
  </w:footnote>
  <w:footnote w:id="513">
    <w:p w14:paraId="6098C414"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14">
    <w:p w14:paraId="5FA70AC8" w14:textId="77777777" w:rsidR="00F202D0" w:rsidRDefault="00F202D0">
      <w:pPr>
        <w:pStyle w:val="Testonotaapidipagina"/>
      </w:pPr>
      <w:r>
        <w:rPr>
          <w:rStyle w:val="Rimandonotaapidipagina"/>
        </w:rPr>
        <w:footnoteRef/>
      </w:r>
      <w:r>
        <w:t xml:space="preserve"> </w:t>
      </w:r>
      <w:r w:rsidRPr="005010D5">
        <w:rPr>
          <w:rFonts w:ascii="Times New Roman" w:hAnsi="Times New Roman" w:cs="Times New Roman"/>
          <w:i/>
          <w:sz w:val="24"/>
          <w:szCs w:val="24"/>
        </w:rPr>
        <w:t>Instructio circa quasdam caeremonias et iuramentum super ritibus sinensibus</w:t>
      </w:r>
      <w:r w:rsidRPr="005010D5">
        <w:rPr>
          <w:rFonts w:ascii="Times New Roman" w:hAnsi="Times New Roman" w:cs="Times New Roman"/>
          <w:sz w:val="24"/>
          <w:szCs w:val="24"/>
        </w:rPr>
        <w:t xml:space="preserve">, in AAS32-1940, </w:t>
      </w:r>
      <w:r>
        <w:rPr>
          <w:rFonts w:ascii="Times New Roman" w:hAnsi="Times New Roman" w:cs="Times New Roman"/>
          <w:sz w:val="24"/>
          <w:szCs w:val="24"/>
        </w:rPr>
        <w:t>8 dicembre 1939, pp. 24-26.</w:t>
      </w:r>
    </w:p>
  </w:footnote>
  <w:footnote w:id="515">
    <w:p w14:paraId="26557A7E"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16">
    <w:p w14:paraId="3848F377" w14:textId="77777777" w:rsidR="00F202D0" w:rsidRDefault="00F202D0">
      <w:pPr>
        <w:pStyle w:val="Testonotaapidipagina"/>
      </w:pPr>
      <w:r>
        <w:rPr>
          <w:rStyle w:val="Rimandonotaapidipagina"/>
        </w:rPr>
        <w:footnoteRef/>
      </w:r>
      <w:r>
        <w:t xml:space="preserve"> </w:t>
      </w:r>
      <w:r w:rsidRPr="007854F3">
        <w:rPr>
          <w:rFonts w:ascii="Times New Roman" w:hAnsi="Times New Roman" w:cs="Times New Roman"/>
          <w:i/>
          <w:sz w:val="24"/>
          <w:szCs w:val="24"/>
        </w:rPr>
        <w:t>Res.part</w:t>
      </w:r>
      <w:r>
        <w:rPr>
          <w:rFonts w:ascii="Times New Roman" w:hAnsi="Times New Roman" w:cs="Times New Roman"/>
          <w:sz w:val="24"/>
          <w:szCs w:val="24"/>
        </w:rPr>
        <w:t xml:space="preserve">, pp. 1621-22, 28 maggio 1935,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517">
    <w:p w14:paraId="61B0DED7" w14:textId="77777777" w:rsidR="00F202D0" w:rsidRDefault="00F202D0">
      <w:pPr>
        <w:pStyle w:val="Testonotaapidipagina"/>
      </w:pPr>
      <w:r>
        <w:rPr>
          <w:rStyle w:val="Rimandonotaapidipagina"/>
        </w:rPr>
        <w:footnoteRef/>
      </w:r>
      <w:r w:rsidRPr="00F50054">
        <w:rPr>
          <w:rFonts w:ascii="Times New Roman" w:hAnsi="Times New Roman" w:cs="Times New Roman"/>
          <w:i/>
          <w:sz w:val="24"/>
          <w:szCs w:val="24"/>
        </w:rPr>
        <w:t>Ibidem.</w:t>
      </w:r>
      <w:r>
        <w:t xml:space="preserve"> </w:t>
      </w:r>
    </w:p>
  </w:footnote>
  <w:footnote w:id="518">
    <w:p w14:paraId="5961CA4D" w14:textId="77777777" w:rsidR="00F202D0" w:rsidRDefault="00F202D0">
      <w:pPr>
        <w:pStyle w:val="Testonotaapidipagina"/>
        <w:rPr>
          <w:rFonts w:ascii="Times New Roman" w:hAnsi="Times New Roman" w:cs="Times New Roman"/>
          <w:sz w:val="24"/>
          <w:szCs w:val="24"/>
        </w:rPr>
      </w:pPr>
      <w:r>
        <w:rPr>
          <w:rStyle w:val="Rimandonotaapidipagina"/>
        </w:rPr>
        <w:footnoteRef/>
      </w:r>
      <w:r>
        <w:t xml:space="preserve"> </w:t>
      </w:r>
      <w:r w:rsidRPr="005010D5">
        <w:rPr>
          <w:rFonts w:ascii="Times New Roman" w:hAnsi="Times New Roman" w:cs="Times New Roman"/>
          <w:i/>
          <w:sz w:val="24"/>
          <w:szCs w:val="24"/>
        </w:rPr>
        <w:t>Instructio circa quasdam caeremonias et iuramentum super ritibus sinensibus</w:t>
      </w:r>
      <w:r w:rsidRPr="005010D5">
        <w:rPr>
          <w:rFonts w:ascii="Times New Roman" w:hAnsi="Times New Roman" w:cs="Times New Roman"/>
          <w:sz w:val="24"/>
          <w:szCs w:val="24"/>
        </w:rPr>
        <w:t>,</w:t>
      </w:r>
      <w:r>
        <w:rPr>
          <w:rFonts w:ascii="Times New Roman" w:hAnsi="Times New Roman" w:cs="Times New Roman"/>
          <w:sz w:val="24"/>
          <w:szCs w:val="24"/>
        </w:rPr>
        <w:t>cit., pp.</w:t>
      </w:r>
      <w:r w:rsidRPr="001B042C">
        <w:rPr>
          <w:rFonts w:ascii="Times New Roman" w:hAnsi="Times New Roman" w:cs="Times New Roman"/>
          <w:sz w:val="24"/>
          <w:szCs w:val="24"/>
        </w:rPr>
        <w:t xml:space="preserve"> </w:t>
      </w:r>
      <w:r>
        <w:rPr>
          <w:rFonts w:ascii="Times New Roman" w:hAnsi="Times New Roman" w:cs="Times New Roman"/>
          <w:sz w:val="24"/>
          <w:szCs w:val="24"/>
        </w:rPr>
        <w:t>24-26.</w:t>
      </w:r>
    </w:p>
    <w:p w14:paraId="179AD0E7" w14:textId="77777777" w:rsidR="00F202D0" w:rsidRDefault="00F202D0">
      <w:pPr>
        <w:pStyle w:val="Testonotaapidipagina"/>
      </w:pPr>
    </w:p>
  </w:footnote>
  <w:footnote w:id="519">
    <w:p w14:paraId="294CFB19" w14:textId="77777777" w:rsidR="00F202D0" w:rsidRDefault="00F202D0">
      <w:pPr>
        <w:pStyle w:val="Testonotaapidipagina"/>
      </w:pPr>
      <w:r>
        <w:rPr>
          <w:rStyle w:val="Rimandonotaapidipagina"/>
        </w:rPr>
        <w:footnoteRef/>
      </w:r>
      <w:r>
        <w:t xml:space="preserve"> </w:t>
      </w:r>
      <w:r w:rsidRPr="005010D5">
        <w:rPr>
          <w:rFonts w:ascii="Times New Roman" w:hAnsi="Times New Roman" w:cs="Times New Roman"/>
          <w:i/>
          <w:sz w:val="24"/>
          <w:szCs w:val="24"/>
        </w:rPr>
        <w:t>Decretum: de iuramento super ritibus malabaricos a missionariis in indiis orientalibus praestando</w:t>
      </w:r>
      <w:r w:rsidRPr="005010D5">
        <w:rPr>
          <w:rFonts w:ascii="Times New Roman" w:hAnsi="Times New Roman" w:cs="Times New Roman"/>
          <w:sz w:val="24"/>
          <w:szCs w:val="24"/>
        </w:rPr>
        <w:t>, in AAS32-1940,</w:t>
      </w:r>
      <w:r>
        <w:rPr>
          <w:rFonts w:ascii="Times New Roman" w:hAnsi="Times New Roman" w:cs="Times New Roman"/>
          <w:sz w:val="24"/>
          <w:szCs w:val="24"/>
        </w:rPr>
        <w:t xml:space="preserve"> 9 aprile 1940, p. </w:t>
      </w:r>
      <w:r w:rsidRPr="005010D5">
        <w:rPr>
          <w:rFonts w:ascii="Times New Roman" w:hAnsi="Times New Roman" w:cs="Times New Roman"/>
          <w:sz w:val="24"/>
          <w:szCs w:val="24"/>
        </w:rPr>
        <w:t>379</w:t>
      </w:r>
      <w:r>
        <w:rPr>
          <w:rFonts w:ascii="Times New Roman" w:hAnsi="Times New Roman" w:cs="Times New Roman"/>
          <w:sz w:val="24"/>
          <w:szCs w:val="24"/>
        </w:rPr>
        <w:t>.</w:t>
      </w:r>
    </w:p>
  </w:footnote>
  <w:footnote w:id="520">
    <w:p w14:paraId="0949A502" w14:textId="77777777" w:rsidR="00F202D0" w:rsidRDefault="00F202D0">
      <w:pPr>
        <w:pStyle w:val="Testonotaapidipagina"/>
      </w:pPr>
      <w:r>
        <w:rPr>
          <w:rStyle w:val="Rimandonotaapidipagina"/>
        </w:rPr>
        <w:footnoteRef/>
      </w:r>
      <w:r>
        <w:t xml:space="preserve"> </w:t>
      </w:r>
      <w:r w:rsidRPr="00004A0B">
        <w:rPr>
          <w:rFonts w:ascii="Times New Roman" w:hAnsi="Times New Roman" w:cs="Times New Roman"/>
          <w:i/>
          <w:sz w:val="24"/>
          <w:szCs w:val="24"/>
        </w:rPr>
        <w:t>Normae</w:t>
      </w:r>
      <w:r>
        <w:rPr>
          <w:rFonts w:ascii="Times New Roman" w:hAnsi="Times New Roman" w:cs="Times New Roman"/>
          <w:sz w:val="24"/>
          <w:szCs w:val="24"/>
        </w:rPr>
        <w:t xml:space="preserve">, pp. 2604-2605, 8 luglio 1949, in </w:t>
      </w:r>
      <w:r>
        <w:rPr>
          <w:rFonts w:ascii="Times New Roman" w:hAnsi="Times New Roman" w:cs="Times New Roman"/>
          <w:i/>
          <w:sz w:val="24"/>
          <w:szCs w:val="24"/>
        </w:rPr>
        <w:t>L</w:t>
      </w:r>
      <w:r w:rsidRPr="00CC0D6F">
        <w:rPr>
          <w:rFonts w:ascii="Times New Roman" w:hAnsi="Times New Roman" w:cs="Times New Roman"/>
          <w:i/>
          <w:sz w:val="24"/>
          <w:szCs w:val="24"/>
        </w:rPr>
        <w:t xml:space="preserve">eges ecclesiae </w:t>
      </w:r>
      <w:r w:rsidRPr="00331542">
        <w:rPr>
          <w:rFonts w:ascii="Times New Roman" w:hAnsi="Times New Roman" w:cs="Times New Roman"/>
          <w:sz w:val="24"/>
          <w:szCs w:val="24"/>
        </w:rPr>
        <w:t>Vol.2,</w:t>
      </w:r>
      <w:r>
        <w:rPr>
          <w:rFonts w:ascii="Times New Roman" w:hAnsi="Times New Roman" w:cs="Times New Roman"/>
          <w:i/>
          <w:sz w:val="24"/>
          <w:szCs w:val="24"/>
        </w:rPr>
        <w:t xml:space="preserve"> </w:t>
      </w:r>
      <w:r w:rsidRPr="00331542">
        <w:rPr>
          <w:rFonts w:ascii="Times New Roman" w:hAnsi="Times New Roman" w:cs="Times New Roman"/>
          <w:sz w:val="24"/>
          <w:szCs w:val="24"/>
        </w:rPr>
        <w:t>1942-1958</w:t>
      </w:r>
      <w:r>
        <w:rPr>
          <w:rFonts w:ascii="Times New Roman" w:hAnsi="Times New Roman" w:cs="Times New Roman"/>
          <w:i/>
          <w:sz w:val="24"/>
          <w:szCs w:val="24"/>
        </w:rPr>
        <w:t>.</w:t>
      </w:r>
    </w:p>
  </w:footnote>
  <w:footnote w:id="521">
    <w:p w14:paraId="694BF6AB" w14:textId="77777777" w:rsidR="00F202D0" w:rsidRPr="0040771F" w:rsidRDefault="00F202D0" w:rsidP="00140247">
      <w:pPr>
        <w:pStyle w:val="Testonotaapidipagina"/>
        <w:rPr>
          <w:rFonts w:ascii="Times New Roman" w:hAnsi="Times New Roman" w:cs="Times New Roman"/>
          <w:sz w:val="24"/>
          <w:szCs w:val="24"/>
        </w:rPr>
      </w:pPr>
      <w:r>
        <w:rPr>
          <w:rStyle w:val="Rimandonotaapidipagina"/>
        </w:rPr>
        <w:footnoteRef/>
      </w:r>
      <w:r w:rsidRPr="0040771F">
        <w:rPr>
          <w:rFonts w:ascii="Times New Roman" w:hAnsi="Times New Roman" w:cs="Times New Roman"/>
          <w:sz w:val="24"/>
          <w:szCs w:val="24"/>
        </w:rPr>
        <w:t>G.</w:t>
      </w:r>
      <w:r>
        <w:rPr>
          <w:rFonts w:ascii="Times New Roman" w:hAnsi="Times New Roman" w:cs="Times New Roman"/>
          <w:sz w:val="24"/>
          <w:szCs w:val="24"/>
        </w:rPr>
        <w:t xml:space="preserve"> </w:t>
      </w:r>
      <w:r w:rsidRPr="0040771F">
        <w:rPr>
          <w:rFonts w:ascii="Times New Roman" w:hAnsi="Times New Roman" w:cs="Times New Roman"/>
          <w:sz w:val="24"/>
          <w:szCs w:val="24"/>
        </w:rPr>
        <w:t xml:space="preserve">Löw, </w:t>
      </w:r>
      <w:r>
        <w:rPr>
          <w:rFonts w:ascii="Times New Roman" w:hAnsi="Times New Roman" w:cs="Times New Roman"/>
          <w:i/>
          <w:sz w:val="24"/>
          <w:szCs w:val="24"/>
        </w:rPr>
        <w:t>C</w:t>
      </w:r>
      <w:r w:rsidRPr="0040771F">
        <w:rPr>
          <w:rFonts w:ascii="Times New Roman" w:hAnsi="Times New Roman" w:cs="Times New Roman"/>
          <w:i/>
          <w:sz w:val="24"/>
          <w:szCs w:val="24"/>
        </w:rPr>
        <w:t>alendario della Chiesa universale</w:t>
      </w:r>
      <w:r w:rsidRPr="0040771F">
        <w:rPr>
          <w:rFonts w:ascii="Times New Roman" w:hAnsi="Times New Roman" w:cs="Times New Roman"/>
          <w:sz w:val="24"/>
          <w:szCs w:val="24"/>
        </w:rPr>
        <w:t xml:space="preserve">, in </w:t>
      </w:r>
      <w:r w:rsidRPr="0040771F">
        <w:rPr>
          <w:rFonts w:ascii="Times New Roman" w:hAnsi="Times New Roman" w:cs="Times New Roman"/>
          <w:i/>
          <w:sz w:val="24"/>
          <w:szCs w:val="24"/>
        </w:rPr>
        <w:t>Enciclopedia cattolica</w:t>
      </w:r>
      <w:r w:rsidRPr="0040771F">
        <w:rPr>
          <w:rFonts w:ascii="Times New Roman" w:hAnsi="Times New Roman" w:cs="Times New Roman"/>
          <w:sz w:val="24"/>
          <w:szCs w:val="24"/>
        </w:rPr>
        <w:t xml:space="preserve">, Vol. 3, 1948, Roma, p.364. </w:t>
      </w:r>
    </w:p>
  </w:footnote>
  <w:footnote w:id="522">
    <w:p w14:paraId="22430020"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23">
    <w:p w14:paraId="7F6884B8"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24">
    <w:p w14:paraId="67B8706A" w14:textId="77777777" w:rsidR="00F202D0" w:rsidRDefault="00F202D0" w:rsidP="00140247">
      <w:pPr>
        <w:pStyle w:val="Testonotaapidipagina"/>
      </w:pPr>
      <w:r>
        <w:rPr>
          <w:rStyle w:val="Rimandonotaapidipagina"/>
        </w:rPr>
        <w:footnoteRef/>
      </w:r>
      <w:r>
        <w:t xml:space="preserve"> </w:t>
      </w:r>
      <w:r w:rsidRPr="007854F3">
        <w:rPr>
          <w:rFonts w:ascii="Times New Roman" w:hAnsi="Times New Roman" w:cs="Times New Roman"/>
          <w:i/>
          <w:sz w:val="24"/>
          <w:szCs w:val="24"/>
        </w:rPr>
        <w:t>Res.part</w:t>
      </w:r>
      <w:r>
        <w:rPr>
          <w:rFonts w:ascii="Times New Roman" w:hAnsi="Times New Roman" w:cs="Times New Roman"/>
          <w:sz w:val="24"/>
          <w:szCs w:val="24"/>
        </w:rPr>
        <w:t xml:space="preserve">, pp. 1492-1493, 22 giugno 1933,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 I, 1918-1941.</w:t>
      </w:r>
    </w:p>
  </w:footnote>
  <w:footnote w:id="525">
    <w:p w14:paraId="29BD902A" w14:textId="77777777" w:rsidR="00F202D0" w:rsidRDefault="00F202D0" w:rsidP="00140247">
      <w:pPr>
        <w:pStyle w:val="Testonotaapidipagina"/>
      </w:pPr>
      <w:r>
        <w:rPr>
          <w:rStyle w:val="Rimandonotaapidipagina"/>
        </w:rPr>
        <w:footnoteRef/>
      </w:r>
      <w:r>
        <w:t xml:space="preserve"> </w:t>
      </w:r>
      <w:r w:rsidRPr="007854F3">
        <w:rPr>
          <w:rFonts w:ascii="Times New Roman" w:hAnsi="Times New Roman" w:cs="Times New Roman"/>
          <w:i/>
          <w:sz w:val="24"/>
          <w:szCs w:val="24"/>
        </w:rPr>
        <w:t>Res.part</w:t>
      </w:r>
      <w:r>
        <w:rPr>
          <w:rFonts w:ascii="Times New Roman" w:hAnsi="Times New Roman" w:cs="Times New Roman"/>
          <w:sz w:val="24"/>
          <w:szCs w:val="24"/>
        </w:rPr>
        <w:t xml:space="preserve">, p. 1769, 21 ottobre 1936,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 I, 1918-1941.</w:t>
      </w:r>
    </w:p>
  </w:footnote>
  <w:footnote w:id="526">
    <w:p w14:paraId="6850662F"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27">
    <w:p w14:paraId="6F6D0B7D"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28">
    <w:p w14:paraId="455EA243"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29">
    <w:p w14:paraId="5A83B4E3"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30">
    <w:p w14:paraId="09BF4C6C" w14:textId="77777777" w:rsidR="00F202D0" w:rsidRPr="00322E36" w:rsidRDefault="00F202D0">
      <w:pPr>
        <w:pStyle w:val="Testonotaapidipagina"/>
        <w:rPr>
          <w:rFonts w:ascii="Times New Roman" w:hAnsi="Times New Roman" w:cs="Times New Roman"/>
          <w:sz w:val="24"/>
          <w:szCs w:val="24"/>
        </w:rPr>
      </w:pPr>
      <w:r>
        <w:rPr>
          <w:rStyle w:val="Rimandonotaapidipagina"/>
        </w:rPr>
        <w:footnoteRef/>
      </w:r>
      <w:r>
        <w:t xml:space="preserve"> </w:t>
      </w:r>
      <w:r w:rsidRPr="00322E36">
        <w:rPr>
          <w:rFonts w:ascii="Times New Roman" w:hAnsi="Times New Roman" w:cs="Times New Roman"/>
          <w:sz w:val="24"/>
          <w:szCs w:val="24"/>
        </w:rPr>
        <w:t>D.</w:t>
      </w:r>
      <w:r>
        <w:rPr>
          <w:rFonts w:ascii="Times New Roman" w:hAnsi="Times New Roman" w:cs="Times New Roman"/>
          <w:sz w:val="24"/>
          <w:szCs w:val="24"/>
        </w:rPr>
        <w:t xml:space="preserve"> </w:t>
      </w:r>
      <w:r w:rsidRPr="00322E36">
        <w:rPr>
          <w:rFonts w:ascii="Times New Roman" w:hAnsi="Times New Roman" w:cs="Times New Roman"/>
          <w:sz w:val="24"/>
          <w:szCs w:val="24"/>
        </w:rPr>
        <w:t xml:space="preserve">Staffa, </w:t>
      </w:r>
      <w:r w:rsidRPr="004C3F42">
        <w:rPr>
          <w:rFonts w:ascii="Times New Roman" w:hAnsi="Times New Roman" w:cs="Times New Roman"/>
          <w:i/>
          <w:sz w:val="24"/>
          <w:szCs w:val="24"/>
        </w:rPr>
        <w:t>Indulto</w:t>
      </w:r>
      <w:r w:rsidRPr="00322E36">
        <w:rPr>
          <w:rFonts w:ascii="Times New Roman" w:hAnsi="Times New Roman" w:cs="Times New Roman"/>
          <w:sz w:val="24"/>
          <w:szCs w:val="24"/>
        </w:rPr>
        <w:t xml:space="preserve">, in </w:t>
      </w:r>
      <w:r w:rsidRPr="004C3F42">
        <w:rPr>
          <w:rFonts w:ascii="Times New Roman" w:hAnsi="Times New Roman" w:cs="Times New Roman"/>
          <w:i/>
          <w:sz w:val="24"/>
          <w:szCs w:val="24"/>
        </w:rPr>
        <w:t>Enciclopedia cattolica</w:t>
      </w:r>
      <w:r w:rsidRPr="00322E36">
        <w:rPr>
          <w:rFonts w:ascii="Times New Roman" w:hAnsi="Times New Roman" w:cs="Times New Roman"/>
          <w:sz w:val="24"/>
          <w:szCs w:val="24"/>
        </w:rPr>
        <w:t>, Vol. 6, 1948, Roma, p. 1911.</w:t>
      </w:r>
    </w:p>
  </w:footnote>
  <w:footnote w:id="531">
    <w:p w14:paraId="0AE38A8D"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32">
    <w:p w14:paraId="5647095B"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33">
    <w:p w14:paraId="7E3EC27E"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34">
    <w:p w14:paraId="48B86531"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35">
    <w:p w14:paraId="650EE7BC"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36">
    <w:p w14:paraId="07DCF676" w14:textId="77777777" w:rsidR="00F202D0" w:rsidRDefault="00F202D0">
      <w:pPr>
        <w:pStyle w:val="Testonotaapidipagina"/>
      </w:pPr>
      <w:r>
        <w:rPr>
          <w:rStyle w:val="Rimandonotaapidipagina"/>
        </w:rPr>
        <w:footnoteRef/>
      </w:r>
      <w:r>
        <w:t xml:space="preserve"> </w:t>
      </w:r>
      <w:r w:rsidRPr="000D79C0">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 xml:space="preserve"> </w:t>
      </w:r>
      <w:r w:rsidRPr="000D79C0">
        <w:rPr>
          <w:rFonts w:ascii="Times New Roman" w:hAnsi="Times New Roman" w:cs="Times New Roman"/>
          <w:color w:val="000000"/>
          <w:sz w:val="24"/>
          <w:szCs w:val="24"/>
          <w:shd w:val="clear" w:color="auto" w:fill="FFFFFF"/>
        </w:rPr>
        <w:t xml:space="preserve">Sabbarese, </w:t>
      </w:r>
      <w:r w:rsidRPr="000D79C0">
        <w:rPr>
          <w:rFonts w:ascii="Times New Roman" w:hAnsi="Times New Roman" w:cs="Times New Roman"/>
          <w:i/>
          <w:iCs/>
          <w:color w:val="000000"/>
          <w:sz w:val="24"/>
          <w:szCs w:val="24"/>
          <w:shd w:val="clear" w:color="auto" w:fill="FFFFFF"/>
        </w:rPr>
        <w:t>Un momento di inculturazione del Cattolicesimo in Cina. Le Facoltà speciali del 1978</w:t>
      </w:r>
      <w:r w:rsidRPr="000D79C0">
        <w:rPr>
          <w:rFonts w:ascii="Times New Roman" w:hAnsi="Times New Roman" w:cs="Times New Roman"/>
          <w:color w:val="000000"/>
          <w:sz w:val="24"/>
          <w:szCs w:val="24"/>
          <w:shd w:val="clear" w:color="auto" w:fill="FFFFFF"/>
        </w:rPr>
        <w:t>, 2015</w:t>
      </w:r>
      <w:r>
        <w:rPr>
          <w:rFonts w:ascii="Times New Roman" w:hAnsi="Times New Roman" w:cs="Times New Roman"/>
          <w:color w:val="000000"/>
          <w:sz w:val="24"/>
          <w:szCs w:val="24"/>
          <w:shd w:val="clear" w:color="auto" w:fill="FFFFFF"/>
        </w:rPr>
        <w:t>, pp.49-52</w:t>
      </w:r>
      <w:r w:rsidRPr="000D79C0">
        <w:rPr>
          <w:rFonts w:ascii="Times New Roman" w:hAnsi="Times New Roman" w:cs="Times New Roman"/>
          <w:color w:val="000000"/>
          <w:sz w:val="24"/>
          <w:szCs w:val="24"/>
          <w:shd w:val="clear" w:color="auto" w:fill="FFFFFF"/>
        </w:rPr>
        <w:t>.</w:t>
      </w:r>
    </w:p>
  </w:footnote>
  <w:footnote w:id="537">
    <w:p w14:paraId="42E7B434"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38">
    <w:p w14:paraId="4DF91697"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39">
    <w:p w14:paraId="67E487AE"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40">
    <w:p w14:paraId="4535FC79"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41">
    <w:p w14:paraId="432374C4"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42">
    <w:p w14:paraId="42434FA1"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43">
    <w:p w14:paraId="2B52B7D2"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44">
    <w:p w14:paraId="1F62AF16" w14:textId="77777777" w:rsidR="00F202D0" w:rsidRDefault="00F202D0" w:rsidP="00140247">
      <w:pPr>
        <w:pStyle w:val="Testonotaapidipagina"/>
      </w:pPr>
      <w:r>
        <w:rPr>
          <w:rStyle w:val="Rimandonotaapidipagina"/>
        </w:rPr>
        <w:footnoteRef/>
      </w:r>
      <w:r>
        <w:t xml:space="preserve"> </w:t>
      </w:r>
      <w:r w:rsidRPr="00C234FE">
        <w:rPr>
          <w:rFonts w:ascii="Times New Roman" w:hAnsi="Times New Roman" w:cs="Times New Roman"/>
          <w:i/>
          <w:sz w:val="24"/>
          <w:szCs w:val="24"/>
        </w:rPr>
        <w:t>Novum spirituale privilegium conceditur sacerdotibus piae unionis • cleri a mis</w:t>
      </w:r>
      <w:r>
        <w:rPr>
          <w:rFonts w:ascii="Times New Roman" w:hAnsi="Times New Roman" w:cs="Times New Roman"/>
          <w:i/>
          <w:sz w:val="24"/>
          <w:szCs w:val="24"/>
        </w:rPr>
        <w:t xml:space="preserve">sionibus adscriptis. Rescriptum, </w:t>
      </w:r>
      <w:r>
        <w:rPr>
          <w:rFonts w:ascii="Times New Roman" w:hAnsi="Times New Roman" w:cs="Times New Roman"/>
          <w:sz w:val="24"/>
          <w:szCs w:val="24"/>
        </w:rPr>
        <w:t xml:space="preserve">in </w:t>
      </w:r>
      <w:r w:rsidRPr="00E32835">
        <w:rPr>
          <w:rFonts w:ascii="Times New Roman" w:hAnsi="Times New Roman" w:cs="Times New Roman"/>
          <w:sz w:val="24"/>
          <w:szCs w:val="24"/>
        </w:rPr>
        <w:t>AAS13-1921</w:t>
      </w:r>
      <w:r>
        <w:rPr>
          <w:rFonts w:ascii="Times New Roman" w:hAnsi="Times New Roman" w:cs="Times New Roman"/>
          <w:sz w:val="24"/>
          <w:szCs w:val="24"/>
        </w:rPr>
        <w:t>, 2 dicembre 1921, p. 565.</w:t>
      </w:r>
    </w:p>
  </w:footnote>
  <w:footnote w:id="545">
    <w:p w14:paraId="27E39086" w14:textId="77777777" w:rsidR="00F202D0" w:rsidRDefault="00F202D0">
      <w:pPr>
        <w:pStyle w:val="Testonotaapidipagina"/>
      </w:pPr>
      <w:r>
        <w:rPr>
          <w:rStyle w:val="Rimandonotaapidipagina"/>
        </w:rPr>
        <w:footnoteRef/>
      </w:r>
      <w:r>
        <w:t xml:space="preserve"> </w:t>
      </w:r>
      <w:r w:rsidRPr="00A60645">
        <w:rPr>
          <w:rFonts w:ascii="Times New Roman" w:hAnsi="Times New Roman" w:cs="Times New Roman"/>
          <w:i/>
          <w:sz w:val="24"/>
          <w:szCs w:val="24"/>
        </w:rPr>
        <w:t>Indult. Part</w:t>
      </w:r>
      <w:r>
        <w:rPr>
          <w:rFonts w:ascii="Times New Roman" w:hAnsi="Times New Roman" w:cs="Times New Roman"/>
          <w:sz w:val="24"/>
          <w:szCs w:val="24"/>
        </w:rPr>
        <w:t xml:space="preserve">., p. 1820, 14 aprile 1937,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546">
    <w:p w14:paraId="602C1AA0" w14:textId="77777777" w:rsidR="00F202D0" w:rsidRDefault="00F202D0" w:rsidP="00140247">
      <w:pPr>
        <w:pStyle w:val="Testonotaapidipagina"/>
      </w:pPr>
      <w:r>
        <w:rPr>
          <w:rStyle w:val="Rimandonotaapidipagina"/>
        </w:rPr>
        <w:footnoteRef/>
      </w:r>
      <w:r>
        <w:t xml:space="preserve"> </w:t>
      </w:r>
      <w:r w:rsidRPr="009E30EA">
        <w:rPr>
          <w:rFonts w:ascii="Times New Roman" w:hAnsi="Times New Roman" w:cs="Times New Roman"/>
          <w:i/>
          <w:noProof/>
          <w:sz w:val="24"/>
          <w:szCs w:val="24"/>
          <w:lang w:eastAsia="it-IT"/>
        </w:rPr>
        <w:t>Decl</w:t>
      </w:r>
      <w:r>
        <w:rPr>
          <w:rFonts w:ascii="Times New Roman" w:hAnsi="Times New Roman" w:cs="Times New Roman"/>
          <w:noProof/>
          <w:sz w:val="24"/>
          <w:szCs w:val="24"/>
          <w:lang w:eastAsia="it-IT"/>
        </w:rPr>
        <w:t xml:space="preserve">., pp. 921-922, 1927,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547">
    <w:p w14:paraId="170663F0" w14:textId="77777777" w:rsidR="00F202D0" w:rsidRDefault="00F202D0">
      <w:pPr>
        <w:pStyle w:val="Testonotaapidipagina"/>
      </w:pPr>
      <w:r>
        <w:rPr>
          <w:rStyle w:val="Rimandonotaapidipagina"/>
        </w:rPr>
        <w:footnoteRef/>
      </w:r>
      <w:r>
        <w:t xml:space="preserve"> </w:t>
      </w:r>
      <w:r w:rsidRPr="007854F3">
        <w:rPr>
          <w:rFonts w:ascii="Times New Roman" w:hAnsi="Times New Roman" w:cs="Times New Roman"/>
          <w:i/>
          <w:sz w:val="24"/>
          <w:szCs w:val="24"/>
        </w:rPr>
        <w:t>Res.part</w:t>
      </w:r>
      <w:r>
        <w:rPr>
          <w:rFonts w:ascii="Times New Roman" w:hAnsi="Times New Roman" w:cs="Times New Roman"/>
          <w:sz w:val="24"/>
          <w:szCs w:val="24"/>
        </w:rPr>
        <w:t xml:space="preserve">, pp. 1621-22, 28 maggio 1935,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548">
    <w:p w14:paraId="6B34B2AB" w14:textId="77777777" w:rsidR="00F202D0"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sidRPr="005E1903">
        <w:rPr>
          <w:rFonts w:ascii="Times New Roman" w:hAnsi="Times New Roman" w:cs="Times New Roman"/>
          <w:i/>
          <w:sz w:val="24"/>
          <w:szCs w:val="24"/>
        </w:rPr>
        <w:t>Indult</w:t>
      </w:r>
      <w:r>
        <w:rPr>
          <w:rFonts w:ascii="Times New Roman" w:hAnsi="Times New Roman" w:cs="Times New Roman"/>
          <w:sz w:val="24"/>
          <w:szCs w:val="24"/>
        </w:rPr>
        <w:t xml:space="preserve">., p. 591, 12 giugno 1923,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 I, 1918-1941.</w:t>
      </w:r>
    </w:p>
    <w:p w14:paraId="5FB74B12" w14:textId="77777777" w:rsidR="00F202D0" w:rsidRPr="00B33014" w:rsidRDefault="00F202D0" w:rsidP="00140247">
      <w:pPr>
        <w:pStyle w:val="Testonotaapidipagina"/>
        <w:rPr>
          <w:rFonts w:ascii="Times New Roman" w:hAnsi="Times New Roman" w:cs="Times New Roman"/>
          <w:sz w:val="24"/>
          <w:szCs w:val="24"/>
        </w:rPr>
      </w:pPr>
      <w:r w:rsidRPr="00BE73A0">
        <w:rPr>
          <w:rFonts w:ascii="Times New Roman" w:hAnsi="Times New Roman" w:cs="Times New Roman"/>
          <w:i/>
          <w:sz w:val="24"/>
          <w:szCs w:val="24"/>
        </w:rPr>
        <w:t>Indult</w:t>
      </w:r>
      <w:r>
        <w:rPr>
          <w:rFonts w:ascii="Times New Roman" w:hAnsi="Times New Roman" w:cs="Times New Roman"/>
          <w:sz w:val="24"/>
          <w:szCs w:val="24"/>
        </w:rPr>
        <w:t xml:space="preserve">., p. 1181, 21 giugno 1930, in </w:t>
      </w:r>
      <w:r>
        <w:rPr>
          <w:rFonts w:ascii="Times New Roman" w:hAnsi="Times New Roman" w:cs="Times New Roman"/>
          <w:i/>
          <w:sz w:val="24"/>
          <w:szCs w:val="24"/>
        </w:rPr>
        <w:t>L</w:t>
      </w:r>
      <w:r w:rsidRPr="00652FB3">
        <w:rPr>
          <w:rFonts w:ascii="Times New Roman" w:hAnsi="Times New Roman" w:cs="Times New Roman"/>
          <w:i/>
          <w:sz w:val="24"/>
          <w:szCs w:val="24"/>
        </w:rPr>
        <w:t>eges eclesiae</w:t>
      </w:r>
      <w:r>
        <w:rPr>
          <w:rFonts w:ascii="Times New Roman" w:hAnsi="Times New Roman" w:cs="Times New Roman"/>
          <w:sz w:val="24"/>
          <w:szCs w:val="24"/>
        </w:rPr>
        <w:t xml:space="preserve"> Vol. I, 1918-1941.</w:t>
      </w:r>
    </w:p>
  </w:footnote>
  <w:footnote w:id="549">
    <w:p w14:paraId="15C7E29C"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50">
    <w:p w14:paraId="304D31D2" w14:textId="77777777" w:rsidR="00F202D0" w:rsidRDefault="00F202D0" w:rsidP="00140247">
      <w:pPr>
        <w:pStyle w:val="Testonotaapidipagina"/>
      </w:pPr>
      <w:r>
        <w:rPr>
          <w:rStyle w:val="Rimandonotaapidipagina"/>
        </w:rPr>
        <w:footnoteRef/>
      </w:r>
      <w:r w:rsidRPr="00747D1E">
        <w:rPr>
          <w:rFonts w:ascii="Times New Roman" w:hAnsi="Times New Roman" w:cs="Times New Roman"/>
          <w:i/>
          <w:sz w:val="24"/>
          <w:szCs w:val="24"/>
        </w:rPr>
        <w:t>Indult. Part</w:t>
      </w:r>
      <w:r>
        <w:rPr>
          <w:rFonts w:ascii="Times New Roman" w:hAnsi="Times New Roman" w:cs="Times New Roman"/>
          <w:sz w:val="24"/>
          <w:szCs w:val="24"/>
        </w:rPr>
        <w:t xml:space="preserve">., p 1826, 25 maggio 1937,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 I, 1918-1941.</w:t>
      </w:r>
      <w:r>
        <w:t xml:space="preserve"> </w:t>
      </w:r>
    </w:p>
  </w:footnote>
  <w:footnote w:id="551">
    <w:p w14:paraId="1C7D1324"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52">
    <w:p w14:paraId="05541B5B" w14:textId="77777777" w:rsidR="00F202D0" w:rsidRDefault="00F202D0" w:rsidP="00140247">
      <w:pPr>
        <w:pStyle w:val="Testonotaapidipagina"/>
      </w:pPr>
      <w:r>
        <w:rPr>
          <w:rStyle w:val="Rimandonotaapidipagina"/>
        </w:rPr>
        <w:footnoteRef/>
      </w:r>
      <w:r>
        <w:t xml:space="preserve"> </w:t>
      </w:r>
      <w:r w:rsidRPr="00D20E5B">
        <w:rPr>
          <w:rFonts w:ascii="Times New Roman" w:hAnsi="Times New Roman" w:cs="Times New Roman"/>
          <w:i/>
          <w:sz w:val="24"/>
          <w:szCs w:val="24"/>
        </w:rPr>
        <w:t>Indult.part</w:t>
      </w:r>
      <w:r w:rsidRPr="00D20E5B">
        <w:rPr>
          <w:rFonts w:ascii="Times New Roman" w:hAnsi="Times New Roman" w:cs="Times New Roman"/>
          <w:sz w:val="24"/>
          <w:szCs w:val="24"/>
        </w:rPr>
        <w:t xml:space="preserve">., p. 1870, 7 febbraio 1938, in </w:t>
      </w:r>
      <w:r w:rsidRPr="00D20E5B">
        <w:rPr>
          <w:rFonts w:ascii="Times New Roman" w:hAnsi="Times New Roman" w:cs="Times New Roman"/>
          <w:i/>
          <w:sz w:val="24"/>
          <w:szCs w:val="24"/>
        </w:rPr>
        <w:t>Leges ecclesiae</w:t>
      </w:r>
      <w:r w:rsidRPr="00D20E5B">
        <w:rPr>
          <w:rFonts w:ascii="Times New Roman" w:hAnsi="Times New Roman" w:cs="Times New Roman"/>
          <w:sz w:val="24"/>
          <w:szCs w:val="24"/>
        </w:rPr>
        <w:t xml:space="preserve"> Vol. I, 1918-1941.</w:t>
      </w:r>
    </w:p>
  </w:footnote>
  <w:footnote w:id="553">
    <w:p w14:paraId="06AA2C48" w14:textId="77777777" w:rsidR="00F202D0" w:rsidRDefault="00F202D0" w:rsidP="00140247">
      <w:pPr>
        <w:pStyle w:val="Testonotaapidipagina"/>
      </w:pPr>
      <w:r>
        <w:rPr>
          <w:rStyle w:val="Rimandonotaapidipagina"/>
        </w:rPr>
        <w:footnoteRef/>
      </w:r>
      <w:r>
        <w:t xml:space="preserve"> </w:t>
      </w:r>
      <w:r w:rsidRPr="00F136D7">
        <w:rPr>
          <w:rFonts w:ascii="Times New Roman" w:hAnsi="Times New Roman" w:cs="Times New Roman"/>
          <w:i/>
          <w:sz w:val="24"/>
          <w:szCs w:val="24"/>
        </w:rPr>
        <w:t>Resp</w:t>
      </w:r>
      <w:r>
        <w:rPr>
          <w:rFonts w:ascii="Times New Roman" w:hAnsi="Times New Roman" w:cs="Times New Roman"/>
          <w:i/>
          <w:sz w:val="24"/>
          <w:szCs w:val="24"/>
        </w:rPr>
        <w:t>.</w:t>
      </w:r>
      <w:r>
        <w:rPr>
          <w:rFonts w:ascii="Times New Roman" w:hAnsi="Times New Roman" w:cs="Times New Roman"/>
          <w:sz w:val="24"/>
          <w:szCs w:val="24"/>
        </w:rPr>
        <w:t xml:space="preserve">, p. 2945, 7 dicembre 1951, in </w:t>
      </w:r>
      <w:r>
        <w:rPr>
          <w:rFonts w:ascii="Times New Roman" w:hAnsi="Times New Roman" w:cs="Times New Roman"/>
          <w:i/>
          <w:sz w:val="24"/>
          <w:szCs w:val="24"/>
        </w:rPr>
        <w:t>L</w:t>
      </w:r>
      <w:r w:rsidRPr="00CC0D6F">
        <w:rPr>
          <w:rFonts w:ascii="Times New Roman" w:hAnsi="Times New Roman" w:cs="Times New Roman"/>
          <w:i/>
          <w:sz w:val="24"/>
          <w:szCs w:val="24"/>
        </w:rPr>
        <w:t>eges ecclesiae</w:t>
      </w:r>
      <w:r>
        <w:rPr>
          <w:rFonts w:ascii="Times New Roman" w:hAnsi="Times New Roman" w:cs="Times New Roman"/>
          <w:i/>
          <w:sz w:val="24"/>
          <w:szCs w:val="24"/>
        </w:rPr>
        <w:t xml:space="preserve"> </w:t>
      </w:r>
      <w:r w:rsidRPr="00F136D7">
        <w:rPr>
          <w:rFonts w:ascii="Times New Roman" w:hAnsi="Times New Roman" w:cs="Times New Roman"/>
          <w:sz w:val="24"/>
          <w:szCs w:val="24"/>
        </w:rPr>
        <w:t>Vol.2</w:t>
      </w:r>
      <w:r>
        <w:rPr>
          <w:rFonts w:ascii="Times New Roman" w:hAnsi="Times New Roman" w:cs="Times New Roman"/>
          <w:i/>
          <w:sz w:val="24"/>
          <w:szCs w:val="24"/>
        </w:rPr>
        <w:t>,</w:t>
      </w:r>
      <w:r w:rsidRPr="00CC0D6F">
        <w:rPr>
          <w:rFonts w:ascii="Times New Roman" w:hAnsi="Times New Roman" w:cs="Times New Roman"/>
          <w:i/>
          <w:sz w:val="24"/>
          <w:szCs w:val="24"/>
        </w:rPr>
        <w:t xml:space="preserve"> </w:t>
      </w:r>
      <w:r w:rsidRPr="00F136D7">
        <w:rPr>
          <w:rFonts w:ascii="Times New Roman" w:hAnsi="Times New Roman" w:cs="Times New Roman"/>
          <w:sz w:val="24"/>
          <w:szCs w:val="24"/>
        </w:rPr>
        <w:t>1942-1958.</w:t>
      </w:r>
    </w:p>
  </w:footnote>
  <w:footnote w:id="554">
    <w:p w14:paraId="49717ECD" w14:textId="77777777" w:rsidR="00F202D0" w:rsidRPr="00ED06F8"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sidRPr="00ED06F8">
        <w:rPr>
          <w:rFonts w:ascii="Times New Roman" w:hAnsi="Times New Roman" w:cs="Times New Roman"/>
          <w:i/>
          <w:sz w:val="24"/>
          <w:szCs w:val="24"/>
        </w:rPr>
        <w:t>Codex iuris canonici</w:t>
      </w:r>
      <w:r w:rsidRPr="00ED06F8">
        <w:rPr>
          <w:rFonts w:ascii="Times New Roman" w:hAnsi="Times New Roman" w:cs="Times New Roman"/>
          <w:sz w:val="24"/>
          <w:szCs w:val="24"/>
        </w:rPr>
        <w:t>, 1917</w:t>
      </w:r>
      <w:r>
        <w:rPr>
          <w:rFonts w:ascii="Times New Roman" w:hAnsi="Times New Roman" w:cs="Times New Roman"/>
          <w:sz w:val="24"/>
          <w:szCs w:val="24"/>
        </w:rPr>
        <w:t>,</w:t>
      </w:r>
      <w:r w:rsidRPr="00ED06F8">
        <w:rPr>
          <w:rFonts w:ascii="Times New Roman" w:hAnsi="Times New Roman" w:cs="Times New Roman"/>
          <w:sz w:val="24"/>
          <w:szCs w:val="24"/>
        </w:rPr>
        <w:t xml:space="preserve"> can.556.</w:t>
      </w:r>
    </w:p>
  </w:footnote>
  <w:footnote w:id="555">
    <w:p w14:paraId="221A649A" w14:textId="77777777" w:rsidR="00F202D0" w:rsidRDefault="00F202D0" w:rsidP="00140247">
      <w:pPr>
        <w:pStyle w:val="Testonotaapidipagina"/>
      </w:pPr>
      <w:r>
        <w:rPr>
          <w:rStyle w:val="Rimandonotaapidipagina"/>
        </w:rPr>
        <w:footnoteRef/>
      </w:r>
      <w:r>
        <w:t xml:space="preserve"> </w:t>
      </w:r>
      <w:r w:rsidRPr="00652FB3">
        <w:rPr>
          <w:rFonts w:ascii="Times New Roman" w:hAnsi="Times New Roman" w:cs="Times New Roman"/>
          <w:i/>
          <w:sz w:val="24"/>
          <w:szCs w:val="24"/>
        </w:rPr>
        <w:t>Decretum,</w:t>
      </w:r>
      <w:r>
        <w:rPr>
          <w:rFonts w:ascii="Times New Roman" w:hAnsi="Times New Roman" w:cs="Times New Roman"/>
          <w:sz w:val="24"/>
          <w:szCs w:val="24"/>
        </w:rPr>
        <w:t xml:space="preserve"> pp. 518-519,</w:t>
      </w:r>
      <w:r w:rsidRPr="00652FB3">
        <w:rPr>
          <w:noProof/>
          <w:lang w:eastAsia="it-IT"/>
        </w:rPr>
        <w:t xml:space="preserve"> </w:t>
      </w:r>
      <w:r>
        <w:rPr>
          <w:rFonts w:ascii="Times New Roman" w:hAnsi="Times New Roman" w:cs="Times New Roman"/>
          <w:sz w:val="24"/>
          <w:szCs w:val="24"/>
        </w:rPr>
        <w:t xml:space="preserve">2 dicembre 1922,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 I, 1918-1941.</w:t>
      </w:r>
    </w:p>
  </w:footnote>
  <w:footnote w:id="556">
    <w:p w14:paraId="69923186" w14:textId="77777777" w:rsidR="00F202D0" w:rsidRPr="00AD1EFD"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sidRPr="00AD1EFD">
        <w:rPr>
          <w:rFonts w:ascii="Times New Roman" w:hAnsi="Times New Roman" w:cs="Times New Roman"/>
          <w:i/>
          <w:sz w:val="24"/>
          <w:szCs w:val="24"/>
        </w:rPr>
        <w:t>Codex iuris canonici</w:t>
      </w:r>
      <w:r w:rsidRPr="00AD1EFD">
        <w:rPr>
          <w:rFonts w:ascii="Times New Roman" w:hAnsi="Times New Roman" w:cs="Times New Roman"/>
          <w:sz w:val="24"/>
          <w:szCs w:val="24"/>
        </w:rPr>
        <w:t>, 1917, cann. 1245 e 1248.</w:t>
      </w:r>
    </w:p>
  </w:footnote>
  <w:footnote w:id="557">
    <w:p w14:paraId="2882C9C2" w14:textId="77777777" w:rsidR="00F202D0" w:rsidRDefault="00F202D0" w:rsidP="00140247">
      <w:pPr>
        <w:pStyle w:val="Testonotaapidipagina"/>
      </w:pPr>
      <w:r>
        <w:rPr>
          <w:rStyle w:val="Rimandonotaapidipagina"/>
        </w:rPr>
        <w:footnoteRef/>
      </w:r>
      <w:r>
        <w:rPr>
          <w:rFonts w:ascii="Times New Roman" w:hAnsi="Times New Roman" w:cs="Times New Roman"/>
          <w:i/>
          <w:sz w:val="24"/>
          <w:szCs w:val="24"/>
        </w:rPr>
        <w:t>I</w:t>
      </w:r>
      <w:r w:rsidRPr="003564AE">
        <w:rPr>
          <w:rFonts w:ascii="Times New Roman" w:hAnsi="Times New Roman" w:cs="Times New Roman"/>
          <w:i/>
          <w:sz w:val="24"/>
          <w:szCs w:val="24"/>
        </w:rPr>
        <w:t>an</w:t>
      </w:r>
      <w:r>
        <w:rPr>
          <w:rFonts w:ascii="Times New Roman" w:hAnsi="Times New Roman" w:cs="Times New Roman"/>
          <w:sz w:val="24"/>
          <w:szCs w:val="24"/>
        </w:rPr>
        <w:t xml:space="preserve">., p. 531, 29 gennaio 1923,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r>
        <w:t xml:space="preserve"> </w:t>
      </w:r>
    </w:p>
  </w:footnote>
  <w:footnote w:id="558">
    <w:p w14:paraId="3C82D66B"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59">
    <w:p w14:paraId="02689088" w14:textId="77777777" w:rsidR="00F202D0" w:rsidRDefault="00F202D0" w:rsidP="00140247">
      <w:pPr>
        <w:pStyle w:val="Testonotaapidipagina"/>
      </w:pPr>
      <w:r>
        <w:rPr>
          <w:rStyle w:val="Rimandonotaapidipagina"/>
        </w:rPr>
        <w:footnoteRef/>
      </w:r>
      <w:r>
        <w:t xml:space="preserve"> </w:t>
      </w:r>
      <w:r w:rsidRPr="00220486">
        <w:rPr>
          <w:rFonts w:ascii="Times New Roman" w:hAnsi="Times New Roman" w:cs="Times New Roman"/>
          <w:i/>
          <w:sz w:val="24"/>
          <w:szCs w:val="24"/>
        </w:rPr>
        <w:t>Revocatur privilegium praecedentiae titulo missionarii apostolici adnexus</w:t>
      </w:r>
      <w:r>
        <w:rPr>
          <w:rFonts w:ascii="Times New Roman" w:hAnsi="Times New Roman" w:cs="Times New Roman"/>
          <w:sz w:val="24"/>
          <w:szCs w:val="24"/>
        </w:rPr>
        <w:t>, in AAS16-1924,16 gennaio 1924, p. 243.</w:t>
      </w:r>
    </w:p>
  </w:footnote>
  <w:footnote w:id="560">
    <w:p w14:paraId="007D53BA" w14:textId="77777777" w:rsidR="00F202D0" w:rsidRPr="00114F00"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sidRPr="00F50054">
        <w:rPr>
          <w:rFonts w:ascii="Times New Roman" w:hAnsi="Times New Roman" w:cs="Times New Roman"/>
          <w:i/>
          <w:sz w:val="24"/>
          <w:szCs w:val="24"/>
        </w:rPr>
        <w:t>Ibidem</w:t>
      </w:r>
      <w:r>
        <w:rPr>
          <w:rFonts w:ascii="Times New Roman" w:hAnsi="Times New Roman" w:cs="Times New Roman"/>
          <w:i/>
          <w:sz w:val="24"/>
          <w:szCs w:val="24"/>
        </w:rPr>
        <w:t xml:space="preserve">; </w:t>
      </w:r>
      <w:r w:rsidRPr="00114F00">
        <w:rPr>
          <w:rFonts w:ascii="Times New Roman" w:hAnsi="Times New Roman" w:cs="Times New Roman"/>
          <w:i/>
          <w:sz w:val="24"/>
          <w:szCs w:val="24"/>
        </w:rPr>
        <w:t>Codex iuris canonici</w:t>
      </w:r>
      <w:r>
        <w:rPr>
          <w:rFonts w:ascii="Times New Roman" w:hAnsi="Times New Roman" w:cs="Times New Roman"/>
          <w:sz w:val="24"/>
          <w:szCs w:val="24"/>
        </w:rPr>
        <w:t>, 1917, can. 106.</w:t>
      </w:r>
    </w:p>
  </w:footnote>
  <w:footnote w:id="561">
    <w:p w14:paraId="6301C164" w14:textId="77777777" w:rsidR="00F202D0" w:rsidRDefault="00F202D0">
      <w:pPr>
        <w:pStyle w:val="Testonotaapidipagina"/>
      </w:pPr>
      <w:r>
        <w:rPr>
          <w:rStyle w:val="Rimandonotaapidipagina"/>
        </w:rPr>
        <w:footnoteRef/>
      </w:r>
      <w:r>
        <w:t xml:space="preserve"> </w:t>
      </w:r>
      <w:r w:rsidRPr="002E003A">
        <w:rPr>
          <w:rFonts w:ascii="Times New Roman" w:hAnsi="Times New Roman" w:cs="Times New Roman"/>
          <w:i/>
          <w:sz w:val="24"/>
          <w:szCs w:val="24"/>
        </w:rPr>
        <w:t>Facultas</w:t>
      </w:r>
      <w:r w:rsidRPr="002E003A">
        <w:rPr>
          <w:rFonts w:ascii="Times New Roman" w:hAnsi="Times New Roman" w:cs="Times New Roman"/>
          <w:sz w:val="24"/>
          <w:szCs w:val="24"/>
        </w:rPr>
        <w:t xml:space="preserve">, pp. 1231-1235, 1 gennaio 1931, in </w:t>
      </w:r>
      <w:r w:rsidRPr="002E003A">
        <w:rPr>
          <w:rFonts w:ascii="Times New Roman" w:hAnsi="Times New Roman" w:cs="Times New Roman"/>
          <w:i/>
          <w:sz w:val="24"/>
          <w:szCs w:val="24"/>
        </w:rPr>
        <w:t>leges ecclesiae</w:t>
      </w:r>
      <w:r w:rsidRPr="002E003A">
        <w:rPr>
          <w:rFonts w:ascii="Times New Roman" w:hAnsi="Times New Roman" w:cs="Times New Roman"/>
          <w:sz w:val="24"/>
          <w:szCs w:val="24"/>
        </w:rPr>
        <w:t xml:space="preserve"> Vol. I, 1918-1941.</w:t>
      </w:r>
    </w:p>
  </w:footnote>
  <w:footnote w:id="562">
    <w:p w14:paraId="5564FA5A"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63">
    <w:p w14:paraId="1DE54469"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64">
    <w:p w14:paraId="7F7E3154" w14:textId="77777777" w:rsidR="00F202D0" w:rsidRDefault="00F202D0">
      <w:pPr>
        <w:pStyle w:val="Testonotaapidipagina"/>
      </w:pPr>
      <w:r>
        <w:rPr>
          <w:rStyle w:val="Rimandonotaapidipagina"/>
        </w:rPr>
        <w:footnoteRef/>
      </w:r>
      <w:r>
        <w:t xml:space="preserve"> </w:t>
      </w:r>
      <w:r w:rsidRPr="007854F3">
        <w:rPr>
          <w:rFonts w:ascii="Times New Roman" w:hAnsi="Times New Roman" w:cs="Times New Roman"/>
          <w:i/>
          <w:sz w:val="24"/>
          <w:szCs w:val="24"/>
        </w:rPr>
        <w:t>Res.part</w:t>
      </w:r>
      <w:r>
        <w:rPr>
          <w:rFonts w:ascii="Times New Roman" w:hAnsi="Times New Roman" w:cs="Times New Roman"/>
          <w:sz w:val="24"/>
          <w:szCs w:val="24"/>
        </w:rPr>
        <w:t xml:space="preserve">., p. 1463, 3 aprile 1933,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565">
    <w:p w14:paraId="273764C5" w14:textId="77777777" w:rsidR="00F202D0" w:rsidRDefault="00F202D0">
      <w:pPr>
        <w:pStyle w:val="Testonotaapidipagina"/>
      </w:pPr>
      <w:r>
        <w:rPr>
          <w:rStyle w:val="Rimandonotaapidipagina"/>
        </w:rPr>
        <w:footnoteRef/>
      </w:r>
      <w:r w:rsidRPr="00F50054">
        <w:rPr>
          <w:rFonts w:ascii="Times New Roman" w:hAnsi="Times New Roman" w:cs="Times New Roman"/>
          <w:i/>
          <w:sz w:val="24"/>
          <w:szCs w:val="24"/>
        </w:rPr>
        <w:t>Ibidem.</w:t>
      </w:r>
      <w:r>
        <w:t xml:space="preserve"> </w:t>
      </w:r>
    </w:p>
  </w:footnote>
  <w:footnote w:id="566">
    <w:p w14:paraId="132199C8"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p w14:paraId="0B155AB0" w14:textId="77777777" w:rsidR="00F202D0" w:rsidRDefault="00F202D0">
      <w:pPr>
        <w:pStyle w:val="Testonotaapidipagina"/>
      </w:pPr>
    </w:p>
  </w:footnote>
  <w:footnote w:id="567">
    <w:p w14:paraId="4D44BAEC" w14:textId="77777777" w:rsidR="00F202D0" w:rsidRDefault="00F202D0">
      <w:pPr>
        <w:pStyle w:val="Testonotaapidipagina"/>
      </w:pPr>
      <w:r>
        <w:rPr>
          <w:rStyle w:val="Rimandonotaapidipagina"/>
        </w:rPr>
        <w:footnoteRef/>
      </w:r>
      <w:r>
        <w:t xml:space="preserve"> </w:t>
      </w:r>
      <w:r>
        <w:rPr>
          <w:rFonts w:ascii="Times New Roman" w:hAnsi="Times New Roman" w:cs="Times New Roman"/>
          <w:sz w:val="24"/>
          <w:szCs w:val="24"/>
        </w:rPr>
        <w:t xml:space="preserve">Res.part, pp. 2031-2041, 1 gennaio 1941, in </w:t>
      </w:r>
      <w:r w:rsidRPr="00C34CEC">
        <w:rPr>
          <w:rFonts w:ascii="Times New Roman" w:hAnsi="Times New Roman" w:cs="Times New Roman"/>
          <w:i/>
          <w:sz w:val="24"/>
          <w:szCs w:val="24"/>
        </w:rPr>
        <w:t>Leges ecclesiae</w:t>
      </w:r>
      <w:r w:rsidRPr="00B04E38">
        <w:rPr>
          <w:rFonts w:ascii="Times New Roman" w:hAnsi="Times New Roman" w:cs="Times New Roman"/>
          <w:sz w:val="24"/>
          <w:szCs w:val="24"/>
        </w:rPr>
        <w:t xml:space="preserve"> Vol</w:t>
      </w:r>
      <w:r>
        <w:rPr>
          <w:rFonts w:ascii="Times New Roman" w:hAnsi="Times New Roman" w:cs="Times New Roman"/>
          <w:sz w:val="24"/>
          <w:szCs w:val="24"/>
        </w:rPr>
        <w:t>.</w:t>
      </w:r>
      <w:r w:rsidRPr="00B04E38">
        <w:rPr>
          <w:rFonts w:ascii="Times New Roman" w:hAnsi="Times New Roman" w:cs="Times New Roman"/>
          <w:sz w:val="24"/>
          <w:szCs w:val="24"/>
        </w:rPr>
        <w:t xml:space="preserve"> I</w:t>
      </w:r>
      <w:r>
        <w:rPr>
          <w:rFonts w:ascii="Times New Roman" w:hAnsi="Times New Roman" w:cs="Times New Roman"/>
          <w:sz w:val="24"/>
          <w:szCs w:val="24"/>
        </w:rPr>
        <w:t>, 1918-1941.</w:t>
      </w:r>
    </w:p>
  </w:footnote>
  <w:footnote w:id="568">
    <w:p w14:paraId="60C3D749" w14:textId="77777777" w:rsidR="00F202D0" w:rsidRDefault="00F202D0">
      <w:pPr>
        <w:pStyle w:val="Testonotaapidipagina"/>
      </w:pPr>
      <w:r>
        <w:rPr>
          <w:rStyle w:val="Rimandonotaapidipagina"/>
        </w:rPr>
        <w:footnoteRef/>
      </w:r>
      <w:r>
        <w:t xml:space="preserve"> </w:t>
      </w:r>
      <w:r w:rsidRPr="00381AF0">
        <w:rPr>
          <w:rFonts w:ascii="Times New Roman" w:hAnsi="Times New Roman" w:cs="Times New Roman"/>
          <w:i/>
          <w:sz w:val="24"/>
          <w:szCs w:val="24"/>
        </w:rPr>
        <w:t>Facultas</w:t>
      </w:r>
      <w:r>
        <w:rPr>
          <w:rFonts w:ascii="Times New Roman" w:hAnsi="Times New Roman" w:cs="Times New Roman"/>
          <w:sz w:val="24"/>
          <w:szCs w:val="24"/>
        </w:rPr>
        <w:t xml:space="preserve">, pp. 2851-2858, 1 gennaio 1951, in </w:t>
      </w:r>
      <w:r>
        <w:rPr>
          <w:rFonts w:ascii="Times New Roman" w:hAnsi="Times New Roman" w:cs="Times New Roman"/>
          <w:i/>
          <w:sz w:val="24"/>
          <w:szCs w:val="24"/>
        </w:rPr>
        <w:t>L</w:t>
      </w:r>
      <w:r w:rsidRPr="00CC0D6F">
        <w:rPr>
          <w:rFonts w:ascii="Times New Roman" w:hAnsi="Times New Roman" w:cs="Times New Roman"/>
          <w:i/>
          <w:sz w:val="24"/>
          <w:szCs w:val="24"/>
        </w:rPr>
        <w:t>eges ecclesiae</w:t>
      </w:r>
      <w:r>
        <w:rPr>
          <w:rFonts w:ascii="Times New Roman" w:hAnsi="Times New Roman" w:cs="Times New Roman"/>
          <w:i/>
          <w:sz w:val="24"/>
          <w:szCs w:val="24"/>
        </w:rPr>
        <w:t xml:space="preserve"> </w:t>
      </w:r>
      <w:r w:rsidRPr="00331542">
        <w:rPr>
          <w:rFonts w:ascii="Times New Roman" w:hAnsi="Times New Roman" w:cs="Times New Roman"/>
          <w:sz w:val="24"/>
          <w:szCs w:val="24"/>
        </w:rPr>
        <w:t>Vol.2</w:t>
      </w:r>
      <w:r>
        <w:rPr>
          <w:rFonts w:ascii="Times New Roman" w:hAnsi="Times New Roman" w:cs="Times New Roman"/>
          <w:i/>
          <w:sz w:val="24"/>
          <w:szCs w:val="24"/>
        </w:rPr>
        <w:t>,</w:t>
      </w:r>
      <w:r w:rsidRPr="00CC0D6F">
        <w:rPr>
          <w:rFonts w:ascii="Times New Roman" w:hAnsi="Times New Roman" w:cs="Times New Roman"/>
          <w:i/>
          <w:sz w:val="24"/>
          <w:szCs w:val="24"/>
        </w:rPr>
        <w:t xml:space="preserve"> </w:t>
      </w:r>
      <w:r w:rsidRPr="00331542">
        <w:rPr>
          <w:rFonts w:ascii="Times New Roman" w:hAnsi="Times New Roman" w:cs="Times New Roman"/>
          <w:sz w:val="24"/>
          <w:szCs w:val="24"/>
        </w:rPr>
        <w:t>1942-1958.</w:t>
      </w:r>
    </w:p>
  </w:footnote>
  <w:footnote w:id="569">
    <w:p w14:paraId="5426E668" w14:textId="77777777" w:rsidR="00F202D0" w:rsidRDefault="00F202D0">
      <w:pPr>
        <w:pStyle w:val="Testonotaapidipagina"/>
      </w:pPr>
      <w:r>
        <w:rPr>
          <w:rStyle w:val="Rimandonotaapidipagina"/>
        </w:rPr>
        <w:footnoteRef/>
      </w:r>
      <w:r>
        <w:t xml:space="preserve"> </w:t>
      </w:r>
      <w:r w:rsidRPr="00837B13">
        <w:rPr>
          <w:rFonts w:ascii="Times New Roman" w:hAnsi="Times New Roman" w:cs="Times New Roman"/>
          <w:i/>
          <w:sz w:val="24"/>
          <w:szCs w:val="24"/>
        </w:rPr>
        <w:t>Resp</w:t>
      </w:r>
      <w:r w:rsidRPr="00837B13">
        <w:rPr>
          <w:rFonts w:ascii="Times New Roman" w:hAnsi="Times New Roman" w:cs="Times New Roman"/>
          <w:sz w:val="24"/>
          <w:szCs w:val="24"/>
        </w:rPr>
        <w:t xml:space="preserve">., pp. 2317-2318, 15 dicembre 1945, in </w:t>
      </w:r>
      <w:r w:rsidRPr="00837B13">
        <w:rPr>
          <w:rFonts w:ascii="Times New Roman" w:hAnsi="Times New Roman" w:cs="Times New Roman"/>
          <w:i/>
          <w:sz w:val="24"/>
          <w:szCs w:val="24"/>
        </w:rPr>
        <w:t xml:space="preserve">Leges ecclesiae </w:t>
      </w:r>
      <w:r w:rsidRPr="00837B13">
        <w:rPr>
          <w:rFonts w:ascii="Times New Roman" w:hAnsi="Times New Roman" w:cs="Times New Roman"/>
          <w:sz w:val="24"/>
          <w:szCs w:val="24"/>
        </w:rPr>
        <w:t>Vol.2</w:t>
      </w:r>
      <w:r w:rsidRPr="00837B13">
        <w:rPr>
          <w:rFonts w:ascii="Times New Roman" w:hAnsi="Times New Roman" w:cs="Times New Roman"/>
          <w:i/>
          <w:sz w:val="24"/>
          <w:szCs w:val="24"/>
        </w:rPr>
        <w:t>, 1942-1958.</w:t>
      </w:r>
    </w:p>
  </w:footnote>
  <w:footnote w:id="570">
    <w:p w14:paraId="73620A48" w14:textId="77777777" w:rsidR="00F202D0" w:rsidRPr="00FC4C80" w:rsidRDefault="00F202D0">
      <w:pPr>
        <w:pStyle w:val="Testonotaapidipagina"/>
        <w:rPr>
          <w:rFonts w:ascii="Times New Roman" w:hAnsi="Times New Roman" w:cs="Times New Roman"/>
          <w:sz w:val="24"/>
          <w:szCs w:val="24"/>
        </w:rPr>
      </w:pPr>
      <w:r>
        <w:rPr>
          <w:rStyle w:val="Rimandonotaapidipagina"/>
        </w:rPr>
        <w:footnoteRef/>
      </w:r>
      <w:r>
        <w:t xml:space="preserve"> </w:t>
      </w:r>
      <w:r w:rsidRPr="00FC4C80">
        <w:rPr>
          <w:rFonts w:ascii="Times New Roman" w:hAnsi="Times New Roman" w:cs="Times New Roman"/>
          <w:i/>
          <w:sz w:val="24"/>
          <w:szCs w:val="24"/>
        </w:rPr>
        <w:t>Codex iuris canonici</w:t>
      </w:r>
      <w:r w:rsidRPr="00FC4C80">
        <w:rPr>
          <w:rFonts w:ascii="Times New Roman" w:hAnsi="Times New Roman" w:cs="Times New Roman"/>
          <w:sz w:val="24"/>
          <w:szCs w:val="24"/>
        </w:rPr>
        <w:t>, 1917, can. 822.</w:t>
      </w:r>
    </w:p>
  </w:footnote>
  <w:footnote w:id="571">
    <w:p w14:paraId="13315895"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72">
    <w:p w14:paraId="671FF94F" w14:textId="77777777" w:rsidR="00F202D0" w:rsidRDefault="00F202D0">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73">
    <w:p w14:paraId="50AC39D8" w14:textId="77777777" w:rsidR="00F202D0" w:rsidRDefault="00F202D0">
      <w:pPr>
        <w:pStyle w:val="Testonotaapidipagina"/>
      </w:pPr>
      <w:r>
        <w:rPr>
          <w:rStyle w:val="Rimandonotaapidipagina"/>
        </w:rPr>
        <w:footnoteRef/>
      </w:r>
      <w:r>
        <w:t xml:space="preserve"> </w:t>
      </w:r>
      <w:r>
        <w:rPr>
          <w:rFonts w:ascii="Times New Roman" w:hAnsi="Times New Roman" w:cs="Times New Roman"/>
          <w:i/>
          <w:sz w:val="24"/>
          <w:szCs w:val="24"/>
        </w:rPr>
        <w:t xml:space="preserve">Indult., </w:t>
      </w:r>
      <w:r>
        <w:rPr>
          <w:rFonts w:ascii="Times New Roman" w:hAnsi="Times New Roman" w:cs="Times New Roman"/>
          <w:sz w:val="24"/>
          <w:szCs w:val="24"/>
        </w:rPr>
        <w:t xml:space="preserve">p. 2418, 10 aprile 1947, in </w:t>
      </w:r>
      <w:r>
        <w:rPr>
          <w:rFonts w:ascii="Times New Roman" w:hAnsi="Times New Roman" w:cs="Times New Roman"/>
          <w:i/>
          <w:sz w:val="24"/>
          <w:szCs w:val="24"/>
        </w:rPr>
        <w:t>L</w:t>
      </w:r>
      <w:r w:rsidRPr="00CC0D6F">
        <w:rPr>
          <w:rFonts w:ascii="Times New Roman" w:hAnsi="Times New Roman" w:cs="Times New Roman"/>
          <w:i/>
          <w:sz w:val="24"/>
          <w:szCs w:val="24"/>
        </w:rPr>
        <w:t>eges ecclesiae</w:t>
      </w:r>
      <w:r>
        <w:rPr>
          <w:rFonts w:ascii="Times New Roman" w:hAnsi="Times New Roman" w:cs="Times New Roman"/>
          <w:i/>
          <w:sz w:val="24"/>
          <w:szCs w:val="24"/>
        </w:rPr>
        <w:t xml:space="preserve"> </w:t>
      </w:r>
      <w:r w:rsidRPr="005A5B4C">
        <w:rPr>
          <w:rFonts w:ascii="Times New Roman" w:hAnsi="Times New Roman" w:cs="Times New Roman"/>
          <w:sz w:val="24"/>
          <w:szCs w:val="24"/>
        </w:rPr>
        <w:t>Vol.2, 1942-1958.</w:t>
      </w:r>
    </w:p>
  </w:footnote>
  <w:footnote w:id="574">
    <w:p w14:paraId="7A33EDC1" w14:textId="77777777" w:rsidR="00F202D0" w:rsidRDefault="00F202D0">
      <w:pPr>
        <w:pStyle w:val="Testonotaapidipagina"/>
      </w:pPr>
      <w:r>
        <w:rPr>
          <w:rStyle w:val="Rimandonotaapidipagina"/>
        </w:rPr>
        <w:footnoteRef/>
      </w:r>
      <w:r>
        <w:t xml:space="preserve"> </w:t>
      </w:r>
      <w:r w:rsidRPr="00381AF0">
        <w:rPr>
          <w:rFonts w:ascii="Times New Roman" w:hAnsi="Times New Roman" w:cs="Times New Roman"/>
          <w:i/>
          <w:sz w:val="24"/>
          <w:szCs w:val="24"/>
        </w:rPr>
        <w:t>Indult</w:t>
      </w:r>
      <w:r>
        <w:rPr>
          <w:rFonts w:ascii="Times New Roman" w:hAnsi="Times New Roman" w:cs="Times New Roman"/>
          <w:sz w:val="24"/>
          <w:szCs w:val="24"/>
        </w:rPr>
        <w:t xml:space="preserve">., p. 2882, 15 marzo, in </w:t>
      </w:r>
      <w:r>
        <w:rPr>
          <w:rFonts w:ascii="Times New Roman" w:hAnsi="Times New Roman" w:cs="Times New Roman"/>
          <w:i/>
          <w:sz w:val="24"/>
          <w:szCs w:val="24"/>
        </w:rPr>
        <w:t>L</w:t>
      </w:r>
      <w:r w:rsidRPr="00CC0D6F">
        <w:rPr>
          <w:rFonts w:ascii="Times New Roman" w:hAnsi="Times New Roman" w:cs="Times New Roman"/>
          <w:i/>
          <w:sz w:val="24"/>
          <w:szCs w:val="24"/>
        </w:rPr>
        <w:t>eges ecclesiae</w:t>
      </w:r>
      <w:r>
        <w:rPr>
          <w:rFonts w:ascii="Times New Roman" w:hAnsi="Times New Roman" w:cs="Times New Roman"/>
          <w:i/>
          <w:sz w:val="24"/>
          <w:szCs w:val="24"/>
        </w:rPr>
        <w:t xml:space="preserve"> </w:t>
      </w:r>
      <w:r w:rsidRPr="00F136D7">
        <w:rPr>
          <w:rFonts w:ascii="Times New Roman" w:hAnsi="Times New Roman" w:cs="Times New Roman"/>
          <w:sz w:val="24"/>
          <w:szCs w:val="24"/>
        </w:rPr>
        <w:t>Vol.2</w:t>
      </w:r>
      <w:r>
        <w:rPr>
          <w:rFonts w:ascii="Times New Roman" w:hAnsi="Times New Roman" w:cs="Times New Roman"/>
          <w:i/>
          <w:sz w:val="24"/>
          <w:szCs w:val="24"/>
        </w:rPr>
        <w:t>,</w:t>
      </w:r>
      <w:r w:rsidRPr="00CC0D6F">
        <w:rPr>
          <w:rFonts w:ascii="Times New Roman" w:hAnsi="Times New Roman" w:cs="Times New Roman"/>
          <w:i/>
          <w:sz w:val="24"/>
          <w:szCs w:val="24"/>
        </w:rPr>
        <w:t xml:space="preserve"> </w:t>
      </w:r>
      <w:r w:rsidRPr="00F136D7">
        <w:rPr>
          <w:rFonts w:ascii="Times New Roman" w:hAnsi="Times New Roman" w:cs="Times New Roman"/>
          <w:sz w:val="24"/>
          <w:szCs w:val="24"/>
        </w:rPr>
        <w:t>1942-1958</w:t>
      </w:r>
      <w:r>
        <w:rPr>
          <w:rFonts w:ascii="Times New Roman" w:hAnsi="Times New Roman" w:cs="Times New Roman"/>
          <w:i/>
          <w:sz w:val="24"/>
          <w:szCs w:val="24"/>
        </w:rPr>
        <w:t>.</w:t>
      </w:r>
    </w:p>
  </w:footnote>
  <w:footnote w:id="575">
    <w:p w14:paraId="35350099" w14:textId="77777777" w:rsidR="00F202D0" w:rsidRPr="00AF426D"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AF426D">
        <w:rPr>
          <w:rFonts w:ascii="Times New Roman" w:hAnsi="Times New Roman" w:cs="Times New Roman"/>
          <w:i/>
          <w:sz w:val="24"/>
          <w:szCs w:val="24"/>
        </w:rPr>
        <w:t>Ibidem.</w:t>
      </w:r>
    </w:p>
  </w:footnote>
  <w:footnote w:id="576">
    <w:p w14:paraId="4D64AE3F" w14:textId="77777777" w:rsidR="00F202D0" w:rsidRDefault="00F202D0">
      <w:pPr>
        <w:pStyle w:val="Testonotaapidipagina"/>
      </w:pPr>
      <w:r>
        <w:rPr>
          <w:rStyle w:val="Rimandonotaapidipagina"/>
        </w:rPr>
        <w:footnoteRef/>
      </w:r>
      <w:r>
        <w:t xml:space="preserve"> </w:t>
      </w:r>
      <w:r>
        <w:rPr>
          <w:rFonts w:ascii="Times New Roman" w:hAnsi="Times New Roman" w:cs="Times New Roman"/>
          <w:i/>
          <w:sz w:val="24"/>
          <w:szCs w:val="24"/>
        </w:rPr>
        <w:t xml:space="preserve">Indult., </w:t>
      </w:r>
      <w:r>
        <w:rPr>
          <w:rFonts w:ascii="Times New Roman" w:hAnsi="Times New Roman" w:cs="Times New Roman"/>
          <w:sz w:val="24"/>
          <w:szCs w:val="24"/>
        </w:rPr>
        <w:t xml:space="preserve">p. 3820, 24 febbraio 1958, in </w:t>
      </w:r>
      <w:r>
        <w:rPr>
          <w:rFonts w:ascii="Times New Roman" w:hAnsi="Times New Roman" w:cs="Times New Roman"/>
          <w:i/>
          <w:sz w:val="24"/>
          <w:szCs w:val="24"/>
        </w:rPr>
        <w:t>L</w:t>
      </w:r>
      <w:r w:rsidRPr="00CC0D6F">
        <w:rPr>
          <w:rFonts w:ascii="Times New Roman" w:hAnsi="Times New Roman" w:cs="Times New Roman"/>
          <w:i/>
          <w:sz w:val="24"/>
          <w:szCs w:val="24"/>
        </w:rPr>
        <w:t>eges ecclesiae</w:t>
      </w:r>
      <w:r>
        <w:rPr>
          <w:rFonts w:ascii="Times New Roman" w:hAnsi="Times New Roman" w:cs="Times New Roman"/>
          <w:i/>
          <w:sz w:val="24"/>
          <w:szCs w:val="24"/>
        </w:rPr>
        <w:t xml:space="preserve"> </w:t>
      </w:r>
      <w:r w:rsidRPr="00B337A6">
        <w:rPr>
          <w:rFonts w:ascii="Times New Roman" w:hAnsi="Times New Roman" w:cs="Times New Roman"/>
          <w:sz w:val="24"/>
          <w:szCs w:val="24"/>
        </w:rPr>
        <w:t>Vol.2</w:t>
      </w:r>
      <w:r>
        <w:rPr>
          <w:rFonts w:ascii="Times New Roman" w:hAnsi="Times New Roman" w:cs="Times New Roman"/>
          <w:sz w:val="24"/>
          <w:szCs w:val="24"/>
        </w:rPr>
        <w:t xml:space="preserve">, </w:t>
      </w:r>
      <w:r w:rsidRPr="00B337A6">
        <w:rPr>
          <w:rFonts w:ascii="Times New Roman" w:hAnsi="Times New Roman" w:cs="Times New Roman"/>
          <w:sz w:val="24"/>
          <w:szCs w:val="24"/>
        </w:rPr>
        <w:t>1942-1958</w:t>
      </w:r>
      <w:r>
        <w:rPr>
          <w:rFonts w:ascii="Times New Roman" w:hAnsi="Times New Roman" w:cs="Times New Roman"/>
          <w:i/>
          <w:sz w:val="24"/>
          <w:szCs w:val="24"/>
        </w:rPr>
        <w:t>.</w:t>
      </w:r>
    </w:p>
  </w:footnote>
  <w:footnote w:id="577">
    <w:p w14:paraId="2A7D775D" w14:textId="77777777" w:rsidR="00F202D0" w:rsidRDefault="00F202D0">
      <w:pPr>
        <w:pStyle w:val="Testonotaapidipagina"/>
      </w:pPr>
      <w:r>
        <w:rPr>
          <w:rStyle w:val="Rimandonotaapidipagina"/>
        </w:rPr>
        <w:footnoteRef/>
      </w:r>
      <w:r>
        <w:t xml:space="preserve"> </w:t>
      </w:r>
      <w:r w:rsidRPr="00773AA8">
        <w:rPr>
          <w:rFonts w:ascii="Times New Roman" w:hAnsi="Times New Roman" w:cs="Times New Roman"/>
          <w:i/>
          <w:sz w:val="24"/>
          <w:szCs w:val="24"/>
        </w:rPr>
        <w:t>Indult</w:t>
      </w:r>
      <w:r>
        <w:rPr>
          <w:rFonts w:ascii="Times New Roman" w:hAnsi="Times New Roman" w:cs="Times New Roman"/>
          <w:sz w:val="24"/>
          <w:szCs w:val="24"/>
        </w:rPr>
        <w:t xml:space="preserve">., p. 2433, 27 agosto 1947, in </w:t>
      </w:r>
      <w:r>
        <w:rPr>
          <w:rFonts w:ascii="Times New Roman" w:hAnsi="Times New Roman" w:cs="Times New Roman"/>
          <w:i/>
          <w:sz w:val="24"/>
          <w:szCs w:val="24"/>
        </w:rPr>
        <w:t>L</w:t>
      </w:r>
      <w:r w:rsidRPr="00CC0D6F">
        <w:rPr>
          <w:rFonts w:ascii="Times New Roman" w:hAnsi="Times New Roman" w:cs="Times New Roman"/>
          <w:i/>
          <w:sz w:val="24"/>
          <w:szCs w:val="24"/>
        </w:rPr>
        <w:t>eges ecclesiae</w:t>
      </w:r>
      <w:r>
        <w:rPr>
          <w:rFonts w:ascii="Times New Roman" w:hAnsi="Times New Roman" w:cs="Times New Roman"/>
          <w:i/>
          <w:sz w:val="24"/>
          <w:szCs w:val="24"/>
        </w:rPr>
        <w:t xml:space="preserve"> </w:t>
      </w:r>
      <w:r>
        <w:rPr>
          <w:rFonts w:ascii="Times New Roman" w:hAnsi="Times New Roman" w:cs="Times New Roman"/>
          <w:sz w:val="24"/>
          <w:szCs w:val="24"/>
        </w:rPr>
        <w:t>Vol. 2,</w:t>
      </w:r>
      <w:r w:rsidRPr="00CC0D6F">
        <w:rPr>
          <w:rFonts w:ascii="Times New Roman" w:hAnsi="Times New Roman" w:cs="Times New Roman"/>
          <w:i/>
          <w:sz w:val="24"/>
          <w:szCs w:val="24"/>
        </w:rPr>
        <w:t xml:space="preserve"> </w:t>
      </w:r>
      <w:r w:rsidRPr="00C93144">
        <w:rPr>
          <w:rFonts w:ascii="Times New Roman" w:hAnsi="Times New Roman" w:cs="Times New Roman"/>
          <w:sz w:val="24"/>
          <w:szCs w:val="24"/>
        </w:rPr>
        <w:t>1942-1958.</w:t>
      </w:r>
    </w:p>
  </w:footnote>
  <w:footnote w:id="578">
    <w:p w14:paraId="2A58E169" w14:textId="77777777" w:rsidR="00F202D0" w:rsidRDefault="00F202D0">
      <w:pPr>
        <w:pStyle w:val="Testonotaapidipagina"/>
      </w:pPr>
      <w:r>
        <w:rPr>
          <w:rStyle w:val="Rimandonotaapidipagina"/>
        </w:rPr>
        <w:footnoteRef/>
      </w:r>
      <w:r>
        <w:t xml:space="preserve"> </w:t>
      </w:r>
      <w:r>
        <w:rPr>
          <w:rFonts w:ascii="Times New Roman" w:hAnsi="Times New Roman" w:cs="Times New Roman"/>
          <w:sz w:val="24"/>
          <w:szCs w:val="24"/>
        </w:rPr>
        <w:t xml:space="preserve">Rescr., pp. 3929-3330, 5 marzo 1959, in </w:t>
      </w:r>
      <w:r>
        <w:rPr>
          <w:rFonts w:ascii="Times New Roman" w:hAnsi="Times New Roman" w:cs="Times New Roman"/>
          <w:i/>
          <w:sz w:val="24"/>
          <w:szCs w:val="24"/>
        </w:rPr>
        <w:t>L</w:t>
      </w:r>
      <w:r w:rsidRPr="006D54E9">
        <w:rPr>
          <w:rFonts w:ascii="Times New Roman" w:hAnsi="Times New Roman" w:cs="Times New Roman"/>
          <w:i/>
          <w:sz w:val="24"/>
          <w:szCs w:val="24"/>
        </w:rPr>
        <w:t>eges ecclesiae</w:t>
      </w:r>
      <w:r>
        <w:rPr>
          <w:rFonts w:ascii="Times New Roman" w:hAnsi="Times New Roman" w:cs="Times New Roman"/>
          <w:i/>
          <w:sz w:val="24"/>
          <w:szCs w:val="24"/>
        </w:rPr>
        <w:t xml:space="preserve"> </w:t>
      </w:r>
      <w:r w:rsidRPr="00B337A6">
        <w:rPr>
          <w:rFonts w:ascii="Times New Roman" w:hAnsi="Times New Roman" w:cs="Times New Roman"/>
          <w:sz w:val="24"/>
          <w:szCs w:val="24"/>
        </w:rPr>
        <w:t>Vol.3</w:t>
      </w:r>
      <w:r>
        <w:rPr>
          <w:rFonts w:ascii="Times New Roman" w:hAnsi="Times New Roman" w:cs="Times New Roman"/>
          <w:sz w:val="24"/>
          <w:szCs w:val="24"/>
        </w:rPr>
        <w:t>,</w:t>
      </w:r>
      <w:r w:rsidRPr="00B337A6">
        <w:rPr>
          <w:rFonts w:ascii="Times New Roman" w:hAnsi="Times New Roman" w:cs="Times New Roman"/>
          <w:sz w:val="24"/>
          <w:szCs w:val="24"/>
        </w:rPr>
        <w:t xml:space="preserve"> 1959-1963</w:t>
      </w:r>
      <w:r>
        <w:rPr>
          <w:rFonts w:ascii="Times New Roman" w:hAnsi="Times New Roman" w:cs="Times New Roman"/>
          <w:i/>
          <w:sz w:val="24"/>
          <w:szCs w:val="24"/>
        </w:rPr>
        <w:t>.</w:t>
      </w:r>
    </w:p>
  </w:footnote>
  <w:footnote w:id="579">
    <w:p w14:paraId="2ECC3C95" w14:textId="77777777" w:rsidR="00F202D0" w:rsidRDefault="00F202D0">
      <w:pPr>
        <w:pStyle w:val="Testonotaapidipagina"/>
      </w:pPr>
      <w:r>
        <w:rPr>
          <w:rStyle w:val="Rimandonotaapidipagina"/>
        </w:rPr>
        <w:footnoteRef/>
      </w:r>
      <w:r>
        <w:t xml:space="preserve"> </w:t>
      </w:r>
      <w:r>
        <w:rPr>
          <w:rFonts w:ascii="Times New Roman" w:hAnsi="Times New Roman" w:cs="Times New Roman"/>
          <w:i/>
          <w:sz w:val="24"/>
          <w:szCs w:val="24"/>
        </w:rPr>
        <w:t xml:space="preserve">Facultas, </w:t>
      </w:r>
      <w:r>
        <w:rPr>
          <w:rFonts w:ascii="Times New Roman" w:hAnsi="Times New Roman" w:cs="Times New Roman"/>
          <w:sz w:val="24"/>
          <w:szCs w:val="24"/>
        </w:rPr>
        <w:t xml:space="preserve">p. 2779, 15 settembre 1950, in </w:t>
      </w:r>
      <w:r>
        <w:rPr>
          <w:rFonts w:ascii="Times New Roman" w:hAnsi="Times New Roman" w:cs="Times New Roman"/>
          <w:i/>
          <w:sz w:val="24"/>
          <w:szCs w:val="24"/>
        </w:rPr>
        <w:t>L</w:t>
      </w:r>
      <w:r w:rsidRPr="00CC0D6F">
        <w:rPr>
          <w:rFonts w:ascii="Times New Roman" w:hAnsi="Times New Roman" w:cs="Times New Roman"/>
          <w:i/>
          <w:sz w:val="24"/>
          <w:szCs w:val="24"/>
        </w:rPr>
        <w:t xml:space="preserve">eges ecclesiae </w:t>
      </w:r>
      <w:r w:rsidRPr="00331542">
        <w:rPr>
          <w:rFonts w:ascii="Times New Roman" w:hAnsi="Times New Roman" w:cs="Times New Roman"/>
          <w:sz w:val="24"/>
          <w:szCs w:val="24"/>
        </w:rPr>
        <w:t>Vol.2</w:t>
      </w:r>
      <w:r>
        <w:rPr>
          <w:rFonts w:ascii="Times New Roman" w:hAnsi="Times New Roman" w:cs="Times New Roman"/>
          <w:i/>
          <w:sz w:val="24"/>
          <w:szCs w:val="24"/>
        </w:rPr>
        <w:t>,</w:t>
      </w:r>
      <w:r w:rsidRPr="00331542">
        <w:rPr>
          <w:rFonts w:ascii="Times New Roman" w:hAnsi="Times New Roman" w:cs="Times New Roman"/>
          <w:sz w:val="24"/>
          <w:szCs w:val="24"/>
        </w:rPr>
        <w:t>1942-1958</w:t>
      </w:r>
      <w:r>
        <w:rPr>
          <w:rFonts w:ascii="Times New Roman" w:hAnsi="Times New Roman" w:cs="Times New Roman"/>
          <w:i/>
          <w:sz w:val="24"/>
          <w:szCs w:val="24"/>
        </w:rPr>
        <w:t>.</w:t>
      </w:r>
    </w:p>
  </w:footnote>
  <w:footnote w:id="580">
    <w:p w14:paraId="6C3CE5E3" w14:textId="77777777" w:rsidR="00F202D0" w:rsidRDefault="00F202D0">
      <w:pPr>
        <w:pStyle w:val="Testonotaapidipagina"/>
      </w:pPr>
      <w:r>
        <w:rPr>
          <w:rStyle w:val="Rimandonotaapidipagina"/>
        </w:rPr>
        <w:footnoteRef/>
      </w:r>
      <w:r>
        <w:t xml:space="preserve"> </w:t>
      </w:r>
      <w:r w:rsidRPr="00B7579A">
        <w:rPr>
          <w:rFonts w:ascii="Times New Roman" w:hAnsi="Times New Roman" w:cs="Times New Roman"/>
          <w:i/>
          <w:sz w:val="24"/>
          <w:szCs w:val="24"/>
        </w:rPr>
        <w:t xml:space="preserve">Facultas, </w:t>
      </w:r>
      <w:r w:rsidRPr="00B7579A">
        <w:rPr>
          <w:rFonts w:ascii="Times New Roman" w:hAnsi="Times New Roman" w:cs="Times New Roman"/>
          <w:sz w:val="24"/>
          <w:szCs w:val="24"/>
        </w:rPr>
        <w:t xml:space="preserve">pp. 4165-4166, 28 febbraio 1961, in </w:t>
      </w:r>
      <w:r w:rsidRPr="00B7579A">
        <w:rPr>
          <w:rFonts w:ascii="Times New Roman" w:hAnsi="Times New Roman" w:cs="Times New Roman"/>
          <w:i/>
          <w:sz w:val="24"/>
          <w:szCs w:val="24"/>
        </w:rPr>
        <w:t xml:space="preserve">Leges ecclesiae </w:t>
      </w:r>
      <w:r w:rsidRPr="00B7579A">
        <w:rPr>
          <w:rFonts w:ascii="Times New Roman" w:hAnsi="Times New Roman" w:cs="Times New Roman"/>
          <w:sz w:val="24"/>
          <w:szCs w:val="24"/>
        </w:rPr>
        <w:t>Vol.3, 1959-1963</w:t>
      </w:r>
      <w:r w:rsidRPr="00B7579A">
        <w:rPr>
          <w:rFonts w:ascii="Times New Roman" w:hAnsi="Times New Roman" w:cs="Times New Roman"/>
          <w:i/>
          <w:sz w:val="24"/>
          <w:szCs w:val="24"/>
        </w:rPr>
        <w:t>.</w:t>
      </w:r>
    </w:p>
  </w:footnote>
  <w:footnote w:id="581">
    <w:p w14:paraId="774C136C" w14:textId="77777777" w:rsidR="00F202D0" w:rsidRPr="00A52AE5"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sidRPr="00A52AE5">
        <w:rPr>
          <w:rFonts w:ascii="Times New Roman" w:hAnsi="Times New Roman" w:cs="Times New Roman"/>
          <w:sz w:val="24"/>
          <w:szCs w:val="24"/>
        </w:rPr>
        <w:t xml:space="preserve">P. Palazzini, </w:t>
      </w:r>
      <w:r w:rsidRPr="00A52AE5">
        <w:rPr>
          <w:rFonts w:ascii="Times New Roman" w:hAnsi="Times New Roman" w:cs="Times New Roman"/>
          <w:i/>
          <w:sz w:val="24"/>
          <w:szCs w:val="24"/>
        </w:rPr>
        <w:t>Privilegio paolino</w:t>
      </w:r>
      <w:r w:rsidRPr="00A52AE5">
        <w:rPr>
          <w:rFonts w:ascii="Times New Roman" w:hAnsi="Times New Roman" w:cs="Times New Roman"/>
          <w:sz w:val="24"/>
          <w:szCs w:val="24"/>
        </w:rPr>
        <w:t xml:space="preserve">, in </w:t>
      </w:r>
      <w:r w:rsidRPr="00A52AE5">
        <w:rPr>
          <w:rFonts w:ascii="Times New Roman" w:hAnsi="Times New Roman" w:cs="Times New Roman"/>
          <w:i/>
          <w:sz w:val="24"/>
          <w:szCs w:val="24"/>
        </w:rPr>
        <w:t>Enciclopedia cattolica</w:t>
      </w:r>
      <w:r w:rsidRPr="00A52AE5">
        <w:rPr>
          <w:rFonts w:ascii="Times New Roman" w:hAnsi="Times New Roman" w:cs="Times New Roman"/>
          <w:sz w:val="24"/>
          <w:szCs w:val="24"/>
        </w:rPr>
        <w:t>, Vol. 10, 1948, Roma, pp. 49-55.</w:t>
      </w:r>
    </w:p>
  </w:footnote>
  <w:footnote w:id="582">
    <w:p w14:paraId="3C920E0C"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83">
    <w:p w14:paraId="4A31A6EB" w14:textId="77777777" w:rsidR="00F202D0" w:rsidRDefault="00F202D0" w:rsidP="00140247">
      <w:pPr>
        <w:pStyle w:val="Testonotaapidipagina"/>
      </w:pPr>
      <w:r>
        <w:rPr>
          <w:rStyle w:val="Rimandonotaapidipagina"/>
        </w:rPr>
        <w:footnoteRef/>
      </w:r>
      <w:r>
        <w:t xml:space="preserve"> </w:t>
      </w:r>
      <w:r w:rsidRPr="00856794">
        <w:rPr>
          <w:rFonts w:ascii="Times New Roman" w:hAnsi="Times New Roman" w:cs="Times New Roman"/>
          <w:i/>
          <w:sz w:val="24"/>
          <w:szCs w:val="24"/>
        </w:rPr>
        <w:t>Interpretatio</w:t>
      </w:r>
      <w:r w:rsidRPr="00856794">
        <w:rPr>
          <w:rFonts w:ascii="Times New Roman" w:hAnsi="Times New Roman" w:cs="Times New Roman"/>
          <w:sz w:val="24"/>
          <w:szCs w:val="24"/>
        </w:rPr>
        <w:t xml:space="preserve">, p. 838, 1 luglio 1926, in </w:t>
      </w:r>
      <w:r w:rsidRPr="00856794">
        <w:rPr>
          <w:rFonts w:ascii="Times New Roman" w:hAnsi="Times New Roman" w:cs="Times New Roman"/>
          <w:i/>
          <w:sz w:val="24"/>
          <w:szCs w:val="24"/>
        </w:rPr>
        <w:t>Leges ecclesiae</w:t>
      </w:r>
      <w:r w:rsidRPr="00856794">
        <w:rPr>
          <w:rFonts w:ascii="Times New Roman" w:hAnsi="Times New Roman" w:cs="Times New Roman"/>
          <w:sz w:val="24"/>
          <w:szCs w:val="24"/>
        </w:rPr>
        <w:t xml:space="preserve"> Vol. I, 1918-1941.</w:t>
      </w:r>
    </w:p>
  </w:footnote>
  <w:footnote w:id="584">
    <w:p w14:paraId="6DDD66ED"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85">
    <w:p w14:paraId="61C27EF7" w14:textId="77777777" w:rsidR="00F202D0" w:rsidRDefault="00F202D0">
      <w:pPr>
        <w:pStyle w:val="Testonotaapidipagina"/>
      </w:pPr>
      <w:r>
        <w:rPr>
          <w:rStyle w:val="Rimandonotaapidipagina"/>
        </w:rPr>
        <w:footnoteRef/>
      </w:r>
      <w:r>
        <w:t xml:space="preserve"> </w:t>
      </w:r>
      <w:r>
        <w:rPr>
          <w:rFonts w:ascii="Times New Roman" w:hAnsi="Times New Roman" w:cs="Times New Roman"/>
          <w:i/>
          <w:sz w:val="24"/>
          <w:szCs w:val="24"/>
        </w:rPr>
        <w:t>Resp. p</w:t>
      </w:r>
      <w:r w:rsidRPr="009626ED">
        <w:rPr>
          <w:rFonts w:ascii="Times New Roman" w:hAnsi="Times New Roman" w:cs="Times New Roman"/>
          <w:i/>
          <w:sz w:val="24"/>
          <w:szCs w:val="24"/>
        </w:rPr>
        <w:t>art</w:t>
      </w:r>
      <w:r>
        <w:rPr>
          <w:rFonts w:ascii="Times New Roman" w:hAnsi="Times New Roman" w:cs="Times New Roman"/>
          <w:sz w:val="24"/>
          <w:szCs w:val="24"/>
        </w:rPr>
        <w:t xml:space="preserve">., p. 1389, 18 maggio 1932, in </w:t>
      </w:r>
      <w:r>
        <w:rPr>
          <w:rFonts w:ascii="Times New Roman" w:hAnsi="Times New Roman" w:cs="Times New Roman"/>
          <w:i/>
          <w:sz w:val="24"/>
          <w:szCs w:val="24"/>
        </w:rPr>
        <w:t>L</w:t>
      </w:r>
      <w:r w:rsidRPr="00652FB3">
        <w:rPr>
          <w:rFonts w:ascii="Times New Roman" w:hAnsi="Times New Roman" w:cs="Times New Roman"/>
          <w:i/>
          <w:sz w:val="24"/>
          <w:szCs w:val="24"/>
        </w:rPr>
        <w:t>eges e</w:t>
      </w:r>
      <w:r>
        <w:rPr>
          <w:rFonts w:ascii="Times New Roman" w:hAnsi="Times New Roman" w:cs="Times New Roman"/>
          <w:i/>
          <w:sz w:val="24"/>
          <w:szCs w:val="24"/>
        </w:rPr>
        <w:t>c</w:t>
      </w:r>
      <w:r w:rsidRPr="00652FB3">
        <w:rPr>
          <w:rFonts w:ascii="Times New Roman" w:hAnsi="Times New Roman" w:cs="Times New Roman"/>
          <w:i/>
          <w:sz w:val="24"/>
          <w:szCs w:val="24"/>
        </w:rPr>
        <w:t>clesiae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586">
    <w:p w14:paraId="7D8DC715" w14:textId="77777777" w:rsidR="00F202D0" w:rsidRDefault="00F202D0" w:rsidP="00140247">
      <w:pPr>
        <w:pStyle w:val="Testonotaapidipagina"/>
      </w:pPr>
      <w:r>
        <w:rPr>
          <w:rStyle w:val="Rimandonotaapidipagina"/>
        </w:rPr>
        <w:footnoteRef/>
      </w:r>
      <w:r>
        <w:t xml:space="preserve"> </w:t>
      </w:r>
      <w:r w:rsidRPr="00A52AE5">
        <w:rPr>
          <w:rFonts w:ascii="Times New Roman" w:hAnsi="Times New Roman" w:cs="Times New Roman"/>
          <w:sz w:val="24"/>
          <w:szCs w:val="24"/>
        </w:rPr>
        <w:t xml:space="preserve">P. Palazzini, </w:t>
      </w:r>
      <w:r w:rsidRPr="00A52AE5">
        <w:rPr>
          <w:rFonts w:ascii="Times New Roman" w:hAnsi="Times New Roman" w:cs="Times New Roman"/>
          <w:i/>
          <w:sz w:val="24"/>
          <w:szCs w:val="24"/>
        </w:rPr>
        <w:t>Privilegio paolino</w:t>
      </w:r>
      <w:r w:rsidRPr="00A52AE5">
        <w:rPr>
          <w:rFonts w:ascii="Times New Roman" w:hAnsi="Times New Roman" w:cs="Times New Roman"/>
          <w:sz w:val="24"/>
          <w:szCs w:val="24"/>
        </w:rPr>
        <w:t>,</w:t>
      </w:r>
      <w:r>
        <w:rPr>
          <w:rFonts w:ascii="Times New Roman" w:hAnsi="Times New Roman" w:cs="Times New Roman"/>
          <w:sz w:val="24"/>
          <w:szCs w:val="24"/>
        </w:rPr>
        <w:t xml:space="preserve"> cit., pp.49-55.</w:t>
      </w:r>
    </w:p>
  </w:footnote>
  <w:footnote w:id="587">
    <w:p w14:paraId="431B6C69"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footnote>
  <w:footnote w:id="588">
    <w:p w14:paraId="0E1AD4AF" w14:textId="77777777" w:rsidR="00F202D0" w:rsidRDefault="00F202D0" w:rsidP="00140247">
      <w:pPr>
        <w:pStyle w:val="Testonotaapidipagina"/>
      </w:pPr>
      <w:r>
        <w:rPr>
          <w:rStyle w:val="Rimandonotaapidipagina"/>
        </w:rPr>
        <w:footnoteRef/>
      </w:r>
      <w:r>
        <w:t xml:space="preserve"> </w:t>
      </w:r>
      <w:r w:rsidRPr="00B10508">
        <w:rPr>
          <w:rFonts w:ascii="Times New Roman" w:hAnsi="Times New Roman" w:cs="Times New Roman"/>
          <w:i/>
          <w:sz w:val="24"/>
          <w:szCs w:val="24"/>
        </w:rPr>
        <w:t>Instructio</w:t>
      </w:r>
      <w:r w:rsidRPr="00B10508">
        <w:rPr>
          <w:rFonts w:ascii="Times New Roman" w:hAnsi="Times New Roman" w:cs="Times New Roman"/>
          <w:sz w:val="24"/>
          <w:szCs w:val="24"/>
        </w:rPr>
        <w:t xml:space="preserve">, pp. 1017-1028, 18 febbraio 1929, in </w:t>
      </w:r>
      <w:r w:rsidRPr="00B10508">
        <w:rPr>
          <w:rFonts w:ascii="Times New Roman" w:hAnsi="Times New Roman" w:cs="Times New Roman"/>
          <w:i/>
          <w:sz w:val="24"/>
          <w:szCs w:val="24"/>
        </w:rPr>
        <w:t>Leges ecclesiae</w:t>
      </w:r>
      <w:r w:rsidRPr="00B10508">
        <w:rPr>
          <w:rFonts w:ascii="Times New Roman" w:hAnsi="Times New Roman" w:cs="Times New Roman"/>
          <w:sz w:val="24"/>
          <w:szCs w:val="24"/>
        </w:rPr>
        <w:t xml:space="preserve"> Vol. I, 1918-1941.</w:t>
      </w:r>
    </w:p>
  </w:footnote>
  <w:footnote w:id="589">
    <w:p w14:paraId="365DFD90" w14:textId="77777777" w:rsidR="00F202D0" w:rsidRPr="005D007B" w:rsidRDefault="00F202D0" w:rsidP="00140247">
      <w:pPr>
        <w:pStyle w:val="Testonotaapidipagina"/>
        <w:rPr>
          <w:rFonts w:ascii="Times New Roman" w:hAnsi="Times New Roman" w:cs="Times New Roman"/>
          <w:sz w:val="24"/>
          <w:szCs w:val="24"/>
        </w:rPr>
      </w:pPr>
      <w:r>
        <w:rPr>
          <w:rStyle w:val="Rimandonotaapidipagina"/>
        </w:rPr>
        <w:footnoteRef/>
      </w:r>
      <w:r>
        <w:t xml:space="preserve"> </w:t>
      </w:r>
      <w:r w:rsidRPr="005D007B">
        <w:rPr>
          <w:rFonts w:ascii="Times New Roman" w:hAnsi="Times New Roman" w:cs="Times New Roman"/>
          <w:sz w:val="24"/>
          <w:szCs w:val="24"/>
        </w:rPr>
        <w:t>P.</w:t>
      </w:r>
      <w:r>
        <w:rPr>
          <w:rFonts w:ascii="Times New Roman" w:hAnsi="Times New Roman" w:cs="Times New Roman"/>
          <w:sz w:val="24"/>
          <w:szCs w:val="24"/>
        </w:rPr>
        <w:t xml:space="preserve"> </w:t>
      </w:r>
      <w:r w:rsidRPr="005D007B">
        <w:rPr>
          <w:rFonts w:ascii="Times New Roman" w:hAnsi="Times New Roman" w:cs="Times New Roman"/>
          <w:sz w:val="24"/>
          <w:szCs w:val="24"/>
        </w:rPr>
        <w:t xml:space="preserve">Palazzini, </w:t>
      </w:r>
      <w:r w:rsidRPr="005D007B">
        <w:rPr>
          <w:rFonts w:ascii="Times New Roman" w:hAnsi="Times New Roman" w:cs="Times New Roman"/>
          <w:i/>
          <w:sz w:val="24"/>
          <w:szCs w:val="24"/>
        </w:rPr>
        <w:t>Matrimonio</w:t>
      </w:r>
      <w:r w:rsidRPr="005D007B">
        <w:rPr>
          <w:rFonts w:ascii="Times New Roman" w:hAnsi="Times New Roman" w:cs="Times New Roman"/>
          <w:sz w:val="24"/>
          <w:szCs w:val="24"/>
        </w:rPr>
        <w:t xml:space="preserve">, in </w:t>
      </w:r>
      <w:r w:rsidRPr="005D007B">
        <w:rPr>
          <w:rFonts w:ascii="Times New Roman" w:hAnsi="Times New Roman" w:cs="Times New Roman"/>
          <w:i/>
          <w:sz w:val="24"/>
          <w:szCs w:val="24"/>
        </w:rPr>
        <w:t>Enciclopedia cattolica</w:t>
      </w:r>
      <w:r w:rsidRPr="005D007B">
        <w:rPr>
          <w:rFonts w:ascii="Times New Roman" w:hAnsi="Times New Roman" w:cs="Times New Roman"/>
          <w:sz w:val="24"/>
          <w:szCs w:val="24"/>
        </w:rPr>
        <w:t>, Vol.8, 1948, Roma, p. 479.</w:t>
      </w:r>
    </w:p>
  </w:footnote>
  <w:footnote w:id="590">
    <w:p w14:paraId="4ED55BCC" w14:textId="77777777" w:rsidR="00F202D0" w:rsidRPr="00874758" w:rsidRDefault="00F202D0" w:rsidP="00140247">
      <w:pPr>
        <w:pStyle w:val="Testonotaapidipagina"/>
        <w:rPr>
          <w:lang w:val="en-US"/>
        </w:rPr>
      </w:pPr>
      <w:r>
        <w:rPr>
          <w:rStyle w:val="Rimandonotaapidipagina"/>
        </w:rPr>
        <w:footnoteRef/>
      </w:r>
      <w:r w:rsidRPr="00874758">
        <w:rPr>
          <w:lang w:val="en-US"/>
        </w:rPr>
        <w:t xml:space="preserve"> </w:t>
      </w:r>
      <w:r w:rsidRPr="00874758">
        <w:rPr>
          <w:rFonts w:ascii="Times New Roman" w:hAnsi="Times New Roman" w:cs="Times New Roman"/>
          <w:i/>
          <w:sz w:val="24"/>
          <w:szCs w:val="24"/>
          <w:lang w:val="en-US"/>
        </w:rPr>
        <w:t>Ibidem.</w:t>
      </w:r>
    </w:p>
  </w:footnote>
  <w:footnote w:id="591">
    <w:p w14:paraId="6A2F7CD2" w14:textId="77777777" w:rsidR="00F202D0" w:rsidRPr="00874758" w:rsidRDefault="00F202D0" w:rsidP="00140247">
      <w:pPr>
        <w:pStyle w:val="Testonotaapidipagina"/>
        <w:rPr>
          <w:lang w:val="en-US"/>
        </w:rPr>
      </w:pPr>
      <w:r>
        <w:rPr>
          <w:rStyle w:val="Rimandonotaapidipagina"/>
        </w:rPr>
        <w:footnoteRef/>
      </w:r>
      <w:r w:rsidRPr="00874758">
        <w:rPr>
          <w:lang w:val="en-US"/>
        </w:rPr>
        <w:t xml:space="preserve"> </w:t>
      </w:r>
      <w:r w:rsidRPr="00874758">
        <w:rPr>
          <w:rFonts w:ascii="Times New Roman" w:hAnsi="Times New Roman" w:cs="Times New Roman"/>
          <w:i/>
          <w:sz w:val="24"/>
          <w:szCs w:val="24"/>
          <w:lang w:val="en-US"/>
        </w:rPr>
        <w:t>Instructio</w:t>
      </w:r>
      <w:r w:rsidRPr="00874758">
        <w:rPr>
          <w:rFonts w:ascii="Times New Roman" w:hAnsi="Times New Roman" w:cs="Times New Roman"/>
          <w:sz w:val="24"/>
          <w:szCs w:val="24"/>
          <w:lang w:val="en-US"/>
        </w:rPr>
        <w:t>, cit., pp. 1017-1028.</w:t>
      </w:r>
    </w:p>
  </w:footnote>
  <w:footnote w:id="592">
    <w:p w14:paraId="3AD46AB7" w14:textId="77777777" w:rsidR="00F202D0" w:rsidRPr="00874758" w:rsidRDefault="00F202D0" w:rsidP="00140247">
      <w:pPr>
        <w:pStyle w:val="Testonotaapidipagina"/>
        <w:rPr>
          <w:lang w:val="en-US"/>
        </w:rPr>
      </w:pPr>
      <w:r>
        <w:rPr>
          <w:rStyle w:val="Rimandonotaapidipagina"/>
        </w:rPr>
        <w:footnoteRef/>
      </w:r>
      <w:r w:rsidRPr="00874758">
        <w:rPr>
          <w:lang w:val="en-US"/>
        </w:rPr>
        <w:t xml:space="preserve"> </w:t>
      </w:r>
      <w:r w:rsidRPr="00874758">
        <w:rPr>
          <w:rFonts w:ascii="Times New Roman" w:hAnsi="Times New Roman" w:cs="Times New Roman"/>
          <w:i/>
          <w:sz w:val="24"/>
          <w:szCs w:val="24"/>
          <w:lang w:val="en-US"/>
        </w:rPr>
        <w:t>Ibidem.</w:t>
      </w:r>
    </w:p>
  </w:footnote>
  <w:footnote w:id="593">
    <w:p w14:paraId="020ED3F0" w14:textId="77777777" w:rsidR="00F202D0" w:rsidRPr="00874758" w:rsidRDefault="00F202D0" w:rsidP="00140247">
      <w:pPr>
        <w:pStyle w:val="Testonotaapidipagina"/>
        <w:rPr>
          <w:lang w:val="en-US"/>
        </w:rPr>
      </w:pPr>
      <w:r>
        <w:rPr>
          <w:rStyle w:val="Rimandonotaapidipagina"/>
        </w:rPr>
        <w:footnoteRef/>
      </w:r>
      <w:r w:rsidRPr="00874758">
        <w:rPr>
          <w:lang w:val="en-US"/>
        </w:rPr>
        <w:t xml:space="preserve"> </w:t>
      </w:r>
      <w:r w:rsidRPr="00874758">
        <w:rPr>
          <w:rFonts w:ascii="Times New Roman" w:hAnsi="Times New Roman" w:cs="Times New Roman"/>
          <w:i/>
          <w:sz w:val="24"/>
          <w:szCs w:val="24"/>
          <w:lang w:val="en-US"/>
        </w:rPr>
        <w:t>Ibidem.</w:t>
      </w:r>
    </w:p>
  </w:footnote>
  <w:footnote w:id="594">
    <w:p w14:paraId="0DE54F6B" w14:textId="77777777" w:rsidR="00F202D0" w:rsidRPr="00874758" w:rsidRDefault="00F202D0" w:rsidP="00140247">
      <w:pPr>
        <w:pStyle w:val="Testonotaapidipagina"/>
        <w:rPr>
          <w:lang w:val="en-US"/>
        </w:rPr>
      </w:pPr>
      <w:r>
        <w:rPr>
          <w:rStyle w:val="Rimandonotaapidipagina"/>
        </w:rPr>
        <w:footnoteRef/>
      </w:r>
      <w:r w:rsidRPr="00874758">
        <w:rPr>
          <w:lang w:val="en-US"/>
        </w:rPr>
        <w:t xml:space="preserve"> </w:t>
      </w:r>
      <w:r w:rsidRPr="00874758">
        <w:rPr>
          <w:rFonts w:ascii="Times New Roman" w:hAnsi="Times New Roman" w:cs="Times New Roman"/>
          <w:i/>
          <w:sz w:val="24"/>
          <w:szCs w:val="24"/>
          <w:lang w:val="en-US"/>
        </w:rPr>
        <w:t>Ibidem.</w:t>
      </w:r>
    </w:p>
  </w:footnote>
  <w:footnote w:id="595">
    <w:p w14:paraId="31247C50" w14:textId="77777777" w:rsidR="00F202D0" w:rsidRPr="00874758" w:rsidRDefault="00F202D0" w:rsidP="00140247">
      <w:pPr>
        <w:pStyle w:val="Testonotaapidipagina"/>
        <w:rPr>
          <w:lang w:val="en-US"/>
        </w:rPr>
      </w:pPr>
      <w:r>
        <w:rPr>
          <w:rStyle w:val="Rimandonotaapidipagina"/>
        </w:rPr>
        <w:footnoteRef/>
      </w:r>
      <w:r w:rsidRPr="00874758">
        <w:rPr>
          <w:lang w:val="en-US"/>
        </w:rPr>
        <w:t xml:space="preserve"> </w:t>
      </w:r>
      <w:r w:rsidRPr="00874758">
        <w:rPr>
          <w:rFonts w:ascii="Times New Roman" w:hAnsi="Times New Roman" w:cs="Times New Roman"/>
          <w:i/>
          <w:sz w:val="24"/>
          <w:szCs w:val="24"/>
          <w:lang w:val="en-US"/>
        </w:rPr>
        <w:t>Ibidem.</w:t>
      </w:r>
    </w:p>
  </w:footnote>
  <w:footnote w:id="596">
    <w:p w14:paraId="5FC1DBA2" w14:textId="77777777" w:rsidR="00F202D0" w:rsidRPr="00874758" w:rsidRDefault="00F202D0" w:rsidP="00140247">
      <w:pPr>
        <w:pStyle w:val="Testonotaapidipagina"/>
        <w:rPr>
          <w:lang w:val="en-US"/>
        </w:rPr>
      </w:pPr>
      <w:r>
        <w:rPr>
          <w:rStyle w:val="Rimandonotaapidipagina"/>
        </w:rPr>
        <w:footnoteRef/>
      </w:r>
      <w:r w:rsidRPr="00874758">
        <w:rPr>
          <w:lang w:val="en-US"/>
        </w:rPr>
        <w:t xml:space="preserve"> </w:t>
      </w:r>
      <w:r w:rsidRPr="00874758">
        <w:rPr>
          <w:rFonts w:ascii="Times New Roman" w:hAnsi="Times New Roman" w:cs="Times New Roman"/>
          <w:i/>
          <w:sz w:val="24"/>
          <w:szCs w:val="24"/>
          <w:lang w:val="en-US"/>
        </w:rPr>
        <w:t>Ibidem.</w:t>
      </w:r>
    </w:p>
  </w:footnote>
  <w:footnote w:id="597">
    <w:p w14:paraId="2B13B623" w14:textId="77777777" w:rsidR="00F202D0" w:rsidRDefault="00F202D0">
      <w:pPr>
        <w:pStyle w:val="Testonotaapidipagina"/>
      </w:pPr>
      <w:r>
        <w:rPr>
          <w:rStyle w:val="Rimandonotaapidipagina"/>
        </w:rPr>
        <w:footnoteRef/>
      </w:r>
      <w:r w:rsidRPr="00874758">
        <w:rPr>
          <w:rFonts w:ascii="Times New Roman" w:hAnsi="Times New Roman" w:cs="Times New Roman"/>
          <w:i/>
          <w:sz w:val="24"/>
          <w:szCs w:val="24"/>
          <w:lang w:val="en-US"/>
        </w:rPr>
        <w:t>Facultas,</w:t>
      </w:r>
      <w:r w:rsidRPr="00874758">
        <w:rPr>
          <w:rFonts w:ascii="Times New Roman" w:hAnsi="Times New Roman" w:cs="Times New Roman"/>
          <w:sz w:val="24"/>
          <w:szCs w:val="24"/>
          <w:lang w:val="en-US"/>
        </w:rPr>
        <w:t xml:space="preserve"> p. 1464, 12 aprile 1933, in </w:t>
      </w:r>
      <w:r w:rsidRPr="00874758">
        <w:rPr>
          <w:rFonts w:ascii="Times New Roman" w:hAnsi="Times New Roman" w:cs="Times New Roman"/>
          <w:i/>
          <w:sz w:val="24"/>
          <w:szCs w:val="24"/>
          <w:lang w:val="en-US"/>
        </w:rPr>
        <w:t>Leges ecclesiae</w:t>
      </w:r>
      <w:r w:rsidRPr="00874758">
        <w:rPr>
          <w:rFonts w:ascii="Times New Roman" w:hAnsi="Times New Roman" w:cs="Times New Roman"/>
          <w:sz w:val="24"/>
          <w:szCs w:val="24"/>
          <w:lang w:val="en-US"/>
        </w:rPr>
        <w:t xml:space="preserve"> Vol. </w:t>
      </w:r>
      <w:r w:rsidRPr="00652FB3">
        <w:rPr>
          <w:rFonts w:ascii="Times New Roman" w:hAnsi="Times New Roman" w:cs="Times New Roman"/>
          <w:sz w:val="24"/>
          <w:szCs w:val="24"/>
        </w:rPr>
        <w:t>I, 1918-1941</w:t>
      </w:r>
      <w:r>
        <w:rPr>
          <w:rFonts w:ascii="Times New Roman" w:hAnsi="Times New Roman" w:cs="Times New Roman"/>
          <w:sz w:val="24"/>
          <w:szCs w:val="24"/>
        </w:rPr>
        <w:t>.</w:t>
      </w:r>
    </w:p>
  </w:footnote>
  <w:footnote w:id="598">
    <w:p w14:paraId="2E3F1FDA" w14:textId="77777777" w:rsidR="00F202D0" w:rsidRDefault="00F202D0">
      <w:pPr>
        <w:pStyle w:val="Testonotaapidipagina"/>
      </w:pPr>
      <w:r>
        <w:rPr>
          <w:rStyle w:val="Rimandonotaapidipagina"/>
        </w:rPr>
        <w:footnoteRef/>
      </w:r>
      <w:r>
        <w:t xml:space="preserve"> </w:t>
      </w:r>
      <w:r w:rsidRPr="00DC1D51">
        <w:rPr>
          <w:rFonts w:ascii="Times New Roman" w:hAnsi="Times New Roman" w:cs="Times New Roman"/>
          <w:i/>
          <w:sz w:val="24"/>
          <w:szCs w:val="24"/>
        </w:rPr>
        <w:t>Epistola</w:t>
      </w:r>
      <w:r>
        <w:rPr>
          <w:rFonts w:ascii="Times New Roman" w:hAnsi="Times New Roman" w:cs="Times New Roman"/>
          <w:sz w:val="24"/>
          <w:szCs w:val="24"/>
        </w:rPr>
        <w:t xml:space="preserve">, p. 1618, 28 maggio 1935,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599">
    <w:p w14:paraId="46B5BE72" w14:textId="77777777" w:rsidR="00F202D0" w:rsidRDefault="00F202D0" w:rsidP="00140247">
      <w:pPr>
        <w:pStyle w:val="Testonotaapidipagina"/>
      </w:pPr>
      <w:r>
        <w:rPr>
          <w:rStyle w:val="Rimandonotaapidipagina"/>
        </w:rPr>
        <w:footnoteRef/>
      </w:r>
      <w:r>
        <w:t xml:space="preserve"> </w:t>
      </w:r>
      <w:r w:rsidRPr="00F50054">
        <w:rPr>
          <w:rFonts w:ascii="Times New Roman" w:hAnsi="Times New Roman" w:cs="Times New Roman"/>
          <w:i/>
          <w:sz w:val="24"/>
          <w:szCs w:val="24"/>
        </w:rPr>
        <w:t>Ibidem.</w:t>
      </w:r>
    </w:p>
    <w:p w14:paraId="4557E37F" w14:textId="77777777" w:rsidR="00F202D0" w:rsidRDefault="00F202D0">
      <w:pPr>
        <w:pStyle w:val="Testonotaapidipagina"/>
      </w:pPr>
    </w:p>
  </w:footnote>
  <w:footnote w:id="600">
    <w:p w14:paraId="57BF4EEF" w14:textId="77777777" w:rsidR="00F202D0" w:rsidRPr="002A64F3" w:rsidRDefault="00F202D0">
      <w:pPr>
        <w:pStyle w:val="Testonotaapidipagina"/>
        <w:rPr>
          <w:rFonts w:ascii="Times New Roman" w:hAnsi="Times New Roman" w:cs="Times New Roman"/>
          <w:sz w:val="24"/>
          <w:szCs w:val="24"/>
        </w:rPr>
      </w:pPr>
      <w:r>
        <w:rPr>
          <w:rStyle w:val="Rimandonotaapidipagina"/>
        </w:rPr>
        <w:footnoteRef/>
      </w:r>
      <w:r>
        <w:t xml:space="preserve"> </w:t>
      </w:r>
      <w:r w:rsidRPr="002A64F3">
        <w:rPr>
          <w:rFonts w:ascii="Times New Roman" w:hAnsi="Times New Roman" w:cs="Times New Roman"/>
          <w:sz w:val="24"/>
          <w:szCs w:val="24"/>
        </w:rPr>
        <w:t>S.</w:t>
      </w:r>
      <w:r>
        <w:rPr>
          <w:rFonts w:ascii="Times New Roman" w:hAnsi="Times New Roman" w:cs="Times New Roman"/>
          <w:sz w:val="24"/>
          <w:szCs w:val="24"/>
        </w:rPr>
        <w:t xml:space="preserve"> </w:t>
      </w:r>
      <w:r w:rsidRPr="002A64F3">
        <w:rPr>
          <w:rFonts w:ascii="Times New Roman" w:hAnsi="Times New Roman" w:cs="Times New Roman"/>
          <w:sz w:val="24"/>
          <w:szCs w:val="24"/>
        </w:rPr>
        <w:t xml:space="preserve">Paventi, </w:t>
      </w:r>
      <w:r w:rsidRPr="002A64F3">
        <w:rPr>
          <w:rFonts w:ascii="Times New Roman" w:hAnsi="Times New Roman" w:cs="Times New Roman"/>
          <w:i/>
          <w:sz w:val="24"/>
          <w:szCs w:val="24"/>
        </w:rPr>
        <w:t>Diritto missionario</w:t>
      </w:r>
      <w:r w:rsidRPr="002A64F3">
        <w:rPr>
          <w:rFonts w:ascii="Times New Roman" w:hAnsi="Times New Roman" w:cs="Times New Roman"/>
          <w:sz w:val="24"/>
          <w:szCs w:val="24"/>
        </w:rPr>
        <w:t xml:space="preserve"> in </w:t>
      </w:r>
      <w:r w:rsidRPr="002A64F3">
        <w:rPr>
          <w:rFonts w:ascii="Times New Roman" w:hAnsi="Times New Roman" w:cs="Times New Roman"/>
          <w:i/>
          <w:sz w:val="24"/>
          <w:szCs w:val="24"/>
        </w:rPr>
        <w:t>Enciclopedia cattolica</w:t>
      </w:r>
      <w:r w:rsidRPr="002A64F3">
        <w:rPr>
          <w:rFonts w:ascii="Times New Roman" w:hAnsi="Times New Roman" w:cs="Times New Roman"/>
          <w:sz w:val="24"/>
          <w:szCs w:val="24"/>
        </w:rPr>
        <w:t>, Vol. 4, Roma</w:t>
      </w:r>
      <w:r>
        <w:rPr>
          <w:rFonts w:ascii="Times New Roman" w:hAnsi="Times New Roman" w:cs="Times New Roman"/>
          <w:sz w:val="24"/>
          <w:szCs w:val="24"/>
        </w:rPr>
        <w:t xml:space="preserve"> 1948</w:t>
      </w:r>
      <w:r w:rsidRPr="002A64F3">
        <w:rPr>
          <w:rFonts w:ascii="Times New Roman" w:hAnsi="Times New Roman" w:cs="Times New Roman"/>
          <w:sz w:val="24"/>
          <w:szCs w:val="24"/>
        </w:rPr>
        <w:t>, p. 1727.</w:t>
      </w:r>
    </w:p>
  </w:footnote>
  <w:footnote w:id="601">
    <w:p w14:paraId="614411D2" w14:textId="77777777" w:rsidR="00F202D0" w:rsidRPr="00453FCA" w:rsidRDefault="00F202D0">
      <w:pPr>
        <w:pStyle w:val="Testonotaapidipagina"/>
        <w:rPr>
          <w:i/>
          <w:lang w:val="en-US"/>
        </w:rPr>
      </w:pPr>
      <w:r>
        <w:rPr>
          <w:rStyle w:val="Rimandonotaapidipagina"/>
        </w:rPr>
        <w:footnoteRef/>
      </w:r>
      <w:r w:rsidRPr="00453FCA">
        <w:rPr>
          <w:lang w:val="en-US"/>
        </w:rPr>
        <w:t xml:space="preserve"> </w:t>
      </w:r>
      <w:r w:rsidRPr="00453FCA">
        <w:rPr>
          <w:rFonts w:ascii="Times New Roman" w:hAnsi="Times New Roman" w:cs="Times New Roman"/>
          <w:i/>
          <w:sz w:val="24"/>
          <w:szCs w:val="24"/>
          <w:lang w:val="en-US"/>
        </w:rPr>
        <w:t>Ibidem.</w:t>
      </w:r>
    </w:p>
  </w:footnote>
  <w:footnote w:id="602">
    <w:p w14:paraId="0B6C8DD1" w14:textId="77777777" w:rsidR="00F202D0" w:rsidRPr="00453FCA" w:rsidRDefault="00F202D0">
      <w:pPr>
        <w:pStyle w:val="Testonotaapidipagina"/>
        <w:rPr>
          <w:rFonts w:ascii="Times New Roman" w:hAnsi="Times New Roman" w:cs="Times New Roman"/>
          <w:i/>
          <w:sz w:val="24"/>
          <w:szCs w:val="24"/>
          <w:lang w:val="en-US"/>
        </w:rPr>
      </w:pPr>
      <w:r>
        <w:rPr>
          <w:rStyle w:val="Rimandonotaapidipagina"/>
        </w:rPr>
        <w:footnoteRef/>
      </w:r>
      <w:r w:rsidRPr="00453FCA">
        <w:rPr>
          <w:lang w:val="en-US"/>
        </w:rPr>
        <w:t xml:space="preserve"> </w:t>
      </w:r>
      <w:r w:rsidRPr="00453FCA">
        <w:rPr>
          <w:rFonts w:ascii="Times New Roman" w:hAnsi="Times New Roman" w:cs="Times New Roman"/>
          <w:i/>
          <w:sz w:val="24"/>
          <w:szCs w:val="24"/>
          <w:lang w:val="en-US"/>
        </w:rPr>
        <w:t>Ibidem.</w:t>
      </w:r>
    </w:p>
  </w:footnote>
  <w:footnote w:id="603">
    <w:p w14:paraId="5E894D50" w14:textId="77777777" w:rsidR="00F202D0" w:rsidRPr="00453FCA" w:rsidRDefault="00F202D0">
      <w:pPr>
        <w:pStyle w:val="Testonotaapidipagina"/>
        <w:rPr>
          <w:rFonts w:ascii="Times New Roman" w:hAnsi="Times New Roman" w:cs="Times New Roman"/>
          <w:color w:val="000000" w:themeColor="text1"/>
          <w:sz w:val="24"/>
          <w:szCs w:val="24"/>
          <w:lang w:val="en-US"/>
        </w:rPr>
      </w:pPr>
      <w:r>
        <w:rPr>
          <w:rStyle w:val="Rimandonotaapidipagina"/>
        </w:rPr>
        <w:footnoteRef/>
      </w:r>
      <w:r w:rsidRPr="00453FCA">
        <w:rPr>
          <w:lang w:val="en-US"/>
        </w:rPr>
        <w:t xml:space="preserve"> </w:t>
      </w:r>
      <w:hyperlink r:id="rId25" w:history="1">
        <w:r w:rsidRPr="00453FCA">
          <w:rPr>
            <w:rStyle w:val="Collegamentoipertestuale"/>
            <w:rFonts w:ascii="Times New Roman" w:hAnsi="Times New Roman" w:cs="Times New Roman"/>
            <w:color w:val="000000" w:themeColor="text1"/>
            <w:sz w:val="24"/>
            <w:szCs w:val="24"/>
            <w:lang w:val="en-US"/>
          </w:rPr>
          <w:t>https://alleanzacattolica.org/maximum-illud-riflessione-di-padre-bernardo-cervellera/</w:t>
        </w:r>
      </w:hyperlink>
    </w:p>
    <w:p w14:paraId="5467CD5A" w14:textId="77777777" w:rsidR="00F202D0" w:rsidRPr="000B26C1" w:rsidRDefault="00F202D0">
      <w:pPr>
        <w:pStyle w:val="Testonotaapidipagina"/>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Consultato il 27/08/2022.</w:t>
      </w:r>
    </w:p>
  </w:footnote>
  <w:footnote w:id="604">
    <w:p w14:paraId="2D3DE6FD" w14:textId="77777777" w:rsidR="00F202D0" w:rsidRPr="004A3818" w:rsidRDefault="00F202D0" w:rsidP="00B3403A">
      <w:pPr>
        <w:pStyle w:val="Testonotaapidipagina"/>
        <w:rPr>
          <w:rFonts w:ascii="Times New Roman" w:hAnsi="Times New Roman" w:cs="Times New Roman"/>
          <w:sz w:val="24"/>
          <w:szCs w:val="24"/>
        </w:rPr>
      </w:pPr>
      <w:r>
        <w:rPr>
          <w:rStyle w:val="Rimandonotaapidipagina"/>
        </w:rPr>
        <w:footnoteRef/>
      </w:r>
      <w:r>
        <w:t xml:space="preserve"> </w:t>
      </w:r>
      <w:r w:rsidRPr="004A3818">
        <w:rPr>
          <w:rFonts w:ascii="Times New Roman" w:hAnsi="Times New Roman" w:cs="Times New Roman"/>
          <w:sz w:val="24"/>
          <w:szCs w:val="24"/>
        </w:rPr>
        <w:t xml:space="preserve">A. D’Auria, </w:t>
      </w:r>
      <w:r w:rsidRPr="004A3818">
        <w:rPr>
          <w:rFonts w:ascii="Times New Roman" w:hAnsi="Times New Roman" w:cs="Times New Roman"/>
          <w:i/>
          <w:sz w:val="24"/>
          <w:szCs w:val="24"/>
        </w:rPr>
        <w:t>La specificità del diritto missionario e la sfida dell’evangelizzazione</w:t>
      </w:r>
      <w:r w:rsidRPr="004A3818">
        <w:rPr>
          <w:rFonts w:ascii="Times New Roman" w:hAnsi="Times New Roman" w:cs="Times New Roman"/>
          <w:sz w:val="24"/>
          <w:szCs w:val="24"/>
        </w:rPr>
        <w:t xml:space="preserve">, in </w:t>
      </w:r>
      <w:r w:rsidRPr="004A3818">
        <w:rPr>
          <w:rFonts w:ascii="Times New Roman" w:hAnsi="Times New Roman" w:cs="Times New Roman"/>
          <w:i/>
          <w:sz w:val="24"/>
          <w:szCs w:val="24"/>
        </w:rPr>
        <w:t>XVII Convegno di studi</w:t>
      </w:r>
      <w:r>
        <w:rPr>
          <w:rFonts w:ascii="Times New Roman" w:hAnsi="Times New Roman" w:cs="Times New Roman"/>
          <w:sz w:val="24"/>
          <w:szCs w:val="24"/>
        </w:rPr>
        <w:t xml:space="preserve">, </w:t>
      </w:r>
      <w:r w:rsidRPr="004A3818">
        <w:rPr>
          <w:rFonts w:ascii="Times New Roman" w:hAnsi="Times New Roman" w:cs="Times New Roman"/>
          <w:sz w:val="24"/>
          <w:szCs w:val="24"/>
        </w:rPr>
        <w:t xml:space="preserve">Roma, 11-12 aprile 2013, cit., </w:t>
      </w:r>
      <w:r w:rsidRPr="004A3818">
        <w:rPr>
          <w:rFonts w:ascii="Times New Roman" w:hAnsi="Times New Roman" w:cs="Times New Roman"/>
          <w:i/>
          <w:sz w:val="24"/>
          <w:szCs w:val="24"/>
        </w:rPr>
        <w:t>passim</w:t>
      </w:r>
      <w:r w:rsidRPr="004A3818">
        <w:rPr>
          <w:rFonts w:ascii="Times New Roman" w:hAnsi="Times New Roman" w:cs="Times New Roman"/>
          <w:sz w:val="24"/>
          <w:szCs w:val="24"/>
        </w:rPr>
        <w:t>.</w:t>
      </w:r>
    </w:p>
  </w:footnote>
  <w:footnote w:id="605">
    <w:p w14:paraId="3AD343F7" w14:textId="77777777" w:rsidR="00F202D0" w:rsidRDefault="00F202D0">
      <w:pPr>
        <w:pStyle w:val="Testonotaapidipagina"/>
      </w:pPr>
      <w:r>
        <w:rPr>
          <w:rStyle w:val="Rimandonotaapidipagina"/>
        </w:rPr>
        <w:footnoteRef/>
      </w:r>
      <w:r>
        <w:t xml:space="preserve"> </w:t>
      </w:r>
      <w:r w:rsidRPr="004A3818">
        <w:rPr>
          <w:rFonts w:ascii="Times New Roman" w:hAnsi="Times New Roman" w:cs="Times New Roman"/>
          <w:i/>
          <w:sz w:val="24"/>
          <w:szCs w:val="24"/>
        </w:rPr>
        <w:t>Ibidem.</w:t>
      </w:r>
    </w:p>
  </w:footnote>
  <w:footnote w:id="606">
    <w:p w14:paraId="55E31C37" w14:textId="77777777" w:rsidR="00F202D0" w:rsidRDefault="00F202D0">
      <w:pPr>
        <w:pStyle w:val="Testonotaapidipagina"/>
      </w:pPr>
      <w:r>
        <w:rPr>
          <w:rStyle w:val="Rimandonotaapidipagina"/>
        </w:rPr>
        <w:footnoteRef/>
      </w:r>
      <w:r>
        <w:t xml:space="preserve"> </w:t>
      </w:r>
      <w:r w:rsidRPr="004A3818">
        <w:rPr>
          <w:rFonts w:ascii="Times New Roman" w:hAnsi="Times New Roman" w:cs="Times New Roman"/>
          <w:i/>
          <w:sz w:val="24"/>
          <w:szCs w:val="24"/>
        </w:rPr>
        <w:t>Ibidem.</w:t>
      </w:r>
    </w:p>
  </w:footnote>
  <w:footnote w:id="607">
    <w:p w14:paraId="04BE60BF" w14:textId="77777777" w:rsidR="00F202D0" w:rsidRDefault="00F202D0">
      <w:pPr>
        <w:pStyle w:val="Testonotaapidipagina"/>
      </w:pPr>
      <w:r>
        <w:rPr>
          <w:rStyle w:val="Rimandonotaapidipagina"/>
        </w:rPr>
        <w:footnoteRef/>
      </w:r>
      <w:r>
        <w:t xml:space="preserve"> </w:t>
      </w:r>
      <w:r w:rsidRPr="004A3818">
        <w:rPr>
          <w:rFonts w:ascii="Times New Roman" w:hAnsi="Times New Roman" w:cs="Times New Roman"/>
          <w:i/>
          <w:sz w:val="24"/>
          <w:szCs w:val="24"/>
        </w:rPr>
        <w:t>Ibidem.</w:t>
      </w:r>
    </w:p>
  </w:footnote>
  <w:footnote w:id="608">
    <w:p w14:paraId="16922F0B" w14:textId="77777777" w:rsidR="00F202D0" w:rsidRDefault="00F202D0" w:rsidP="00B3403A">
      <w:pPr>
        <w:pStyle w:val="Testonotaapidipagina"/>
      </w:pPr>
      <w:r>
        <w:rPr>
          <w:rStyle w:val="Rimandonotaapidipagina"/>
        </w:rPr>
        <w:footnoteRef/>
      </w:r>
      <w:r>
        <w:t xml:space="preserve"> </w:t>
      </w:r>
      <w:r w:rsidRPr="004A3818">
        <w:rPr>
          <w:rFonts w:ascii="Times New Roman" w:hAnsi="Times New Roman" w:cs="Times New Roman"/>
          <w:i/>
          <w:sz w:val="24"/>
          <w:szCs w:val="24"/>
        </w:rPr>
        <w:t>Ibidem.</w:t>
      </w:r>
    </w:p>
    <w:p w14:paraId="0123808F" w14:textId="77777777" w:rsidR="00F202D0" w:rsidRDefault="00F202D0">
      <w:pPr>
        <w:pStyle w:val="Testonotaapidipagina"/>
      </w:pPr>
    </w:p>
  </w:footnote>
  <w:footnote w:id="609">
    <w:p w14:paraId="4A078CF8" w14:textId="77777777" w:rsidR="00F202D0" w:rsidRPr="00BF0D8E" w:rsidRDefault="00F202D0" w:rsidP="00B3403A">
      <w:pPr>
        <w:pStyle w:val="Testonotaapidipagina"/>
        <w:rPr>
          <w:rFonts w:ascii="Times New Roman" w:hAnsi="Times New Roman" w:cs="Times New Roman"/>
          <w:sz w:val="24"/>
          <w:szCs w:val="24"/>
        </w:rPr>
      </w:pPr>
      <w:r>
        <w:rPr>
          <w:rStyle w:val="Rimandonotaapidipagina"/>
        </w:rPr>
        <w:footnoteRef/>
      </w:r>
      <w:r>
        <w:t xml:space="preserve"> </w:t>
      </w:r>
      <w:r w:rsidRPr="00BF0D8E">
        <w:rPr>
          <w:rStyle w:val="fontstyle01"/>
          <w:rFonts w:ascii="Times New Roman" w:hAnsi="Times New Roman" w:cs="Times New Roman"/>
        </w:rPr>
        <w:t>J.</w:t>
      </w:r>
      <w:r>
        <w:rPr>
          <w:rStyle w:val="fontstyle01"/>
          <w:rFonts w:ascii="Times New Roman" w:hAnsi="Times New Roman" w:cs="Times New Roman"/>
        </w:rPr>
        <w:t xml:space="preserve"> </w:t>
      </w:r>
      <w:r w:rsidRPr="00BF0D8E">
        <w:rPr>
          <w:rStyle w:val="fontstyle01"/>
          <w:rFonts w:ascii="Times New Roman" w:hAnsi="Times New Roman" w:cs="Times New Roman"/>
        </w:rPr>
        <w:t xml:space="preserve">Garcia Martin, </w:t>
      </w:r>
      <w:r w:rsidRPr="00BF0D8E">
        <w:rPr>
          <w:rStyle w:val="fontstyle21"/>
          <w:rFonts w:ascii="Times New Roman" w:hAnsi="Times New Roman" w:cs="Times New Roman"/>
        </w:rPr>
        <w:t>L’azione missionaria nel Codex Iuris Canonici</w:t>
      </w:r>
      <w:r w:rsidRPr="00BF0D8E">
        <w:rPr>
          <w:rStyle w:val="fontstyle01"/>
          <w:rFonts w:ascii="Times New Roman" w:hAnsi="Times New Roman" w:cs="Times New Roman"/>
        </w:rPr>
        <w:t>, Roma 2005, p. 16.</w:t>
      </w:r>
    </w:p>
  </w:footnote>
  <w:footnote w:id="610">
    <w:p w14:paraId="1EB7E794" w14:textId="77777777" w:rsidR="00F202D0" w:rsidRPr="003B1C02" w:rsidRDefault="00F202D0">
      <w:pPr>
        <w:pStyle w:val="Testonotaapidipagina"/>
      </w:pPr>
      <w:r>
        <w:rPr>
          <w:rStyle w:val="Rimandonotaapidipagina"/>
        </w:rPr>
        <w:footnoteRef/>
      </w:r>
      <w:r>
        <w:t xml:space="preserve"> </w:t>
      </w:r>
      <w:r>
        <w:rPr>
          <w:rFonts w:ascii="Times New Roman" w:hAnsi="Times New Roman" w:cs="Times New Roman"/>
          <w:sz w:val="24"/>
          <w:szCs w:val="24"/>
        </w:rPr>
        <w:t>S</w:t>
      </w:r>
      <w:r w:rsidRPr="000D79C0">
        <w:rPr>
          <w:rFonts w:ascii="Times New Roman" w:hAnsi="Times New Roman" w:cs="Times New Roman"/>
          <w:sz w:val="24"/>
          <w:szCs w:val="24"/>
        </w:rPr>
        <w:t>.</w:t>
      </w:r>
      <w:r>
        <w:rPr>
          <w:rFonts w:ascii="Times New Roman" w:hAnsi="Times New Roman" w:cs="Times New Roman"/>
          <w:sz w:val="24"/>
          <w:szCs w:val="24"/>
        </w:rPr>
        <w:t xml:space="preserve"> </w:t>
      </w:r>
      <w:r w:rsidRPr="000D79C0">
        <w:rPr>
          <w:rFonts w:ascii="Times New Roman" w:hAnsi="Times New Roman" w:cs="Times New Roman"/>
          <w:sz w:val="24"/>
          <w:szCs w:val="24"/>
        </w:rPr>
        <w:t xml:space="preserve">Paventi, </w:t>
      </w:r>
      <w:r w:rsidRPr="000D79C0">
        <w:rPr>
          <w:rFonts w:ascii="Times New Roman" w:hAnsi="Times New Roman" w:cs="Times New Roman"/>
          <w:i/>
          <w:sz w:val="24"/>
          <w:szCs w:val="24"/>
        </w:rPr>
        <w:t>La Chiesa missionaria dottrinale. Manuale di missionologia</w:t>
      </w:r>
      <w:r>
        <w:rPr>
          <w:rFonts w:ascii="Times New Roman" w:hAnsi="Times New Roman" w:cs="Times New Roman"/>
          <w:i/>
          <w:sz w:val="24"/>
          <w:szCs w:val="24"/>
        </w:rPr>
        <w:t xml:space="preserve">, </w:t>
      </w:r>
      <w:r>
        <w:rPr>
          <w:rFonts w:ascii="Times New Roman" w:hAnsi="Times New Roman" w:cs="Times New Roman"/>
          <w:sz w:val="24"/>
          <w:szCs w:val="24"/>
        </w:rPr>
        <w:t xml:space="preserve">cit., </w:t>
      </w:r>
      <w:r w:rsidRPr="003B1C02">
        <w:rPr>
          <w:rFonts w:ascii="Times New Roman" w:hAnsi="Times New Roman" w:cs="Times New Roman"/>
          <w:i/>
          <w:sz w:val="24"/>
          <w:szCs w:val="24"/>
        </w:rPr>
        <w:t>passim</w:t>
      </w:r>
      <w:r>
        <w:rPr>
          <w:rFonts w:ascii="Times New Roman" w:hAnsi="Times New Roman" w:cs="Times New Roman"/>
          <w:sz w:val="24"/>
          <w:szCs w:val="24"/>
        </w:rPr>
        <w:t>.</w:t>
      </w:r>
    </w:p>
  </w:footnote>
  <w:footnote w:id="611">
    <w:p w14:paraId="103BE3C6" w14:textId="77777777" w:rsidR="00F202D0" w:rsidRDefault="00F202D0" w:rsidP="00B3403A">
      <w:pPr>
        <w:pStyle w:val="Testonotaapidipagina"/>
      </w:pPr>
      <w:r>
        <w:rPr>
          <w:rStyle w:val="Rimandonotaapidipagina"/>
        </w:rPr>
        <w:footnoteRef/>
      </w:r>
      <w:r w:rsidRPr="004A3818">
        <w:rPr>
          <w:rFonts w:ascii="Times New Roman" w:hAnsi="Times New Roman" w:cs="Times New Roman"/>
          <w:i/>
          <w:sz w:val="24"/>
          <w:szCs w:val="24"/>
        </w:rPr>
        <w:t>Ibidem.</w:t>
      </w:r>
    </w:p>
    <w:p w14:paraId="649DCF96" w14:textId="77777777" w:rsidR="00F202D0" w:rsidRDefault="00F202D0">
      <w:pPr>
        <w:pStyle w:val="Testonotaapidipagina"/>
      </w:pPr>
    </w:p>
  </w:footnote>
  <w:footnote w:id="612">
    <w:p w14:paraId="1531913A" w14:textId="77777777" w:rsidR="00F202D0" w:rsidRPr="00B3403A" w:rsidRDefault="00F202D0" w:rsidP="00B3403A">
      <w:pPr>
        <w:rPr>
          <w:rFonts w:ascii="Times New Roman" w:hAnsi="Times New Roman" w:cs="Times New Roman"/>
          <w:sz w:val="24"/>
          <w:szCs w:val="24"/>
        </w:rPr>
      </w:pPr>
      <w:r>
        <w:rPr>
          <w:rStyle w:val="Rimandonotaapidipagina"/>
        </w:rPr>
        <w:footnoteRef/>
      </w:r>
      <w:r>
        <w:t xml:space="preserve"> </w:t>
      </w:r>
      <w:r w:rsidRPr="00DF729A">
        <w:rPr>
          <w:rFonts w:ascii="Times New Roman" w:hAnsi="Times New Roman" w:cs="Times New Roman"/>
          <w:sz w:val="24"/>
          <w:szCs w:val="24"/>
        </w:rPr>
        <w:t>C</w:t>
      </w:r>
      <w:r w:rsidRPr="00DF729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0D79C0">
        <w:rPr>
          <w:rFonts w:ascii="Times New Roman" w:hAnsi="Times New Roman" w:cs="Times New Roman"/>
          <w:color w:val="000000"/>
          <w:sz w:val="24"/>
          <w:szCs w:val="24"/>
          <w:shd w:val="clear" w:color="auto" w:fill="FFFFFF"/>
        </w:rPr>
        <w:t>Fantappiè,</w:t>
      </w:r>
      <w:r w:rsidRPr="000D79C0">
        <w:rPr>
          <w:rFonts w:ascii="Times New Roman" w:hAnsi="Times New Roman" w:cs="Times New Roman"/>
          <w:sz w:val="24"/>
          <w:szCs w:val="24"/>
        </w:rPr>
        <w:t xml:space="preserve"> </w:t>
      </w:r>
      <w:r w:rsidRPr="000D79C0">
        <w:rPr>
          <w:rFonts w:ascii="Times New Roman" w:hAnsi="Times New Roman" w:cs="Times New Roman"/>
          <w:i/>
          <w:sz w:val="24"/>
          <w:szCs w:val="24"/>
        </w:rPr>
        <w:t xml:space="preserve">Vantaggi e limiti della codificazione del 1917, </w:t>
      </w:r>
      <w:r w:rsidRPr="000D79C0">
        <w:rPr>
          <w:rFonts w:ascii="Times New Roman" w:hAnsi="Times New Roman" w:cs="Times New Roman"/>
          <w:sz w:val="24"/>
          <w:szCs w:val="24"/>
        </w:rPr>
        <w:t xml:space="preserve">in </w:t>
      </w:r>
      <w:r w:rsidRPr="00877C09">
        <w:rPr>
          <w:rFonts w:ascii="Times New Roman" w:hAnsi="Times New Roman" w:cs="Times New Roman"/>
          <w:i/>
          <w:sz w:val="24"/>
          <w:szCs w:val="24"/>
        </w:rPr>
        <w:t>diritto canonico e culture giuridiche nel centenario del Codex iuris canonici</w:t>
      </w:r>
      <w:r w:rsidRPr="000D79C0">
        <w:rPr>
          <w:rFonts w:ascii="Times New Roman" w:hAnsi="Times New Roman" w:cs="Times New Roman"/>
          <w:sz w:val="24"/>
          <w:szCs w:val="24"/>
        </w:rPr>
        <w:t xml:space="preserve"> del 1917 Atti del XVI Congresso Internazionale della Consociatio Internationalis Studio Iuris Canonici Promovendo, Roma 4-7 ottobre 2017, pp</w:t>
      </w:r>
      <w:r>
        <w:rPr>
          <w:rFonts w:ascii="Times New Roman" w:hAnsi="Times New Roman" w:cs="Times New Roman"/>
          <w:sz w:val="24"/>
          <w:szCs w:val="24"/>
        </w:rPr>
        <w:t>.</w:t>
      </w:r>
      <w:r w:rsidRPr="000D79C0">
        <w:rPr>
          <w:rFonts w:ascii="Times New Roman" w:hAnsi="Times New Roman" w:cs="Times New Roman"/>
          <w:sz w:val="24"/>
          <w:szCs w:val="24"/>
        </w:rPr>
        <w:t xml:space="preserve"> 63-90.</w:t>
      </w:r>
    </w:p>
  </w:footnote>
  <w:footnote w:id="613">
    <w:p w14:paraId="299D087B" w14:textId="77777777" w:rsidR="00F202D0" w:rsidRPr="00F96346" w:rsidRDefault="00F202D0">
      <w:pPr>
        <w:pStyle w:val="Testonotaapidipagina"/>
        <w:rPr>
          <w:rFonts w:ascii="Times New Roman" w:hAnsi="Times New Roman" w:cs="Times New Roman"/>
          <w:i/>
          <w:sz w:val="24"/>
          <w:szCs w:val="24"/>
        </w:rPr>
      </w:pPr>
      <w:r>
        <w:rPr>
          <w:rStyle w:val="Rimandonotaapidipagina"/>
        </w:rPr>
        <w:footnoteRef/>
      </w:r>
      <w:r>
        <w:t xml:space="preserve"> </w:t>
      </w:r>
      <w:r w:rsidRPr="00F96346">
        <w:rPr>
          <w:rFonts w:ascii="Times New Roman" w:hAnsi="Times New Roman" w:cs="Times New Roman"/>
          <w:i/>
          <w:sz w:val="24"/>
          <w:szCs w:val="24"/>
        </w:rPr>
        <w:t>Ibidem.</w:t>
      </w:r>
    </w:p>
  </w:footnote>
  <w:footnote w:id="614">
    <w:p w14:paraId="085B292F" w14:textId="77777777" w:rsidR="00F202D0" w:rsidRDefault="00F202D0">
      <w:pPr>
        <w:pStyle w:val="Testonotaapidipagina"/>
      </w:pPr>
      <w:r>
        <w:rPr>
          <w:rStyle w:val="Rimandonotaapidipagina"/>
        </w:rPr>
        <w:footnoteRef/>
      </w:r>
      <w:r>
        <w:t xml:space="preserve"> </w:t>
      </w:r>
      <w:r w:rsidRPr="00F96346">
        <w:rPr>
          <w:rFonts w:ascii="Times New Roman" w:hAnsi="Times New Roman" w:cs="Times New Roman"/>
          <w:i/>
          <w:sz w:val="24"/>
          <w:szCs w:val="24"/>
        </w:rPr>
        <w:t>Ibidem.</w:t>
      </w:r>
    </w:p>
  </w:footnote>
  <w:footnote w:id="615">
    <w:p w14:paraId="2C47A307" w14:textId="77777777" w:rsidR="00F202D0" w:rsidRDefault="00F202D0">
      <w:pPr>
        <w:pStyle w:val="Testonotaapidipagina"/>
      </w:pPr>
      <w:r>
        <w:rPr>
          <w:rStyle w:val="Rimandonotaapidipagina"/>
        </w:rPr>
        <w:footnoteRef/>
      </w:r>
      <w:r>
        <w:t xml:space="preserve"> </w:t>
      </w:r>
      <w:r w:rsidRPr="007854F3">
        <w:rPr>
          <w:rFonts w:ascii="Times New Roman" w:hAnsi="Times New Roman" w:cs="Times New Roman"/>
          <w:i/>
          <w:sz w:val="24"/>
          <w:szCs w:val="24"/>
        </w:rPr>
        <w:t>Res.part</w:t>
      </w:r>
      <w:r>
        <w:rPr>
          <w:rFonts w:ascii="Times New Roman" w:hAnsi="Times New Roman" w:cs="Times New Roman"/>
          <w:sz w:val="24"/>
          <w:szCs w:val="24"/>
        </w:rPr>
        <w:t xml:space="preserve">., p. 1463, 3 aprile 1933,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616">
    <w:p w14:paraId="53460ACD" w14:textId="77777777" w:rsidR="00F202D0" w:rsidRDefault="00F202D0" w:rsidP="00B3403A">
      <w:pPr>
        <w:pStyle w:val="Testonotaapidipagina"/>
      </w:pPr>
      <w:r>
        <w:rPr>
          <w:rStyle w:val="Rimandonotaapidipagina"/>
        </w:rPr>
        <w:footnoteRef/>
      </w:r>
      <w:r>
        <w:t xml:space="preserve"> </w:t>
      </w:r>
      <w:r>
        <w:rPr>
          <w:rFonts w:ascii="Times New Roman" w:hAnsi="Times New Roman" w:cs="Times New Roman"/>
          <w:i/>
          <w:sz w:val="24"/>
          <w:szCs w:val="24"/>
        </w:rPr>
        <w:t>I</w:t>
      </w:r>
      <w:r w:rsidRPr="003564AE">
        <w:rPr>
          <w:rFonts w:ascii="Times New Roman" w:hAnsi="Times New Roman" w:cs="Times New Roman"/>
          <w:i/>
          <w:sz w:val="24"/>
          <w:szCs w:val="24"/>
        </w:rPr>
        <w:t>an</w:t>
      </w:r>
      <w:r>
        <w:rPr>
          <w:rFonts w:ascii="Times New Roman" w:hAnsi="Times New Roman" w:cs="Times New Roman"/>
          <w:sz w:val="24"/>
          <w:szCs w:val="24"/>
        </w:rPr>
        <w:t xml:space="preserve">., p. 531, 29 gennaio 1923, in </w:t>
      </w:r>
      <w:r>
        <w:rPr>
          <w:rFonts w:ascii="Times New Roman" w:hAnsi="Times New Roman" w:cs="Times New Roman"/>
          <w:i/>
          <w:sz w:val="24"/>
          <w:szCs w:val="24"/>
        </w:rPr>
        <w:t>L</w:t>
      </w:r>
      <w:r w:rsidRPr="00652FB3">
        <w:rPr>
          <w:rFonts w:ascii="Times New Roman" w:hAnsi="Times New Roman" w:cs="Times New Roman"/>
          <w:i/>
          <w:sz w:val="24"/>
          <w:szCs w:val="24"/>
        </w:rPr>
        <w:t>eges ec</w:t>
      </w:r>
      <w:r>
        <w:rPr>
          <w:rFonts w:ascii="Times New Roman" w:hAnsi="Times New Roman" w:cs="Times New Roman"/>
          <w:i/>
          <w:sz w:val="24"/>
          <w:szCs w:val="24"/>
        </w:rPr>
        <w:t>c</w:t>
      </w:r>
      <w:r w:rsidRPr="00652FB3">
        <w:rPr>
          <w:rFonts w:ascii="Times New Roman" w:hAnsi="Times New Roman" w:cs="Times New Roman"/>
          <w:i/>
          <w:sz w:val="24"/>
          <w:szCs w:val="24"/>
        </w:rPr>
        <w:t>lesiae</w:t>
      </w:r>
      <w:r>
        <w:rPr>
          <w:rFonts w:ascii="Times New Roman" w:hAnsi="Times New Roman" w:cs="Times New Roman"/>
          <w:sz w:val="24"/>
          <w:szCs w:val="24"/>
        </w:rPr>
        <w:t xml:space="preserve"> Vol.</w:t>
      </w:r>
      <w:r w:rsidRPr="00652FB3">
        <w:rPr>
          <w:rFonts w:ascii="Times New Roman" w:hAnsi="Times New Roman" w:cs="Times New Roman"/>
          <w:sz w:val="24"/>
          <w:szCs w:val="24"/>
        </w:rPr>
        <w:t xml:space="preserve"> I, 1918-1941</w:t>
      </w:r>
      <w:r>
        <w:rPr>
          <w:rFonts w:ascii="Times New Roman" w:hAnsi="Times New Roman" w:cs="Times New Roman"/>
          <w:sz w:val="24"/>
          <w:szCs w:val="24"/>
        </w:rPr>
        <w:t>.</w:t>
      </w:r>
    </w:p>
  </w:footnote>
  <w:footnote w:id="617">
    <w:p w14:paraId="41192A59" w14:textId="77777777" w:rsidR="00F202D0" w:rsidRDefault="00F202D0" w:rsidP="00B3403A">
      <w:pPr>
        <w:pStyle w:val="Testonotaapidipagina"/>
      </w:pPr>
      <w:r>
        <w:rPr>
          <w:rStyle w:val="Rimandonotaapidipagina"/>
        </w:rPr>
        <w:footnoteRef/>
      </w:r>
      <w:r>
        <w:t xml:space="preserve"> </w:t>
      </w:r>
      <w:r>
        <w:rPr>
          <w:rFonts w:ascii="Times New Roman" w:hAnsi="Times New Roman" w:cs="Times New Roman"/>
          <w:sz w:val="24"/>
          <w:szCs w:val="24"/>
        </w:rPr>
        <w:t xml:space="preserve">Res.part, pp. 2031-2041, 1 gennaio 1941, in </w:t>
      </w:r>
      <w:r w:rsidRPr="00C34CEC">
        <w:rPr>
          <w:rFonts w:ascii="Times New Roman" w:hAnsi="Times New Roman" w:cs="Times New Roman"/>
          <w:i/>
          <w:sz w:val="24"/>
          <w:szCs w:val="24"/>
        </w:rPr>
        <w:t>Leges ecclesiae</w:t>
      </w:r>
      <w:r w:rsidRPr="00B04E38">
        <w:rPr>
          <w:rFonts w:ascii="Times New Roman" w:hAnsi="Times New Roman" w:cs="Times New Roman"/>
          <w:sz w:val="24"/>
          <w:szCs w:val="24"/>
        </w:rPr>
        <w:t xml:space="preserve"> Vol</w:t>
      </w:r>
      <w:r>
        <w:rPr>
          <w:rFonts w:ascii="Times New Roman" w:hAnsi="Times New Roman" w:cs="Times New Roman"/>
          <w:sz w:val="24"/>
          <w:szCs w:val="24"/>
        </w:rPr>
        <w:t>.</w:t>
      </w:r>
      <w:r w:rsidRPr="00B04E38">
        <w:rPr>
          <w:rFonts w:ascii="Times New Roman" w:hAnsi="Times New Roman" w:cs="Times New Roman"/>
          <w:sz w:val="24"/>
          <w:szCs w:val="24"/>
        </w:rPr>
        <w:t xml:space="preserve"> I</w:t>
      </w:r>
      <w:r>
        <w:rPr>
          <w:rFonts w:ascii="Times New Roman" w:hAnsi="Times New Roman" w:cs="Times New Roman"/>
          <w:sz w:val="24"/>
          <w:szCs w:val="24"/>
        </w:rPr>
        <w:t>, 1918-1941.</w:t>
      </w:r>
    </w:p>
    <w:p w14:paraId="7D7A63EE" w14:textId="555B5982" w:rsidR="00F202D0" w:rsidRDefault="00F202D0">
      <w:pPr>
        <w:pStyle w:val="Testonotaapidipagina"/>
      </w:pPr>
      <w:r>
        <w:t xml:space="preserve"> </w:t>
      </w:r>
    </w:p>
  </w:footnote>
  <w:footnote w:id="618">
    <w:p w14:paraId="5B58AC3A" w14:textId="77777777" w:rsidR="00F202D0" w:rsidRPr="006C25C6" w:rsidRDefault="00F202D0">
      <w:pPr>
        <w:pStyle w:val="Testonotaapidipagina"/>
        <w:rPr>
          <w:rFonts w:ascii="Times New Roman" w:hAnsi="Times New Roman" w:cs="Times New Roman"/>
          <w:sz w:val="24"/>
          <w:szCs w:val="24"/>
        </w:rPr>
      </w:pPr>
      <w:r>
        <w:rPr>
          <w:rStyle w:val="Rimandonotaapidipagina"/>
        </w:rPr>
        <w:footnoteRef/>
      </w:r>
      <w:r>
        <w:t xml:space="preserve"> </w:t>
      </w:r>
      <w:r w:rsidRPr="006C25C6">
        <w:rPr>
          <w:rFonts w:ascii="Times New Roman" w:hAnsi="Times New Roman" w:cs="Times New Roman"/>
          <w:sz w:val="24"/>
          <w:szCs w:val="24"/>
        </w:rPr>
        <w:t>B.</w:t>
      </w:r>
      <w:r>
        <w:rPr>
          <w:rFonts w:ascii="Times New Roman" w:hAnsi="Times New Roman" w:cs="Times New Roman"/>
          <w:sz w:val="24"/>
          <w:szCs w:val="24"/>
        </w:rPr>
        <w:t xml:space="preserve"> </w:t>
      </w:r>
      <w:r w:rsidRPr="006C25C6">
        <w:rPr>
          <w:rFonts w:ascii="Times New Roman" w:hAnsi="Times New Roman" w:cs="Times New Roman"/>
          <w:sz w:val="24"/>
          <w:szCs w:val="24"/>
        </w:rPr>
        <w:t xml:space="preserve">Mondin, </w:t>
      </w:r>
      <w:r w:rsidRPr="006C25C6">
        <w:rPr>
          <w:rFonts w:ascii="Times New Roman" w:hAnsi="Times New Roman" w:cs="Times New Roman"/>
          <w:i/>
          <w:sz w:val="24"/>
          <w:szCs w:val="24"/>
        </w:rPr>
        <w:t>Ad Gentes</w:t>
      </w:r>
      <w:r w:rsidRPr="006C25C6">
        <w:rPr>
          <w:rFonts w:ascii="Times New Roman" w:hAnsi="Times New Roman" w:cs="Times New Roman"/>
          <w:sz w:val="24"/>
          <w:szCs w:val="24"/>
        </w:rPr>
        <w:t xml:space="preserve">, in </w:t>
      </w:r>
      <w:r w:rsidRPr="006C25C6">
        <w:rPr>
          <w:rFonts w:ascii="Times New Roman" w:hAnsi="Times New Roman" w:cs="Times New Roman"/>
          <w:i/>
          <w:sz w:val="24"/>
          <w:szCs w:val="24"/>
        </w:rPr>
        <w:t>Dizionario storico e teologico delle missioni</w:t>
      </w:r>
      <w:r w:rsidRPr="006C25C6">
        <w:rPr>
          <w:rFonts w:ascii="Times New Roman" w:hAnsi="Times New Roman" w:cs="Times New Roman"/>
          <w:sz w:val="24"/>
          <w:szCs w:val="24"/>
        </w:rPr>
        <w:t>, 2005, p.27.</w:t>
      </w:r>
    </w:p>
  </w:footnote>
  <w:footnote w:id="619">
    <w:p w14:paraId="73D41631" w14:textId="77777777" w:rsidR="00F202D0" w:rsidRDefault="00F202D0" w:rsidP="00B3403A">
      <w:pPr>
        <w:pStyle w:val="Testonotaapidipagina"/>
      </w:pPr>
      <w:r>
        <w:rPr>
          <w:rStyle w:val="Rimandonotaapidipagina"/>
        </w:rPr>
        <w:footnoteRef/>
      </w:r>
      <w:r>
        <w:t xml:space="preserve"> </w:t>
      </w:r>
      <w:r w:rsidRPr="004A3818">
        <w:rPr>
          <w:rFonts w:ascii="Times New Roman" w:hAnsi="Times New Roman" w:cs="Times New Roman"/>
          <w:sz w:val="24"/>
          <w:szCs w:val="24"/>
        </w:rPr>
        <w:t xml:space="preserve">A. D’Auria, </w:t>
      </w:r>
      <w:r w:rsidRPr="004A3818">
        <w:rPr>
          <w:rFonts w:ascii="Times New Roman" w:hAnsi="Times New Roman" w:cs="Times New Roman"/>
          <w:i/>
          <w:sz w:val="24"/>
          <w:szCs w:val="24"/>
        </w:rPr>
        <w:t>La specificità del diritto missionario e la sfida dell’evangelizzazione</w:t>
      </w:r>
      <w:r w:rsidRPr="004A3818">
        <w:rPr>
          <w:rFonts w:ascii="Times New Roman" w:hAnsi="Times New Roman" w:cs="Times New Roman"/>
          <w:sz w:val="24"/>
          <w:szCs w:val="24"/>
        </w:rPr>
        <w:t>,</w:t>
      </w:r>
      <w:r>
        <w:rPr>
          <w:rFonts w:ascii="Times New Roman" w:hAnsi="Times New Roman" w:cs="Times New Roman"/>
          <w:sz w:val="24"/>
          <w:szCs w:val="24"/>
        </w:rPr>
        <w:t xml:space="preserve"> cit., </w:t>
      </w:r>
      <w:r w:rsidRPr="001B0160">
        <w:rPr>
          <w:rFonts w:ascii="Times New Roman" w:hAnsi="Times New Roman" w:cs="Times New Roman"/>
          <w:i/>
          <w:sz w:val="24"/>
          <w:szCs w:val="24"/>
        </w:rPr>
        <w:t>passim</w:t>
      </w:r>
      <w:r>
        <w:rPr>
          <w:rFonts w:ascii="Times New Roman" w:hAnsi="Times New Roman" w:cs="Times New Roman"/>
          <w:sz w:val="24"/>
          <w:szCs w:val="24"/>
        </w:rPr>
        <w:t>.</w:t>
      </w:r>
    </w:p>
  </w:footnote>
  <w:footnote w:id="620">
    <w:p w14:paraId="2A644FF0" w14:textId="77777777" w:rsidR="00F202D0" w:rsidRPr="00711672" w:rsidRDefault="00F202D0">
      <w:pPr>
        <w:pStyle w:val="Testonotaapidipagina"/>
        <w:rPr>
          <w:rFonts w:ascii="Times New Roman" w:hAnsi="Times New Roman" w:cs="Times New Roman"/>
          <w:i/>
          <w:sz w:val="24"/>
          <w:szCs w:val="24"/>
          <w:lang w:val="en-US"/>
        </w:rPr>
      </w:pPr>
      <w:r>
        <w:rPr>
          <w:rStyle w:val="Rimandonotaapidipagina"/>
        </w:rPr>
        <w:footnoteRef/>
      </w:r>
      <w:r>
        <w:t xml:space="preserve"> </w:t>
      </w:r>
      <w:r w:rsidRPr="00711672">
        <w:rPr>
          <w:rFonts w:ascii="Times New Roman" w:hAnsi="Times New Roman" w:cs="Times New Roman"/>
          <w:i/>
          <w:sz w:val="24"/>
          <w:szCs w:val="24"/>
          <w:lang w:val="en-US"/>
        </w:rPr>
        <w:t>Ibidem.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759D6"/>
    <w:multiLevelType w:val="multilevel"/>
    <w:tmpl w:val="7DD4C45C"/>
    <w:lvl w:ilvl="0">
      <w:start w:val="3"/>
      <w:numFmt w:val="decimal"/>
      <w:lvlText w:val="%1"/>
      <w:lvlJc w:val="left"/>
      <w:pPr>
        <w:ind w:left="504" w:hanging="504"/>
      </w:pPr>
      <w:rPr>
        <w:rFonts w:hint="default"/>
      </w:rPr>
    </w:lvl>
    <w:lvl w:ilvl="1">
      <w:start w:val="16"/>
      <w:numFmt w:val="decimal"/>
      <w:lvlText w:val="%1.%2"/>
      <w:lvlJc w:val="left"/>
      <w:pPr>
        <w:ind w:left="1904" w:hanging="504"/>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5280" w:hanging="1080"/>
      </w:pPr>
      <w:rPr>
        <w:rFonts w:hint="default"/>
      </w:rPr>
    </w:lvl>
    <w:lvl w:ilvl="4">
      <w:start w:val="1"/>
      <w:numFmt w:val="decimal"/>
      <w:lvlText w:val="%1.%2.%3.%4.%5"/>
      <w:lvlJc w:val="left"/>
      <w:pPr>
        <w:ind w:left="6680" w:hanging="1080"/>
      </w:pPr>
      <w:rPr>
        <w:rFonts w:hint="default"/>
      </w:rPr>
    </w:lvl>
    <w:lvl w:ilvl="5">
      <w:start w:val="1"/>
      <w:numFmt w:val="decimal"/>
      <w:lvlText w:val="%1.%2.%3.%4.%5.%6"/>
      <w:lvlJc w:val="left"/>
      <w:pPr>
        <w:ind w:left="8440" w:hanging="1440"/>
      </w:pPr>
      <w:rPr>
        <w:rFonts w:hint="default"/>
      </w:rPr>
    </w:lvl>
    <w:lvl w:ilvl="6">
      <w:start w:val="1"/>
      <w:numFmt w:val="decimal"/>
      <w:lvlText w:val="%1.%2.%3.%4.%5.%6.%7"/>
      <w:lvlJc w:val="left"/>
      <w:pPr>
        <w:ind w:left="9840" w:hanging="1440"/>
      </w:pPr>
      <w:rPr>
        <w:rFonts w:hint="default"/>
      </w:rPr>
    </w:lvl>
    <w:lvl w:ilvl="7">
      <w:start w:val="1"/>
      <w:numFmt w:val="decimal"/>
      <w:lvlText w:val="%1.%2.%3.%4.%5.%6.%7.%8"/>
      <w:lvlJc w:val="left"/>
      <w:pPr>
        <w:ind w:left="11600" w:hanging="1800"/>
      </w:pPr>
      <w:rPr>
        <w:rFonts w:hint="default"/>
      </w:rPr>
    </w:lvl>
    <w:lvl w:ilvl="8">
      <w:start w:val="1"/>
      <w:numFmt w:val="decimal"/>
      <w:lvlText w:val="%1.%2.%3.%4.%5.%6.%7.%8.%9"/>
      <w:lvlJc w:val="left"/>
      <w:pPr>
        <w:ind w:left="13360" w:hanging="2160"/>
      </w:pPr>
      <w:rPr>
        <w:rFonts w:hint="default"/>
      </w:rPr>
    </w:lvl>
  </w:abstractNum>
  <w:abstractNum w:abstractNumId="1" w15:restartNumberingAfterBreak="0">
    <w:nsid w:val="0DAA52C8"/>
    <w:multiLevelType w:val="multilevel"/>
    <w:tmpl w:val="F01883F8"/>
    <w:lvl w:ilvl="0">
      <w:start w:val="1"/>
      <w:numFmt w:val="decimal"/>
      <w:lvlText w:val="%1"/>
      <w:lvlJc w:val="left"/>
      <w:pPr>
        <w:ind w:left="420" w:hanging="420"/>
      </w:pPr>
      <w:rPr>
        <w:rFonts w:hint="default"/>
      </w:rPr>
    </w:lvl>
    <w:lvl w:ilvl="1">
      <w:start w:val="1"/>
      <w:numFmt w:val="decimal"/>
      <w:lvlText w:val="%1.%2"/>
      <w:lvlJc w:val="left"/>
      <w:pPr>
        <w:ind w:left="760" w:hanging="4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2" w15:restartNumberingAfterBreak="0">
    <w:nsid w:val="0DFE77D5"/>
    <w:multiLevelType w:val="multilevel"/>
    <w:tmpl w:val="13725814"/>
    <w:lvl w:ilvl="0">
      <w:start w:val="1"/>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14B2570"/>
    <w:multiLevelType w:val="multilevel"/>
    <w:tmpl w:val="EC7AA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D03D31"/>
    <w:multiLevelType w:val="multilevel"/>
    <w:tmpl w:val="A5E61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B21677"/>
    <w:multiLevelType w:val="multilevel"/>
    <w:tmpl w:val="30CEB714"/>
    <w:lvl w:ilvl="0">
      <w:start w:val="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6" w15:restartNumberingAfterBreak="0">
    <w:nsid w:val="220C5576"/>
    <w:multiLevelType w:val="multilevel"/>
    <w:tmpl w:val="94982E08"/>
    <w:lvl w:ilvl="0">
      <w:start w:val="1"/>
      <w:numFmt w:val="decimal"/>
      <w:lvlText w:val="%1"/>
      <w:lvlJc w:val="left"/>
      <w:pPr>
        <w:ind w:left="420" w:hanging="420"/>
      </w:pPr>
      <w:rPr>
        <w:rFonts w:hint="default"/>
      </w:rPr>
    </w:lvl>
    <w:lvl w:ilvl="1">
      <w:start w:val="1"/>
      <w:numFmt w:val="decimal"/>
      <w:lvlText w:val="%1.%2"/>
      <w:lvlJc w:val="left"/>
      <w:pPr>
        <w:ind w:left="1100" w:hanging="4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7" w15:restartNumberingAfterBreak="0">
    <w:nsid w:val="229E37BD"/>
    <w:multiLevelType w:val="multilevel"/>
    <w:tmpl w:val="FE5229E0"/>
    <w:lvl w:ilvl="0">
      <w:start w:val="1"/>
      <w:numFmt w:val="decimal"/>
      <w:lvlText w:val="%1"/>
      <w:lvlJc w:val="left"/>
      <w:pPr>
        <w:ind w:left="420" w:hanging="420"/>
      </w:pPr>
      <w:rPr>
        <w:rFonts w:hint="default"/>
      </w:rPr>
    </w:lvl>
    <w:lvl w:ilvl="1">
      <w:start w:val="1"/>
      <w:numFmt w:val="decimal"/>
      <w:lvlText w:val="%1.%2"/>
      <w:lvlJc w:val="left"/>
      <w:pPr>
        <w:ind w:left="1100" w:hanging="4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8" w15:restartNumberingAfterBreak="0">
    <w:nsid w:val="2478447C"/>
    <w:multiLevelType w:val="multilevel"/>
    <w:tmpl w:val="11125048"/>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8004802"/>
    <w:multiLevelType w:val="multilevel"/>
    <w:tmpl w:val="328EE5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A622B44"/>
    <w:multiLevelType w:val="multilevel"/>
    <w:tmpl w:val="36B084B2"/>
    <w:lvl w:ilvl="0">
      <w:start w:val="2"/>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11" w15:restartNumberingAfterBreak="0">
    <w:nsid w:val="2CE87D38"/>
    <w:multiLevelType w:val="multilevel"/>
    <w:tmpl w:val="673039BC"/>
    <w:lvl w:ilvl="0">
      <w:start w:val="1"/>
      <w:numFmt w:val="decimal"/>
      <w:lvlText w:val="%1"/>
      <w:lvlJc w:val="left"/>
      <w:pPr>
        <w:ind w:left="360" w:hanging="360"/>
      </w:pPr>
      <w:rPr>
        <w:rFonts w:hint="default"/>
      </w:rPr>
    </w:lvl>
    <w:lvl w:ilvl="1">
      <w:start w:val="3"/>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12" w15:restartNumberingAfterBreak="0">
    <w:nsid w:val="320A5EC1"/>
    <w:multiLevelType w:val="multilevel"/>
    <w:tmpl w:val="9716B966"/>
    <w:lvl w:ilvl="0">
      <w:start w:val="3"/>
      <w:numFmt w:val="decimal"/>
      <w:lvlText w:val="%1"/>
      <w:lvlJc w:val="left"/>
      <w:pPr>
        <w:ind w:left="576" w:hanging="576"/>
      </w:pPr>
      <w:rPr>
        <w:rFonts w:hint="default"/>
      </w:rPr>
    </w:lvl>
    <w:lvl w:ilvl="1">
      <w:start w:val="1"/>
      <w:numFmt w:val="decimal"/>
      <w:lvlText w:val="%1.%2"/>
      <w:lvlJc w:val="left"/>
      <w:pPr>
        <w:ind w:left="916" w:hanging="576"/>
      </w:pPr>
      <w:rPr>
        <w:rFonts w:hint="default"/>
      </w:rPr>
    </w:lvl>
    <w:lvl w:ilvl="2">
      <w:start w:val="6"/>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13" w15:restartNumberingAfterBreak="0">
    <w:nsid w:val="3DF92DBF"/>
    <w:multiLevelType w:val="multilevel"/>
    <w:tmpl w:val="8272B728"/>
    <w:lvl w:ilvl="0">
      <w:start w:val="1"/>
      <w:numFmt w:val="decimal"/>
      <w:lvlText w:val="%1"/>
      <w:lvlJc w:val="left"/>
      <w:pPr>
        <w:ind w:left="420" w:hanging="420"/>
      </w:pPr>
      <w:rPr>
        <w:rFonts w:hint="default"/>
      </w:rPr>
    </w:lvl>
    <w:lvl w:ilvl="1">
      <w:start w:val="1"/>
      <w:numFmt w:val="decimal"/>
      <w:lvlText w:val="%1.%2"/>
      <w:lvlJc w:val="left"/>
      <w:pPr>
        <w:ind w:left="1100" w:hanging="4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14" w15:restartNumberingAfterBreak="0">
    <w:nsid w:val="3E046A5D"/>
    <w:multiLevelType w:val="multilevel"/>
    <w:tmpl w:val="7722E8A2"/>
    <w:lvl w:ilvl="0">
      <w:start w:val="2"/>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149516A"/>
    <w:multiLevelType w:val="multilevel"/>
    <w:tmpl w:val="5296C9DC"/>
    <w:lvl w:ilvl="0">
      <w:start w:val="3"/>
      <w:numFmt w:val="decimal"/>
      <w:lvlText w:val="%1"/>
      <w:lvlJc w:val="left"/>
      <w:pPr>
        <w:ind w:left="576" w:hanging="576"/>
      </w:pPr>
      <w:rPr>
        <w:rFonts w:hint="default"/>
      </w:rPr>
    </w:lvl>
    <w:lvl w:ilvl="1">
      <w:start w:val="1"/>
      <w:numFmt w:val="decimal"/>
      <w:lvlText w:val="%1.%2"/>
      <w:lvlJc w:val="left"/>
      <w:pPr>
        <w:ind w:left="916" w:hanging="576"/>
      </w:pPr>
      <w:rPr>
        <w:rFonts w:hint="default"/>
      </w:rPr>
    </w:lvl>
    <w:lvl w:ilvl="2">
      <w:start w:val="4"/>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16" w15:restartNumberingAfterBreak="0">
    <w:nsid w:val="4C8E32CF"/>
    <w:multiLevelType w:val="multilevel"/>
    <w:tmpl w:val="DB38766E"/>
    <w:lvl w:ilvl="0">
      <w:start w:val="2"/>
      <w:numFmt w:val="decimal"/>
      <w:lvlText w:val="%1"/>
      <w:lvlJc w:val="left"/>
      <w:pPr>
        <w:ind w:left="360" w:hanging="360"/>
      </w:pPr>
      <w:rPr>
        <w:rFonts w:hint="default"/>
      </w:rPr>
    </w:lvl>
    <w:lvl w:ilvl="1">
      <w:start w:val="1"/>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17" w15:restartNumberingAfterBreak="0">
    <w:nsid w:val="4DCA01D5"/>
    <w:multiLevelType w:val="multilevel"/>
    <w:tmpl w:val="0650A96A"/>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0FF1C39"/>
    <w:multiLevelType w:val="multilevel"/>
    <w:tmpl w:val="B7C6B2BE"/>
    <w:lvl w:ilvl="0">
      <w:start w:val="1"/>
      <w:numFmt w:val="decimal"/>
      <w:lvlText w:val="%1"/>
      <w:lvlJc w:val="left"/>
      <w:pPr>
        <w:ind w:left="576" w:hanging="576"/>
      </w:pPr>
      <w:rPr>
        <w:rFonts w:hint="default"/>
      </w:rPr>
    </w:lvl>
    <w:lvl w:ilvl="1">
      <w:start w:val="1"/>
      <w:numFmt w:val="decimal"/>
      <w:lvlText w:val="%1.%2"/>
      <w:lvlJc w:val="left"/>
      <w:pPr>
        <w:ind w:left="916" w:hanging="576"/>
      </w:pPr>
      <w:rPr>
        <w:rFonts w:hint="default"/>
      </w:rPr>
    </w:lvl>
    <w:lvl w:ilvl="2">
      <w:start w:val="2"/>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19" w15:restartNumberingAfterBreak="0">
    <w:nsid w:val="5A861411"/>
    <w:multiLevelType w:val="multilevel"/>
    <w:tmpl w:val="00181B92"/>
    <w:lvl w:ilvl="0">
      <w:start w:val="1"/>
      <w:numFmt w:val="decimal"/>
      <w:lvlText w:val="%1"/>
      <w:lvlJc w:val="left"/>
      <w:pPr>
        <w:ind w:left="420" w:hanging="420"/>
      </w:pPr>
      <w:rPr>
        <w:rFonts w:hint="default"/>
      </w:rPr>
    </w:lvl>
    <w:lvl w:ilvl="1">
      <w:start w:val="1"/>
      <w:numFmt w:val="decimal"/>
      <w:lvlText w:val="%1.%2"/>
      <w:lvlJc w:val="left"/>
      <w:pPr>
        <w:ind w:left="760" w:hanging="4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20" w15:restartNumberingAfterBreak="0">
    <w:nsid w:val="5B342B8F"/>
    <w:multiLevelType w:val="multilevel"/>
    <w:tmpl w:val="82F0BBB4"/>
    <w:lvl w:ilvl="0">
      <w:start w:val="1"/>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60FE4580"/>
    <w:multiLevelType w:val="multilevel"/>
    <w:tmpl w:val="1660B7A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2617A91"/>
    <w:multiLevelType w:val="hybridMultilevel"/>
    <w:tmpl w:val="F6C8078C"/>
    <w:lvl w:ilvl="0" w:tplc="0D468CEE">
      <w:start w:val="1"/>
      <w:numFmt w:val="upperLetter"/>
      <w:lvlText w:val="%1."/>
      <w:lvlJc w:val="left"/>
      <w:pPr>
        <w:ind w:left="1040" w:hanging="360"/>
      </w:pPr>
      <w:rPr>
        <w:rFonts w:hint="default"/>
      </w:rPr>
    </w:lvl>
    <w:lvl w:ilvl="1" w:tplc="04100019" w:tentative="1">
      <w:start w:val="1"/>
      <w:numFmt w:val="lowerLetter"/>
      <w:lvlText w:val="%2."/>
      <w:lvlJc w:val="left"/>
      <w:pPr>
        <w:ind w:left="1760" w:hanging="360"/>
      </w:pPr>
    </w:lvl>
    <w:lvl w:ilvl="2" w:tplc="0410001B" w:tentative="1">
      <w:start w:val="1"/>
      <w:numFmt w:val="lowerRoman"/>
      <w:lvlText w:val="%3."/>
      <w:lvlJc w:val="right"/>
      <w:pPr>
        <w:ind w:left="2480" w:hanging="180"/>
      </w:pPr>
    </w:lvl>
    <w:lvl w:ilvl="3" w:tplc="0410000F" w:tentative="1">
      <w:start w:val="1"/>
      <w:numFmt w:val="decimal"/>
      <w:lvlText w:val="%4."/>
      <w:lvlJc w:val="left"/>
      <w:pPr>
        <w:ind w:left="3200" w:hanging="360"/>
      </w:pPr>
    </w:lvl>
    <w:lvl w:ilvl="4" w:tplc="04100019" w:tentative="1">
      <w:start w:val="1"/>
      <w:numFmt w:val="lowerLetter"/>
      <w:lvlText w:val="%5."/>
      <w:lvlJc w:val="left"/>
      <w:pPr>
        <w:ind w:left="3920" w:hanging="360"/>
      </w:pPr>
    </w:lvl>
    <w:lvl w:ilvl="5" w:tplc="0410001B" w:tentative="1">
      <w:start w:val="1"/>
      <w:numFmt w:val="lowerRoman"/>
      <w:lvlText w:val="%6."/>
      <w:lvlJc w:val="right"/>
      <w:pPr>
        <w:ind w:left="4640" w:hanging="180"/>
      </w:pPr>
    </w:lvl>
    <w:lvl w:ilvl="6" w:tplc="0410000F" w:tentative="1">
      <w:start w:val="1"/>
      <w:numFmt w:val="decimal"/>
      <w:lvlText w:val="%7."/>
      <w:lvlJc w:val="left"/>
      <w:pPr>
        <w:ind w:left="5360" w:hanging="360"/>
      </w:pPr>
    </w:lvl>
    <w:lvl w:ilvl="7" w:tplc="04100019" w:tentative="1">
      <w:start w:val="1"/>
      <w:numFmt w:val="lowerLetter"/>
      <w:lvlText w:val="%8."/>
      <w:lvlJc w:val="left"/>
      <w:pPr>
        <w:ind w:left="6080" w:hanging="360"/>
      </w:pPr>
    </w:lvl>
    <w:lvl w:ilvl="8" w:tplc="0410001B" w:tentative="1">
      <w:start w:val="1"/>
      <w:numFmt w:val="lowerRoman"/>
      <w:lvlText w:val="%9."/>
      <w:lvlJc w:val="right"/>
      <w:pPr>
        <w:ind w:left="6800" w:hanging="180"/>
      </w:pPr>
    </w:lvl>
  </w:abstractNum>
  <w:abstractNum w:abstractNumId="23" w15:restartNumberingAfterBreak="0">
    <w:nsid w:val="641B3E47"/>
    <w:multiLevelType w:val="multilevel"/>
    <w:tmpl w:val="EC50674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24" w15:restartNumberingAfterBreak="0">
    <w:nsid w:val="685548DB"/>
    <w:multiLevelType w:val="multilevel"/>
    <w:tmpl w:val="5F1623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A965885"/>
    <w:multiLevelType w:val="multilevel"/>
    <w:tmpl w:val="6DBEB192"/>
    <w:lvl w:ilvl="0">
      <w:start w:val="2"/>
      <w:numFmt w:val="decimal"/>
      <w:lvlText w:val="%1"/>
      <w:lvlJc w:val="left"/>
      <w:pPr>
        <w:ind w:left="504" w:hanging="504"/>
      </w:pPr>
      <w:rPr>
        <w:rFonts w:hint="default"/>
      </w:rPr>
    </w:lvl>
    <w:lvl w:ilvl="1">
      <w:start w:val="12"/>
      <w:numFmt w:val="decimal"/>
      <w:lvlText w:val="%1.%2"/>
      <w:lvlJc w:val="left"/>
      <w:pPr>
        <w:ind w:left="1184" w:hanging="504"/>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26" w15:restartNumberingAfterBreak="0">
    <w:nsid w:val="6BEB5E9A"/>
    <w:multiLevelType w:val="multilevel"/>
    <w:tmpl w:val="EB386F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C055132"/>
    <w:multiLevelType w:val="multilevel"/>
    <w:tmpl w:val="3D30A9C4"/>
    <w:lvl w:ilvl="0">
      <w:start w:val="2"/>
      <w:numFmt w:val="decimal"/>
      <w:lvlText w:val="%1"/>
      <w:lvlJc w:val="left"/>
      <w:pPr>
        <w:ind w:left="576" w:hanging="576"/>
      </w:pPr>
      <w:rPr>
        <w:rFonts w:hint="default"/>
      </w:rPr>
    </w:lvl>
    <w:lvl w:ilvl="1">
      <w:start w:val="1"/>
      <w:numFmt w:val="decimal"/>
      <w:lvlText w:val="%1.%2"/>
      <w:lvlJc w:val="left"/>
      <w:pPr>
        <w:ind w:left="916" w:hanging="576"/>
      </w:pPr>
      <w:rPr>
        <w:rFonts w:hint="default"/>
      </w:rPr>
    </w:lvl>
    <w:lvl w:ilvl="2">
      <w:start w:val="3"/>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28" w15:restartNumberingAfterBreak="0">
    <w:nsid w:val="7232263A"/>
    <w:multiLevelType w:val="multilevel"/>
    <w:tmpl w:val="669A9244"/>
    <w:lvl w:ilvl="0">
      <w:start w:val="3"/>
      <w:numFmt w:val="decimal"/>
      <w:lvlText w:val="%1"/>
      <w:lvlJc w:val="left"/>
      <w:pPr>
        <w:ind w:left="576" w:hanging="576"/>
      </w:pPr>
      <w:rPr>
        <w:rFonts w:hint="default"/>
      </w:rPr>
    </w:lvl>
    <w:lvl w:ilvl="1">
      <w:start w:val="1"/>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15:restartNumberingAfterBreak="0">
    <w:nsid w:val="7C360554"/>
    <w:multiLevelType w:val="multilevel"/>
    <w:tmpl w:val="32565BA8"/>
    <w:lvl w:ilvl="0">
      <w:start w:val="2"/>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30" w15:restartNumberingAfterBreak="0">
    <w:nsid w:val="7E2D4D3F"/>
    <w:multiLevelType w:val="multilevel"/>
    <w:tmpl w:val="7E842294"/>
    <w:lvl w:ilvl="0">
      <w:start w:val="1"/>
      <w:numFmt w:val="decimal"/>
      <w:lvlText w:val="%1"/>
      <w:lvlJc w:val="left"/>
      <w:pPr>
        <w:ind w:left="576" w:hanging="576"/>
      </w:pPr>
      <w:rPr>
        <w:rFonts w:hint="default"/>
      </w:rPr>
    </w:lvl>
    <w:lvl w:ilvl="1">
      <w:start w:val="1"/>
      <w:numFmt w:val="decimal"/>
      <w:lvlText w:val="%1.%2"/>
      <w:lvlJc w:val="left"/>
      <w:pPr>
        <w:ind w:left="916" w:hanging="576"/>
      </w:pPr>
      <w:rPr>
        <w:rFonts w:hint="default"/>
      </w:rPr>
    </w:lvl>
    <w:lvl w:ilvl="2">
      <w:start w:val="4"/>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num w:numId="1">
    <w:abstractNumId w:val="9"/>
  </w:num>
  <w:num w:numId="2">
    <w:abstractNumId w:val="26"/>
  </w:num>
  <w:num w:numId="3">
    <w:abstractNumId w:val="23"/>
  </w:num>
  <w:num w:numId="4">
    <w:abstractNumId w:val="19"/>
  </w:num>
  <w:num w:numId="5">
    <w:abstractNumId w:val="21"/>
  </w:num>
  <w:num w:numId="6">
    <w:abstractNumId w:val="5"/>
  </w:num>
  <w:num w:numId="7">
    <w:abstractNumId w:val="3"/>
  </w:num>
  <w:num w:numId="8">
    <w:abstractNumId w:val="16"/>
  </w:num>
  <w:num w:numId="9">
    <w:abstractNumId w:val="1"/>
  </w:num>
  <w:num w:numId="10">
    <w:abstractNumId w:val="29"/>
  </w:num>
  <w:num w:numId="11">
    <w:abstractNumId w:val="30"/>
  </w:num>
  <w:num w:numId="12">
    <w:abstractNumId w:val="18"/>
  </w:num>
  <w:num w:numId="13">
    <w:abstractNumId w:val="28"/>
  </w:num>
  <w:num w:numId="14">
    <w:abstractNumId w:val="17"/>
  </w:num>
  <w:num w:numId="15">
    <w:abstractNumId w:val="12"/>
  </w:num>
  <w:num w:numId="16">
    <w:abstractNumId w:val="14"/>
  </w:num>
  <w:num w:numId="17">
    <w:abstractNumId w:val="8"/>
  </w:num>
  <w:num w:numId="18">
    <w:abstractNumId w:val="2"/>
  </w:num>
  <w:num w:numId="19">
    <w:abstractNumId w:val="4"/>
  </w:num>
  <w:num w:numId="20">
    <w:abstractNumId w:val="22"/>
  </w:num>
  <w:num w:numId="21">
    <w:abstractNumId w:val="7"/>
  </w:num>
  <w:num w:numId="22">
    <w:abstractNumId w:val="6"/>
  </w:num>
  <w:num w:numId="23">
    <w:abstractNumId w:val="10"/>
  </w:num>
  <w:num w:numId="24">
    <w:abstractNumId w:val="13"/>
  </w:num>
  <w:num w:numId="25">
    <w:abstractNumId w:val="25"/>
  </w:num>
  <w:num w:numId="26">
    <w:abstractNumId w:val="27"/>
  </w:num>
  <w:num w:numId="27">
    <w:abstractNumId w:val="15"/>
  </w:num>
  <w:num w:numId="28">
    <w:abstractNumId w:val="0"/>
  </w:num>
  <w:num w:numId="29">
    <w:abstractNumId w:val="20"/>
  </w:num>
  <w:num w:numId="30">
    <w:abstractNumId w:val="11"/>
  </w:num>
  <w:num w:numId="31">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444"/>
    <w:rsid w:val="0005644B"/>
    <w:rsid w:val="000966E6"/>
    <w:rsid w:val="00140247"/>
    <w:rsid w:val="001750B4"/>
    <w:rsid w:val="001E446C"/>
    <w:rsid w:val="00206774"/>
    <w:rsid w:val="0024328D"/>
    <w:rsid w:val="00383122"/>
    <w:rsid w:val="003A4808"/>
    <w:rsid w:val="003B11C2"/>
    <w:rsid w:val="003B56D5"/>
    <w:rsid w:val="004528A4"/>
    <w:rsid w:val="00455823"/>
    <w:rsid w:val="00457034"/>
    <w:rsid w:val="00484F9B"/>
    <w:rsid w:val="004F05A9"/>
    <w:rsid w:val="00522B98"/>
    <w:rsid w:val="00532808"/>
    <w:rsid w:val="00581ACD"/>
    <w:rsid w:val="00767E48"/>
    <w:rsid w:val="007C6CCB"/>
    <w:rsid w:val="007D5C80"/>
    <w:rsid w:val="007E4F5A"/>
    <w:rsid w:val="008D612C"/>
    <w:rsid w:val="00990BD6"/>
    <w:rsid w:val="00B3403A"/>
    <w:rsid w:val="00BC1145"/>
    <w:rsid w:val="00C71CCF"/>
    <w:rsid w:val="00D01718"/>
    <w:rsid w:val="00D75940"/>
    <w:rsid w:val="00DB4CD9"/>
    <w:rsid w:val="00F202D0"/>
    <w:rsid w:val="00F24444"/>
    <w:rsid w:val="00F46A79"/>
    <w:rsid w:val="00F646E3"/>
    <w:rsid w:val="00F813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955009"/>
  <w15:chartTrackingRefBased/>
  <w15:docId w15:val="{96E71986-C9AD-4149-9A02-22090C5F9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F24444"/>
    <w:pPr>
      <w:keepNext/>
      <w:spacing w:after="100" w:afterAutospacing="1" w:line="360" w:lineRule="auto"/>
      <w:ind w:left="340"/>
      <w:jc w:val="both"/>
      <w:outlineLvl w:val="0"/>
    </w:pPr>
    <w:rPr>
      <w:rFonts w:ascii="Times New Roman" w:hAnsi="Times New Roman" w:cs="Times New Roman"/>
      <w:sz w:val="28"/>
      <w:szCs w:val="28"/>
    </w:rPr>
  </w:style>
  <w:style w:type="paragraph" w:styleId="Titolo2">
    <w:name w:val="heading 2"/>
    <w:basedOn w:val="Normale"/>
    <w:next w:val="Normale"/>
    <w:link w:val="Titolo2Carattere"/>
    <w:qFormat/>
    <w:rsid w:val="001750B4"/>
    <w:pPr>
      <w:keepNext/>
      <w:spacing w:after="0" w:line="240" w:lineRule="auto"/>
      <w:jc w:val="center"/>
      <w:outlineLvl w:val="1"/>
    </w:pPr>
    <w:rPr>
      <w:rFonts w:ascii="Times New Roman" w:eastAsia="Times New Roman" w:hAnsi="Times New Roman" w:cs="Times New Roman"/>
      <w:b/>
      <w:smallCaps/>
      <w:spacing w:val="20"/>
      <w:sz w:val="28"/>
      <w:szCs w:val="20"/>
      <w:lang w:eastAsia="it-IT"/>
    </w:rPr>
  </w:style>
  <w:style w:type="paragraph" w:styleId="Titolo3">
    <w:name w:val="heading 3"/>
    <w:basedOn w:val="Normale"/>
    <w:next w:val="Normale"/>
    <w:link w:val="Titolo3Carattere"/>
    <w:qFormat/>
    <w:rsid w:val="001750B4"/>
    <w:pPr>
      <w:keepNext/>
      <w:spacing w:after="0" w:line="360" w:lineRule="auto"/>
      <w:outlineLvl w:val="2"/>
    </w:pPr>
    <w:rPr>
      <w:rFonts w:ascii="Times New Roman" w:eastAsia="Times New Roman" w:hAnsi="Times New Roman" w:cs="Times New Roman"/>
      <w:spacing w:val="-5"/>
      <w:sz w:val="32"/>
      <w:szCs w:val="20"/>
      <w:lang w:eastAsia="it-IT"/>
    </w:rPr>
  </w:style>
  <w:style w:type="paragraph" w:styleId="Titolo4">
    <w:name w:val="heading 4"/>
    <w:basedOn w:val="Normale"/>
    <w:next w:val="Normale"/>
    <w:link w:val="Titolo4Carattere"/>
    <w:qFormat/>
    <w:rsid w:val="001750B4"/>
    <w:pPr>
      <w:keepNext/>
      <w:spacing w:after="0" w:line="360" w:lineRule="auto"/>
      <w:jc w:val="center"/>
      <w:outlineLvl w:val="3"/>
    </w:pPr>
    <w:rPr>
      <w:rFonts w:ascii="Times New Roman" w:eastAsia="Times New Roman" w:hAnsi="Times New Roman" w:cs="Times New Roman"/>
      <w:spacing w:val="-5"/>
      <w:sz w:val="32"/>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24444"/>
    <w:rPr>
      <w:rFonts w:ascii="Times New Roman" w:hAnsi="Times New Roman" w:cs="Times New Roman"/>
      <w:sz w:val="28"/>
      <w:szCs w:val="28"/>
    </w:rPr>
  </w:style>
  <w:style w:type="paragraph" w:styleId="Pidipagina">
    <w:name w:val="footer"/>
    <w:basedOn w:val="Normale"/>
    <w:link w:val="PidipaginaCarattere"/>
    <w:uiPriority w:val="99"/>
    <w:unhideWhenUsed/>
    <w:rsid w:val="00F2444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24444"/>
  </w:style>
  <w:style w:type="paragraph" w:styleId="Testonotaapidipagina">
    <w:name w:val="footnote text"/>
    <w:basedOn w:val="Normale"/>
    <w:link w:val="TestonotaapidipaginaCarattere"/>
    <w:uiPriority w:val="99"/>
    <w:unhideWhenUsed/>
    <w:rsid w:val="00F2444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F24444"/>
    <w:rPr>
      <w:sz w:val="20"/>
      <w:szCs w:val="20"/>
    </w:rPr>
  </w:style>
  <w:style w:type="character" w:styleId="Rimandonotaapidipagina">
    <w:name w:val="footnote reference"/>
    <w:basedOn w:val="Carpredefinitoparagrafo"/>
    <w:uiPriority w:val="99"/>
    <w:semiHidden/>
    <w:unhideWhenUsed/>
    <w:rsid w:val="00F24444"/>
    <w:rPr>
      <w:vertAlign w:val="superscript"/>
    </w:rPr>
  </w:style>
  <w:style w:type="paragraph" w:styleId="Paragrafoelenco">
    <w:name w:val="List Paragraph"/>
    <w:basedOn w:val="Normale"/>
    <w:uiPriority w:val="34"/>
    <w:qFormat/>
    <w:rsid w:val="00F24444"/>
    <w:pPr>
      <w:ind w:left="720"/>
      <w:contextualSpacing/>
    </w:pPr>
  </w:style>
  <w:style w:type="paragraph" w:styleId="Testofumetto">
    <w:name w:val="Balloon Text"/>
    <w:basedOn w:val="Normale"/>
    <w:link w:val="TestofumettoCarattere"/>
    <w:uiPriority w:val="99"/>
    <w:unhideWhenUsed/>
    <w:rsid w:val="00F2444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F24444"/>
    <w:rPr>
      <w:rFonts w:ascii="Segoe UI" w:hAnsi="Segoe UI" w:cs="Segoe UI"/>
      <w:sz w:val="18"/>
      <w:szCs w:val="18"/>
    </w:rPr>
  </w:style>
  <w:style w:type="character" w:customStyle="1" w:styleId="fontstyle01">
    <w:name w:val="fontstyle01"/>
    <w:basedOn w:val="Carpredefinitoparagrafo"/>
    <w:rsid w:val="00F24444"/>
    <w:rPr>
      <w:rFonts w:ascii="Times-Roman" w:hAnsi="Times-Roman" w:hint="default"/>
      <w:b w:val="0"/>
      <w:bCs w:val="0"/>
      <w:i w:val="0"/>
      <w:iCs w:val="0"/>
      <w:color w:val="000000"/>
      <w:sz w:val="24"/>
      <w:szCs w:val="24"/>
    </w:rPr>
  </w:style>
  <w:style w:type="character" w:customStyle="1" w:styleId="fontstyle21">
    <w:name w:val="fontstyle21"/>
    <w:basedOn w:val="Carpredefinitoparagrafo"/>
    <w:rsid w:val="00F24444"/>
    <w:rPr>
      <w:rFonts w:ascii="Times-Roman" w:hAnsi="Times-Roman" w:hint="default"/>
      <w:b w:val="0"/>
      <w:bCs w:val="0"/>
      <w:i w:val="0"/>
      <w:iCs w:val="0"/>
      <w:color w:val="000000"/>
      <w:sz w:val="24"/>
      <w:szCs w:val="24"/>
    </w:rPr>
  </w:style>
  <w:style w:type="paragraph" w:styleId="Intestazione">
    <w:name w:val="header"/>
    <w:basedOn w:val="Normale"/>
    <w:link w:val="IntestazioneCarattere"/>
    <w:uiPriority w:val="99"/>
    <w:unhideWhenUsed/>
    <w:rsid w:val="00F2444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24444"/>
  </w:style>
  <w:style w:type="paragraph" w:styleId="Revisione">
    <w:name w:val="Revision"/>
    <w:hidden/>
    <w:uiPriority w:val="99"/>
    <w:semiHidden/>
    <w:rsid w:val="00F24444"/>
    <w:pPr>
      <w:spacing w:after="0" w:line="240" w:lineRule="auto"/>
    </w:pPr>
  </w:style>
  <w:style w:type="character" w:styleId="Enfasigrassetto">
    <w:name w:val="Strong"/>
    <w:basedOn w:val="Carpredefinitoparagrafo"/>
    <w:uiPriority w:val="22"/>
    <w:qFormat/>
    <w:rsid w:val="00F24444"/>
    <w:rPr>
      <w:b/>
      <w:bCs/>
    </w:rPr>
  </w:style>
  <w:style w:type="character" w:styleId="Collegamentoipertestuale">
    <w:name w:val="Hyperlink"/>
    <w:basedOn w:val="Carpredefinitoparagrafo"/>
    <w:uiPriority w:val="99"/>
    <w:unhideWhenUsed/>
    <w:rsid w:val="00F24444"/>
    <w:rPr>
      <w:color w:val="0563C1" w:themeColor="hyperlink"/>
      <w:u w:val="single"/>
    </w:rPr>
  </w:style>
  <w:style w:type="paragraph" w:styleId="Rientrocorpodeltesto">
    <w:name w:val="Body Text Indent"/>
    <w:basedOn w:val="Normale"/>
    <w:link w:val="RientrocorpodeltestoCarattere"/>
    <w:uiPriority w:val="99"/>
    <w:unhideWhenUsed/>
    <w:rsid w:val="00F24444"/>
    <w:pPr>
      <w:spacing w:after="100" w:afterAutospacing="1" w:line="360" w:lineRule="auto"/>
      <w:ind w:left="340"/>
      <w:jc w:val="both"/>
    </w:pPr>
    <w:rPr>
      <w:rFonts w:ascii="Times New Roman" w:hAnsi="Times New Roman" w:cs="Times New Roman"/>
      <w:sz w:val="28"/>
      <w:szCs w:val="28"/>
    </w:rPr>
  </w:style>
  <w:style w:type="character" w:customStyle="1" w:styleId="RientrocorpodeltestoCarattere">
    <w:name w:val="Rientro corpo del testo Carattere"/>
    <w:basedOn w:val="Carpredefinitoparagrafo"/>
    <w:link w:val="Rientrocorpodeltesto"/>
    <w:uiPriority w:val="99"/>
    <w:rsid w:val="00F24444"/>
    <w:rPr>
      <w:rFonts w:ascii="Times New Roman" w:hAnsi="Times New Roman" w:cs="Times New Roman"/>
      <w:sz w:val="28"/>
      <w:szCs w:val="28"/>
    </w:rPr>
  </w:style>
  <w:style w:type="paragraph" w:styleId="Rientrocorpodeltesto2">
    <w:name w:val="Body Text Indent 2"/>
    <w:basedOn w:val="Normale"/>
    <w:link w:val="Rientrocorpodeltesto2Carattere"/>
    <w:uiPriority w:val="99"/>
    <w:unhideWhenUsed/>
    <w:rsid w:val="00F24444"/>
    <w:pPr>
      <w:spacing w:after="100" w:afterAutospacing="1" w:line="360" w:lineRule="auto"/>
      <w:ind w:left="340"/>
      <w:jc w:val="both"/>
    </w:pPr>
    <w:rPr>
      <w:rFonts w:ascii="Times New Roman" w:hAnsi="Times New Roman" w:cs="Times New Roman"/>
      <w:color w:val="202122"/>
      <w:sz w:val="28"/>
      <w:szCs w:val="28"/>
      <w:shd w:val="clear" w:color="auto" w:fill="FFFFFF"/>
    </w:rPr>
  </w:style>
  <w:style w:type="character" w:customStyle="1" w:styleId="Rientrocorpodeltesto2Carattere">
    <w:name w:val="Rientro corpo del testo 2 Carattere"/>
    <w:basedOn w:val="Carpredefinitoparagrafo"/>
    <w:link w:val="Rientrocorpodeltesto2"/>
    <w:uiPriority w:val="99"/>
    <w:rsid w:val="00F24444"/>
    <w:rPr>
      <w:rFonts w:ascii="Times New Roman" w:hAnsi="Times New Roman" w:cs="Times New Roman"/>
      <w:color w:val="202122"/>
      <w:sz w:val="28"/>
      <w:szCs w:val="28"/>
    </w:rPr>
  </w:style>
  <w:style w:type="character" w:customStyle="1" w:styleId="TestonotadichiusuraCarattere">
    <w:name w:val="Testo nota di chiusura Carattere"/>
    <w:basedOn w:val="Carpredefinitoparagrafo"/>
    <w:link w:val="Testonotadichiusura"/>
    <w:uiPriority w:val="99"/>
    <w:semiHidden/>
    <w:rsid w:val="00383122"/>
    <w:rPr>
      <w:sz w:val="20"/>
      <w:szCs w:val="20"/>
    </w:rPr>
  </w:style>
  <w:style w:type="paragraph" w:styleId="Testonotadichiusura">
    <w:name w:val="endnote text"/>
    <w:basedOn w:val="Normale"/>
    <w:link w:val="TestonotadichiusuraCarattere"/>
    <w:uiPriority w:val="99"/>
    <w:semiHidden/>
    <w:unhideWhenUsed/>
    <w:rsid w:val="00383122"/>
    <w:pPr>
      <w:spacing w:after="0" w:line="240" w:lineRule="auto"/>
    </w:pPr>
    <w:rPr>
      <w:sz w:val="20"/>
      <w:szCs w:val="20"/>
    </w:rPr>
  </w:style>
  <w:style w:type="character" w:customStyle="1" w:styleId="TestocommentoCarattere">
    <w:name w:val="Testo commento Carattere"/>
    <w:basedOn w:val="Carpredefinitoparagrafo"/>
    <w:link w:val="Testocommento"/>
    <w:uiPriority w:val="99"/>
    <w:semiHidden/>
    <w:rsid w:val="00383122"/>
    <w:rPr>
      <w:sz w:val="20"/>
      <w:szCs w:val="20"/>
    </w:rPr>
  </w:style>
  <w:style w:type="paragraph" w:styleId="Testocommento">
    <w:name w:val="annotation text"/>
    <w:basedOn w:val="Normale"/>
    <w:link w:val="TestocommentoCarattere"/>
    <w:uiPriority w:val="99"/>
    <w:semiHidden/>
    <w:unhideWhenUsed/>
    <w:rsid w:val="00383122"/>
    <w:pPr>
      <w:spacing w:line="240" w:lineRule="auto"/>
    </w:pPr>
    <w:rPr>
      <w:sz w:val="20"/>
      <w:szCs w:val="20"/>
    </w:rPr>
  </w:style>
  <w:style w:type="character" w:customStyle="1" w:styleId="SoggettocommentoCarattere">
    <w:name w:val="Soggetto commento Carattere"/>
    <w:basedOn w:val="TestocommentoCarattere"/>
    <w:link w:val="Soggettocommento"/>
    <w:uiPriority w:val="99"/>
    <w:semiHidden/>
    <w:rsid w:val="00383122"/>
    <w:rPr>
      <w:b/>
      <w:bCs/>
      <w:sz w:val="20"/>
      <w:szCs w:val="20"/>
    </w:rPr>
  </w:style>
  <w:style w:type="paragraph" w:styleId="Soggettocommento">
    <w:name w:val="annotation subject"/>
    <w:basedOn w:val="Testocommento"/>
    <w:next w:val="Testocommento"/>
    <w:link w:val="SoggettocommentoCarattere"/>
    <w:uiPriority w:val="99"/>
    <w:semiHidden/>
    <w:unhideWhenUsed/>
    <w:rsid w:val="00383122"/>
    <w:rPr>
      <w:b/>
      <w:bCs/>
    </w:rPr>
  </w:style>
  <w:style w:type="paragraph" w:styleId="NormaleWeb">
    <w:name w:val="Normal (Web)"/>
    <w:basedOn w:val="Normale"/>
    <w:uiPriority w:val="99"/>
    <w:unhideWhenUsed/>
    <w:rsid w:val="003831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uiPriority w:val="1"/>
    <w:qFormat/>
    <w:rsid w:val="00B3403A"/>
    <w:pPr>
      <w:spacing w:after="0" w:line="240" w:lineRule="auto"/>
    </w:pPr>
  </w:style>
  <w:style w:type="character" w:customStyle="1" w:styleId="Menzionenonrisolta1">
    <w:name w:val="Menzione non risolta1"/>
    <w:basedOn w:val="Carpredefinitoparagrafo"/>
    <w:uiPriority w:val="99"/>
    <w:semiHidden/>
    <w:unhideWhenUsed/>
    <w:rsid w:val="00B3403A"/>
    <w:rPr>
      <w:color w:val="605E5C"/>
      <w:shd w:val="clear" w:color="auto" w:fill="E1DFDD"/>
    </w:rPr>
  </w:style>
  <w:style w:type="paragraph" w:styleId="Didascalia">
    <w:name w:val="caption"/>
    <w:basedOn w:val="Normale"/>
    <w:next w:val="Normale"/>
    <w:uiPriority w:val="35"/>
    <w:unhideWhenUsed/>
    <w:qFormat/>
    <w:rsid w:val="00581ACD"/>
    <w:pPr>
      <w:spacing w:after="200" w:line="240" w:lineRule="auto"/>
    </w:pPr>
    <w:rPr>
      <w:i/>
      <w:iCs/>
      <w:color w:val="44546A" w:themeColor="text2"/>
      <w:sz w:val="18"/>
      <w:szCs w:val="18"/>
    </w:rPr>
  </w:style>
  <w:style w:type="character" w:customStyle="1" w:styleId="Titolo2Carattere">
    <w:name w:val="Titolo 2 Carattere"/>
    <w:basedOn w:val="Carpredefinitoparagrafo"/>
    <w:link w:val="Titolo2"/>
    <w:rsid w:val="001750B4"/>
    <w:rPr>
      <w:rFonts w:ascii="Times New Roman" w:eastAsia="Times New Roman" w:hAnsi="Times New Roman" w:cs="Times New Roman"/>
      <w:b/>
      <w:smallCaps/>
      <w:spacing w:val="20"/>
      <w:sz w:val="28"/>
      <w:szCs w:val="20"/>
      <w:lang w:eastAsia="it-IT"/>
    </w:rPr>
  </w:style>
  <w:style w:type="character" w:customStyle="1" w:styleId="Titolo3Carattere">
    <w:name w:val="Titolo 3 Carattere"/>
    <w:basedOn w:val="Carpredefinitoparagrafo"/>
    <w:link w:val="Titolo3"/>
    <w:rsid w:val="001750B4"/>
    <w:rPr>
      <w:rFonts w:ascii="Times New Roman" w:eastAsia="Times New Roman" w:hAnsi="Times New Roman" w:cs="Times New Roman"/>
      <w:spacing w:val="-5"/>
      <w:sz w:val="32"/>
      <w:szCs w:val="20"/>
      <w:lang w:eastAsia="it-IT"/>
    </w:rPr>
  </w:style>
  <w:style w:type="character" w:customStyle="1" w:styleId="Titolo4Carattere">
    <w:name w:val="Titolo 4 Carattere"/>
    <w:basedOn w:val="Carpredefinitoparagrafo"/>
    <w:link w:val="Titolo4"/>
    <w:rsid w:val="001750B4"/>
    <w:rPr>
      <w:rFonts w:ascii="Times New Roman" w:eastAsia="Times New Roman" w:hAnsi="Times New Roman" w:cs="Times New Roman"/>
      <w:spacing w:val="-5"/>
      <w:sz w:val="32"/>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Monsignor" TargetMode="External"/><Relationship Id="rId21" Type="http://schemas.openxmlformats.org/officeDocument/2006/relationships/hyperlink" Target="https://it.wikipedia.org/wiki/1956" TargetMode="External"/><Relationship Id="rId42" Type="http://schemas.openxmlformats.org/officeDocument/2006/relationships/hyperlink" Target="https://www.missionarieclaverian.org/fondatrice" TargetMode="External"/><Relationship Id="rId47" Type="http://schemas.openxmlformats.org/officeDocument/2006/relationships/hyperlink" Target="http://pioromeno.com/" TargetMode="External"/><Relationship Id="rId63" Type="http://schemas.openxmlformats.org/officeDocument/2006/relationships/image" Target="media/image10.png"/><Relationship Id="rId6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it.wikipedia.org/wiki/1950" TargetMode="External"/><Relationship Id="rId29" Type="http://schemas.openxmlformats.org/officeDocument/2006/relationships/hyperlink" Target="https://it.wikipedia.org/wiki/Cina" TargetMode="External"/><Relationship Id="rId11" Type="http://schemas.openxmlformats.org/officeDocument/2006/relationships/oleObject" Target="embeddings/oleObject1.bin"/><Relationship Id="rId24" Type="http://schemas.openxmlformats.org/officeDocument/2006/relationships/hyperlink" Target="https://it.wikipedia.org/wiki/Pechino" TargetMode="External"/><Relationship Id="rId32" Type="http://schemas.openxmlformats.org/officeDocument/2006/relationships/hyperlink" Target="https://www.rivistamissioniconsolata.it/2005/04/01/dossier-vietnam-la-chiesa-cattolica-martirio-e-profezia/" TargetMode="External"/><Relationship Id="rId37" Type="http://schemas.openxmlformats.org/officeDocument/2006/relationships/hyperlink" Target="https://www.treccani.it/enciclopedia/indocina" TargetMode="External"/><Relationship Id="rId40" Type="http://schemas.openxmlformats.org/officeDocument/2006/relationships/hyperlink" Target="https://www.treccani.it/enciclopedia/metropolita/" TargetMode="External"/><Relationship Id="rId45" Type="http://schemas.openxmlformats.org/officeDocument/2006/relationships/hyperlink" Target="https://www.treccani.it/enciclopedia/alessandro-valignano_%28Dizionario-Biografico%29/" TargetMode="External"/><Relationship Id="rId53" Type="http://schemas.openxmlformats.org/officeDocument/2006/relationships/hyperlink" Target="http://www.villaschiari.it/insegnamenti/02_12.pdf" TargetMode="External"/><Relationship Id="rId58" Type="http://schemas.openxmlformats.org/officeDocument/2006/relationships/image" Target="media/image5.png"/><Relationship Id="rId66" Type="http://schemas.openxmlformats.org/officeDocument/2006/relationships/image" Target="media/image13.png"/><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8.png"/><Relationship Id="rId19" Type="http://schemas.openxmlformats.org/officeDocument/2006/relationships/hyperlink" Target="https://it.wikipedia.org/wiki/India" TargetMode="External"/><Relationship Id="rId14" Type="http://schemas.openxmlformats.org/officeDocument/2006/relationships/hyperlink" Target="https://it.wikipedia.org/wiki/Arcidiocesi_di_Nagpur" TargetMode="External"/><Relationship Id="rId22" Type="http://schemas.openxmlformats.org/officeDocument/2006/relationships/hyperlink" Target="https://it.wikipedia.org/wiki/Diocesi_di_Ph%C3%A1t_Di%C3%AAm" TargetMode="External"/><Relationship Id="rId27" Type="http://schemas.openxmlformats.org/officeDocument/2006/relationships/hyperlink" Target="https://it.wikipedia.org/wiki/Diocesi_di_Jilin" TargetMode="External"/><Relationship Id="rId30" Type="http://schemas.openxmlformats.org/officeDocument/2006/relationships/hyperlink" Target="https://alleanzacattolica.org/maximum-illud-riflessione-di-padre-bernardo-cervellera/" TargetMode="External"/><Relationship Id="rId35" Type="http://schemas.openxmlformats.org/officeDocument/2006/relationships/hyperlink" Target="https://www.britannica.com/biography/Hong-Xiuquan" TargetMode="External"/><Relationship Id="rId43" Type="http://schemas.openxmlformats.org/officeDocument/2006/relationships/hyperlink" Target="https://www.comboni.org/" TargetMode="External"/><Relationship Id="rId48" Type="http://schemas.openxmlformats.org/officeDocument/2006/relationships/hyperlink" Target="https://www.ppoomm.va/it/chi-siamo/le-4-opere-missionarie/pum.html" TargetMode="External"/><Relationship Id="rId56"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footnotes" Target="footnotes.xml"/><Relationship Id="rId51" Type="http://schemas.openxmlformats.org/officeDocument/2006/relationships/hyperlink" Target="https://dizionari.simone.it/9/vescovi-diocesani"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it.wikipedia.org/wiki/Diocesi_suffraganea" TargetMode="External"/><Relationship Id="rId17" Type="http://schemas.openxmlformats.org/officeDocument/2006/relationships/hyperlink" Target="https://it.wikipedia.org/wiki/Arcidiocesi_di_Calcutta" TargetMode="External"/><Relationship Id="rId25" Type="http://schemas.openxmlformats.org/officeDocument/2006/relationships/hyperlink" Target="https://it.wikipedia.org/wiki/1898" TargetMode="External"/><Relationship Id="rId33" Type="http://schemas.openxmlformats.org/officeDocument/2006/relationships/hyperlink" Target="https://www.brigidine.org/storia.php" TargetMode="External"/><Relationship Id="rId38" Type="http://schemas.openxmlformats.org/officeDocument/2006/relationships/hyperlink" Target="http://www.archiviostoricopropaganda.va/content/archiviostoricopropagandafide/it/la-congregazione/congregazione.html" TargetMode="External"/><Relationship Id="rId46" Type="http://schemas.openxmlformats.org/officeDocument/2006/relationships/hyperlink" Target="http://www.archiviostoricopropaganda.va/content/archiviostoricopropagandafide/it/la-congregazione/collegio-urbano.html" TargetMode="External"/><Relationship Id="rId59" Type="http://schemas.openxmlformats.org/officeDocument/2006/relationships/image" Target="media/image6.png"/><Relationship Id="rId67" Type="http://schemas.openxmlformats.org/officeDocument/2006/relationships/image" Target="media/image14.jpeg"/><Relationship Id="rId20" Type="http://schemas.openxmlformats.org/officeDocument/2006/relationships/hyperlink" Target="https://it.wikipedia.org/wiki/1947" TargetMode="External"/><Relationship Id="rId41" Type="http://schemas.openxmlformats.org/officeDocument/2006/relationships/hyperlink" Target="https://www.missionaridafrica.org/chi-siamo/" TargetMode="External"/><Relationship Id="rId54" Type="http://schemas.openxmlformats.org/officeDocument/2006/relationships/hyperlink" Target="https://web.archive.org/web/20111025081844/http://www.catholicpng.org.pg/history/rabaul.html" TargetMode="External"/><Relationship Id="rId62" Type="http://schemas.openxmlformats.org/officeDocument/2006/relationships/image" Target="media/image9.png"/><Relationship Id="rId7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it.wikipedia.org/wiki/Missione_sui_iuris" TargetMode="External"/><Relationship Id="rId23" Type="http://schemas.openxmlformats.org/officeDocument/2006/relationships/hyperlink" Target="https://it.wikipedia.org/wiki/Shandong" TargetMode="External"/><Relationship Id="rId28" Type="http://schemas.openxmlformats.org/officeDocument/2006/relationships/hyperlink" Target="https://it.wikipedia.org/wiki/1924" TargetMode="External"/><Relationship Id="rId36" Type="http://schemas.openxmlformats.org/officeDocument/2006/relationships/hyperlink" Target="https://www.gliscritti.it/lbibbia/crist-cina.htm" TargetMode="External"/><Relationship Id="rId49" Type="http://schemas.openxmlformats.org/officeDocument/2006/relationships/hyperlink" Target="http://www.archiviostoricopropaganda.va/content/archiviostoricopropagandafide/it/la-congregazione/collegio-urbano.html" TargetMode="External"/><Relationship Id="rId57" Type="http://schemas.openxmlformats.org/officeDocument/2006/relationships/image" Target="media/image4.png"/><Relationship Id="rId10" Type="http://schemas.openxmlformats.org/officeDocument/2006/relationships/image" Target="media/image1.wmf"/><Relationship Id="rId31" Type="http://schemas.openxmlformats.org/officeDocument/2006/relationships/hyperlink" Target="https://www.apostolicwork.ie/about/" TargetMode="External"/><Relationship Id="rId44" Type="http://schemas.openxmlformats.org/officeDocument/2006/relationships/hyperlink" Target="https://www.lidentitadiclio.com/i-missionari-gesuiti-in-cina-nel-xvii-xviii-secolo-e-il-confucianesimo/" TargetMode="External"/><Relationship Id="rId52" Type="http://schemas.openxmlformats.org/officeDocument/2006/relationships/hyperlink" Target="https://www.ppoomm.va/it/chi-siamo/le-4-opere-missionarie/pum.html"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it.wikipedia.org/wiki/1928" TargetMode="External"/><Relationship Id="rId18" Type="http://schemas.openxmlformats.org/officeDocument/2006/relationships/hyperlink" Target="https://it.wikipedia.org/wiki/Diocesi_di_Krishnagar" TargetMode="External"/><Relationship Id="rId39" Type="http://schemas.openxmlformats.org/officeDocument/2006/relationships/hyperlink" Target="https://www.ppoomm.va/it/chi-siamo/chi-sono-le-direzioni-nazionali.html" TargetMode="External"/><Relationship Id="rId34" Type="http://schemas.openxmlformats.org/officeDocument/2006/relationships/hyperlink" Target="http://www.clavermissionarysisters.org/?page_id=165" TargetMode="External"/><Relationship Id="rId50" Type="http://schemas.openxmlformats.org/officeDocument/2006/relationships/hyperlink" Target="https://dizionari.simone.it/9/potesta-di-governo" TargetMode="External"/><Relationship Id="rId55" Type="http://schemas.openxmlformats.org/officeDocument/2006/relationships/image" Target="media/image2.png"/><Relationship Id="rId7" Type="http://schemas.openxmlformats.org/officeDocument/2006/relationships/webSettings" Target="webSettings.xml"/><Relationship Id="rId7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gliscritti.it/lbibbia/crist-cina.htm" TargetMode="External"/><Relationship Id="rId13" Type="http://schemas.openxmlformats.org/officeDocument/2006/relationships/hyperlink" Target="http://www.clavermissionarysisters.org/?page_id=165" TargetMode="External"/><Relationship Id="rId18" Type="http://schemas.openxmlformats.org/officeDocument/2006/relationships/hyperlink" Target="https://www.brigidine.org/storia.php" TargetMode="External"/><Relationship Id="rId3" Type="http://schemas.openxmlformats.org/officeDocument/2006/relationships/hyperlink" Target="https://www.treccani.it/enciclopedia/metropolita/" TargetMode="External"/><Relationship Id="rId21" Type="http://schemas.openxmlformats.org/officeDocument/2006/relationships/hyperlink" Target="https://www.ppoomm.va/it/chi-siamo/le-4-opere-missionarie/posi/storia.html" TargetMode="External"/><Relationship Id="rId7" Type="http://schemas.openxmlformats.org/officeDocument/2006/relationships/hyperlink" Target="https://www.rivistamissioniconsolata.it/2005/04/01/dossier-vietnam-la-chiesa-cattolica-martirio-e-profezia/" TargetMode="External"/><Relationship Id="rId12" Type="http://schemas.openxmlformats.org/officeDocument/2006/relationships/hyperlink" Target="https://web.archive.org/web/20111025081844/http://www.catholicpng.org.pg/history/rabaul.html" TargetMode="External"/><Relationship Id="rId17" Type="http://schemas.openxmlformats.org/officeDocument/2006/relationships/hyperlink" Target="https://www.brigidine.org/storia.php" TargetMode="External"/><Relationship Id="rId25" Type="http://schemas.openxmlformats.org/officeDocument/2006/relationships/hyperlink" Target="https://alleanzacattolica.org/maximum-illud-riflessione-di-padre-bernardo-cervellera/" TargetMode="External"/><Relationship Id="rId2" Type="http://schemas.openxmlformats.org/officeDocument/2006/relationships/hyperlink" Target="http://www.villaschiari.it/insegnamenti/02_12.pdf" TargetMode="External"/><Relationship Id="rId16" Type="http://schemas.openxmlformats.org/officeDocument/2006/relationships/hyperlink" Target="https://www.comboni.org/" TargetMode="External"/><Relationship Id="rId20" Type="http://schemas.openxmlformats.org/officeDocument/2006/relationships/hyperlink" Target="https://www.ppoomm.va/it/chi-siamo/le-4-opere-missionarie/popf.htmll" TargetMode="External"/><Relationship Id="rId1" Type="http://schemas.openxmlformats.org/officeDocument/2006/relationships/hyperlink" Target="http://www.archiviostoricopropaganda.va/content/archiviostoricopropagandafide/it/la-congregazione/congregazione.html" TargetMode="External"/><Relationship Id="rId6" Type="http://schemas.openxmlformats.org/officeDocument/2006/relationships/hyperlink" Target="https://www.treccani.it/enciclopedia/indocina" TargetMode="External"/><Relationship Id="rId11" Type="http://schemas.openxmlformats.org/officeDocument/2006/relationships/hyperlink" Target="https://www.treccani.it/enciclopedia/alessandro-valignano_%28Dizionario-Biografico%29/" TargetMode="External"/><Relationship Id="rId24" Type="http://schemas.openxmlformats.org/officeDocument/2006/relationships/hyperlink" Target="http://pioromeno.com/" TargetMode="External"/><Relationship Id="rId5" Type="http://schemas.openxmlformats.org/officeDocument/2006/relationships/hyperlink" Target="https://dizionari.simone.it/9/potesta-di-governo" TargetMode="External"/><Relationship Id="rId15" Type="http://schemas.openxmlformats.org/officeDocument/2006/relationships/hyperlink" Target="https://www.missionaridafrica.org/chi-siamo/" TargetMode="External"/><Relationship Id="rId23" Type="http://schemas.openxmlformats.org/officeDocument/2006/relationships/hyperlink" Target="http://www.archiviostoricopropaganda.va/content/archiviostoricopropagandafide/it/la-congregazione/collegio-urbano.html" TargetMode="External"/><Relationship Id="rId10" Type="http://schemas.openxmlformats.org/officeDocument/2006/relationships/hyperlink" Target="https://www.britannica.com/biography/Hong-Xiuquan" TargetMode="External"/><Relationship Id="rId19" Type="http://schemas.openxmlformats.org/officeDocument/2006/relationships/hyperlink" Target="https://www.apostolicwork.ie/about/" TargetMode="External"/><Relationship Id="rId4" Type="http://schemas.openxmlformats.org/officeDocument/2006/relationships/hyperlink" Target="https://dizionari.simone.it/9/vescovi-diocesani" TargetMode="External"/><Relationship Id="rId9" Type="http://schemas.openxmlformats.org/officeDocument/2006/relationships/hyperlink" Target="https://www.lidentitadiclio.com/i-missionari-gesuiti-in-cina-nel-xvii-xviii-secolo-e-il-confucianesimo/" TargetMode="External"/><Relationship Id="rId14" Type="http://schemas.openxmlformats.org/officeDocument/2006/relationships/hyperlink" Target="https://www.missionarieclaverian.org/fondatrice" TargetMode="External"/><Relationship Id="rId22" Type="http://schemas.openxmlformats.org/officeDocument/2006/relationships/hyperlink" Target="https://www.ppoomm.va/it/chi-siamo/le-4-opere-missionarie/pum.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C7F693-3591-4FB6-B88E-1F6AAD0F3209}">
  <we:reference id="wa104099688" version="1.3.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DA7A52F2813674FBE4CE96A398F6386" ma:contentTypeVersion="12" ma:contentTypeDescription="Creare un nuovo documento." ma:contentTypeScope="" ma:versionID="b638f5ba6bc2e568358a14bba8fc2f56">
  <xsd:schema xmlns:xsd="http://www.w3.org/2001/XMLSchema" xmlns:xs="http://www.w3.org/2001/XMLSchema" xmlns:p="http://schemas.microsoft.com/office/2006/metadata/properties" xmlns:ns3="c1006200-3c9c-4fcd-b2a8-a949f850b916" xmlns:ns4="cb9a3541-75f3-41af-ac03-1b97c4953eb2" targetNamespace="http://schemas.microsoft.com/office/2006/metadata/properties" ma:root="true" ma:fieldsID="0c99be02257e3f38dd480716a9be10a9" ns3:_="" ns4:_="">
    <xsd:import namespace="c1006200-3c9c-4fcd-b2a8-a949f850b916"/>
    <xsd:import namespace="cb9a3541-75f3-41af-ac03-1b97c4953e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06200-3c9c-4fcd-b2a8-a949f850b916"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a3541-75f3-41af-ac03-1b97c4953e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104DB7-ECEB-4284-8CF7-DB1307582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06200-3c9c-4fcd-b2a8-a949f850b916"/>
    <ds:schemaRef ds:uri="cb9a3541-75f3-41af-ac03-1b97c4953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D96F72-B6A8-4ADC-AAA0-A153810C703D}">
  <ds:schemaRefs>
    <ds:schemaRef ds:uri="http://schemas.microsoft.com/sharepoint/v3/contenttype/forms"/>
  </ds:schemaRefs>
</ds:datastoreItem>
</file>

<file path=customXml/itemProps3.xml><?xml version="1.0" encoding="utf-8"?>
<ds:datastoreItem xmlns:ds="http://schemas.openxmlformats.org/officeDocument/2006/customXml" ds:itemID="{F3C9E40F-DE3A-4699-A3E5-875E2714C353}">
  <ds:schemaRefs>
    <ds:schemaRef ds:uri="http://purl.org/dc/dcmitype/"/>
    <ds:schemaRef ds:uri="http://schemas.openxmlformats.org/package/2006/metadata/core-properties"/>
    <ds:schemaRef ds:uri="c1006200-3c9c-4fcd-b2a8-a949f850b916"/>
    <ds:schemaRef ds:uri="http://schemas.microsoft.com/office/2006/metadata/properties"/>
    <ds:schemaRef ds:uri="cb9a3541-75f3-41af-ac03-1b97c4953eb2"/>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232</Pages>
  <Words>53750</Words>
  <Characters>306378</Characters>
  <Application>Microsoft Office Word</Application>
  <DocSecurity>0</DocSecurity>
  <Lines>2553</Lines>
  <Paragraphs>718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359410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2022-09-15T14:02:00Z</dcterms:created>
  <dcterms:modified xsi:type="dcterms:W3CDTF">2022-09-15T14:02:00Z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0x0101002DA7A52F2813674FBE4CE96A398F6386</vt:lpwstr>
  </property>
</Properties>
</file>