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799C4" w14:textId="77777777" w:rsidR="00C11E46" w:rsidRPr="00C11E46" w:rsidRDefault="00C11E46" w:rsidP="000B7F00">
      <w:pPr>
        <w:jc w:val="both"/>
        <w:outlineLvl w:val="0"/>
        <w:rPr>
          <w:sz w:val="20"/>
          <w:szCs w:val="20"/>
        </w:rPr>
      </w:pPr>
      <w:r>
        <w:rPr>
          <w:b/>
          <w:sz w:val="20"/>
          <w:szCs w:val="20"/>
        </w:rPr>
        <w:t>Il delitto tentato: una compar</w:t>
      </w:r>
      <w:bookmarkStart w:id="0" w:name="_GoBack"/>
      <w:bookmarkEnd w:id="0"/>
      <w:r>
        <w:rPr>
          <w:b/>
          <w:sz w:val="20"/>
          <w:szCs w:val="20"/>
        </w:rPr>
        <w:t>azione tra ordinamento italiano e spagnolo</w:t>
      </w:r>
    </w:p>
    <w:p w14:paraId="2899CB4D" w14:textId="77777777" w:rsidR="00F57D5E" w:rsidRDefault="00F57D5E" w:rsidP="00C11E46">
      <w:pPr>
        <w:pStyle w:val="NormaleWeb"/>
        <w:spacing w:before="0" w:beforeAutospacing="0" w:after="0" w:afterAutospacing="0"/>
        <w:jc w:val="both"/>
        <w:rPr>
          <w:sz w:val="20"/>
          <w:szCs w:val="20"/>
        </w:rPr>
      </w:pPr>
    </w:p>
    <w:p w14:paraId="2F19116E" w14:textId="77777777" w:rsidR="00F57D5E" w:rsidRDefault="00F57D5E" w:rsidP="00C11E46">
      <w:pPr>
        <w:pStyle w:val="NormaleWeb"/>
        <w:spacing w:before="0" w:beforeAutospacing="0" w:after="0" w:afterAutospacing="0"/>
        <w:jc w:val="both"/>
        <w:rPr>
          <w:sz w:val="20"/>
          <w:szCs w:val="20"/>
        </w:rPr>
      </w:pPr>
    </w:p>
    <w:p w14:paraId="78A47B8D" w14:textId="77777777" w:rsidR="00F57D5E" w:rsidRDefault="00F57D5E" w:rsidP="00F57D5E">
      <w:pPr>
        <w:jc w:val="both"/>
        <w:rPr>
          <w:sz w:val="20"/>
          <w:szCs w:val="20"/>
        </w:rPr>
      </w:pPr>
      <w:r w:rsidRPr="00D72BCA">
        <w:rPr>
          <w:b/>
          <w:sz w:val="20"/>
          <w:szCs w:val="20"/>
        </w:rPr>
        <w:t>L’art. 56</w:t>
      </w:r>
      <w:r>
        <w:rPr>
          <w:sz w:val="20"/>
          <w:szCs w:val="20"/>
        </w:rPr>
        <w:t xml:space="preserve"> del </w:t>
      </w:r>
      <w:r w:rsidRPr="00D72BCA">
        <w:rPr>
          <w:b/>
          <w:sz w:val="20"/>
          <w:szCs w:val="20"/>
        </w:rPr>
        <w:t>Codice Penale italiano</w:t>
      </w:r>
      <w:r>
        <w:rPr>
          <w:sz w:val="20"/>
          <w:szCs w:val="20"/>
        </w:rPr>
        <w:t xml:space="preserve"> afferma:</w:t>
      </w:r>
    </w:p>
    <w:p w14:paraId="5924BAB2" w14:textId="77777777" w:rsidR="00F57D5E" w:rsidRPr="00C11E46" w:rsidRDefault="00F57D5E" w:rsidP="00F57D5E">
      <w:pPr>
        <w:jc w:val="both"/>
        <w:rPr>
          <w:sz w:val="20"/>
          <w:szCs w:val="20"/>
        </w:rPr>
      </w:pPr>
      <w:r>
        <w:rPr>
          <w:sz w:val="20"/>
          <w:szCs w:val="20"/>
        </w:rPr>
        <w:t>“</w:t>
      </w:r>
      <w:r w:rsidRPr="00C11E46">
        <w:rPr>
          <w:sz w:val="20"/>
          <w:szCs w:val="20"/>
        </w:rPr>
        <w:t>1. Chi compie atti idonei, diretti in modo non equivoco a commettere un delitto, risponde di delitto tentato, se l’azione non si compie o l’evento non si verifica.</w:t>
      </w:r>
    </w:p>
    <w:p w14:paraId="711B1CD9" w14:textId="77777777" w:rsidR="00F57D5E" w:rsidRPr="00C11E46" w:rsidRDefault="00F57D5E" w:rsidP="00F57D5E">
      <w:pPr>
        <w:jc w:val="both"/>
        <w:rPr>
          <w:sz w:val="20"/>
          <w:szCs w:val="20"/>
        </w:rPr>
      </w:pPr>
      <w:r w:rsidRPr="00C11E46">
        <w:rPr>
          <w:sz w:val="20"/>
          <w:szCs w:val="20"/>
        </w:rPr>
        <w:t>3. Se il colpevole volontariamente desiste dall’azione, soggiace soltanto alla pena per gli atti compiuti, qualora questi costituiscano per sé un reato diverso.</w:t>
      </w:r>
    </w:p>
    <w:p w14:paraId="382E9709" w14:textId="77777777" w:rsidR="00F57D5E" w:rsidRDefault="00F57D5E" w:rsidP="00F57D5E">
      <w:pPr>
        <w:jc w:val="both"/>
        <w:rPr>
          <w:sz w:val="20"/>
          <w:szCs w:val="20"/>
        </w:rPr>
      </w:pPr>
      <w:r w:rsidRPr="00C11E46">
        <w:rPr>
          <w:sz w:val="20"/>
          <w:szCs w:val="20"/>
        </w:rPr>
        <w:t>4. Se volontariamente impedisce l’evento, soggiace alla pena stabilita per il delitto tentato, diminuita da un terzo alla metà.</w:t>
      </w:r>
      <w:r>
        <w:rPr>
          <w:sz w:val="20"/>
          <w:szCs w:val="20"/>
        </w:rPr>
        <w:t>”</w:t>
      </w:r>
      <w:r>
        <w:rPr>
          <w:rStyle w:val="Rimandonotaapidipagina"/>
          <w:sz w:val="20"/>
          <w:szCs w:val="20"/>
        </w:rPr>
        <w:footnoteReference w:id="1"/>
      </w:r>
    </w:p>
    <w:p w14:paraId="6FBE753C" w14:textId="77777777" w:rsidR="00F57D5E" w:rsidRDefault="00F57D5E" w:rsidP="00C11E46">
      <w:pPr>
        <w:pStyle w:val="NormaleWeb"/>
        <w:spacing w:before="0" w:beforeAutospacing="0" w:after="0" w:afterAutospacing="0"/>
        <w:jc w:val="both"/>
        <w:rPr>
          <w:sz w:val="20"/>
          <w:szCs w:val="20"/>
        </w:rPr>
      </w:pPr>
    </w:p>
    <w:p w14:paraId="3182CBA6" w14:textId="77777777" w:rsidR="00C11E46" w:rsidRDefault="00C11E46" w:rsidP="00C11E46">
      <w:pPr>
        <w:pStyle w:val="NormaleWeb"/>
        <w:spacing w:before="0" w:beforeAutospacing="0" w:after="0" w:afterAutospacing="0"/>
        <w:jc w:val="both"/>
        <w:rPr>
          <w:sz w:val="20"/>
          <w:szCs w:val="20"/>
        </w:rPr>
      </w:pPr>
      <w:r w:rsidRPr="00D72BCA">
        <w:rPr>
          <w:b/>
          <w:sz w:val="20"/>
          <w:szCs w:val="20"/>
        </w:rPr>
        <w:t>L’art. 16</w:t>
      </w:r>
      <w:r>
        <w:rPr>
          <w:sz w:val="20"/>
          <w:szCs w:val="20"/>
        </w:rPr>
        <w:t xml:space="preserve"> de</w:t>
      </w:r>
      <w:r w:rsidRPr="00C11E46">
        <w:rPr>
          <w:sz w:val="20"/>
          <w:szCs w:val="20"/>
        </w:rPr>
        <w:t xml:space="preserve">l </w:t>
      </w:r>
      <w:r w:rsidRPr="00D72BCA">
        <w:rPr>
          <w:b/>
          <w:sz w:val="20"/>
          <w:szCs w:val="20"/>
        </w:rPr>
        <w:t>Codice Penale spagnolo</w:t>
      </w:r>
      <w:r>
        <w:rPr>
          <w:sz w:val="20"/>
          <w:szCs w:val="20"/>
        </w:rPr>
        <w:t xml:space="preserve"> recita</w:t>
      </w:r>
      <w:r w:rsidRPr="00C11E46">
        <w:rPr>
          <w:sz w:val="20"/>
          <w:szCs w:val="20"/>
        </w:rPr>
        <w:t xml:space="preserve">: </w:t>
      </w:r>
    </w:p>
    <w:p w14:paraId="01CB5D46" w14:textId="77777777" w:rsidR="00C11E46" w:rsidRPr="00C16C06" w:rsidRDefault="00C11E46" w:rsidP="00C11E46">
      <w:pPr>
        <w:pStyle w:val="NormaleWeb"/>
        <w:spacing w:before="0" w:beforeAutospacing="0" w:after="0" w:afterAutospacing="0"/>
        <w:jc w:val="both"/>
        <w:rPr>
          <w:sz w:val="20"/>
          <w:szCs w:val="20"/>
        </w:rPr>
      </w:pPr>
      <w:r>
        <w:rPr>
          <w:sz w:val="20"/>
          <w:szCs w:val="20"/>
        </w:rPr>
        <w:t>“1. Si configura delitto tentato quando il soggetto da inizio al</w:t>
      </w:r>
      <w:r w:rsidRPr="00C16C06">
        <w:rPr>
          <w:sz w:val="20"/>
          <w:szCs w:val="20"/>
        </w:rPr>
        <w:t xml:space="preserve">l'esecuzione del </w:t>
      </w:r>
      <w:r>
        <w:rPr>
          <w:sz w:val="20"/>
          <w:szCs w:val="20"/>
        </w:rPr>
        <w:t>reato</w:t>
      </w:r>
      <w:r w:rsidRPr="00C16C06">
        <w:rPr>
          <w:sz w:val="20"/>
          <w:szCs w:val="20"/>
        </w:rPr>
        <w:t xml:space="preserve"> direttamente </w:t>
      </w:r>
      <w:r>
        <w:rPr>
          <w:sz w:val="20"/>
          <w:szCs w:val="20"/>
        </w:rPr>
        <w:t>attraverso fatti esterni, praticando tutto o</w:t>
      </w:r>
      <w:r w:rsidRPr="00C16C06">
        <w:rPr>
          <w:sz w:val="20"/>
          <w:szCs w:val="20"/>
        </w:rPr>
        <w:t xml:space="preserve"> parte </w:t>
      </w:r>
      <w:r>
        <w:rPr>
          <w:sz w:val="20"/>
          <w:szCs w:val="20"/>
        </w:rPr>
        <w:t>de</w:t>
      </w:r>
      <w:r w:rsidRPr="00C16C06">
        <w:rPr>
          <w:sz w:val="20"/>
          <w:szCs w:val="20"/>
        </w:rPr>
        <w:t>gli atti che oggettivamente dovrebbero produrre il risultato, e tuttavia ciò non avviene per cause indipendenti dalla volontà dell'autore.</w:t>
      </w:r>
    </w:p>
    <w:p w14:paraId="71C60238" w14:textId="28D533B5" w:rsidR="00C11E46" w:rsidRPr="00C16C06" w:rsidRDefault="00C11E46" w:rsidP="00C11E46">
      <w:pPr>
        <w:pStyle w:val="NormaleWeb"/>
        <w:spacing w:before="0" w:beforeAutospacing="0" w:after="0" w:afterAutospacing="0"/>
        <w:jc w:val="both"/>
        <w:rPr>
          <w:sz w:val="20"/>
          <w:szCs w:val="20"/>
        </w:rPr>
      </w:pPr>
      <w:r w:rsidRPr="00C16C06">
        <w:rPr>
          <w:sz w:val="20"/>
          <w:szCs w:val="20"/>
        </w:rPr>
        <w:t>2. Chiunque eviti volontariamente la consumazione</w:t>
      </w:r>
      <w:r>
        <w:rPr>
          <w:sz w:val="20"/>
          <w:szCs w:val="20"/>
        </w:rPr>
        <w:t xml:space="preserve"> del reato sarà esente da</w:t>
      </w:r>
      <w:r w:rsidRPr="00C16C06">
        <w:rPr>
          <w:sz w:val="20"/>
          <w:szCs w:val="20"/>
        </w:rPr>
        <w:t xml:space="preserve"> responsabilità penale per il </w:t>
      </w:r>
      <w:r>
        <w:rPr>
          <w:sz w:val="20"/>
          <w:szCs w:val="20"/>
        </w:rPr>
        <w:t xml:space="preserve">delitto </w:t>
      </w:r>
      <w:r w:rsidRPr="00C16C06">
        <w:rPr>
          <w:sz w:val="20"/>
          <w:szCs w:val="20"/>
        </w:rPr>
        <w:t>tentato, sia desistendo dall'esecuzione già iniziata, sia impedendo la produzione del risultato, ferma restando la responsabilità eventualmente incorsa per gli atti compiuti, se questi erano già costitutivi di un altro crimine.</w:t>
      </w:r>
      <w:r>
        <w:rPr>
          <w:sz w:val="20"/>
          <w:szCs w:val="20"/>
        </w:rPr>
        <w:t>”</w:t>
      </w:r>
      <w:r w:rsidR="00FF6453">
        <w:rPr>
          <w:rStyle w:val="Rimandonotaapidipagina"/>
          <w:sz w:val="20"/>
          <w:szCs w:val="20"/>
        </w:rPr>
        <w:footnoteReference w:id="2"/>
      </w:r>
    </w:p>
    <w:p w14:paraId="41BA7C2E" w14:textId="77777777" w:rsidR="00C11E46" w:rsidRPr="00C11E46" w:rsidRDefault="00C11E46" w:rsidP="00C11E46">
      <w:pPr>
        <w:jc w:val="both"/>
        <w:rPr>
          <w:sz w:val="20"/>
          <w:szCs w:val="20"/>
        </w:rPr>
      </w:pPr>
    </w:p>
    <w:p w14:paraId="2A3AC24F" w14:textId="77777777" w:rsidR="00C11E46" w:rsidRDefault="00C11E46" w:rsidP="00C11E46">
      <w:pPr>
        <w:jc w:val="both"/>
        <w:rPr>
          <w:sz w:val="20"/>
          <w:szCs w:val="20"/>
        </w:rPr>
      </w:pPr>
    </w:p>
    <w:p w14:paraId="2B3D231F" w14:textId="54935DB6" w:rsidR="000B7F00" w:rsidRPr="0024124A" w:rsidRDefault="000B7F00" w:rsidP="004B63BB">
      <w:pPr>
        <w:ind w:firstLine="708"/>
        <w:jc w:val="both"/>
        <w:rPr>
          <w:sz w:val="20"/>
          <w:szCs w:val="20"/>
        </w:rPr>
      </w:pPr>
      <w:r w:rsidRPr="0024124A">
        <w:rPr>
          <w:sz w:val="20"/>
          <w:szCs w:val="20"/>
        </w:rPr>
        <w:t xml:space="preserve">L’istituto del delitto tentato si presta ad una generale </w:t>
      </w:r>
      <w:r w:rsidRPr="00D72BCA">
        <w:rPr>
          <w:b/>
          <w:sz w:val="20"/>
          <w:szCs w:val="20"/>
        </w:rPr>
        <w:t>funzione estensiva della tipicità</w:t>
      </w:r>
      <w:r w:rsidR="003A5837">
        <w:rPr>
          <w:rStyle w:val="Rimandonotaapidipagina"/>
          <w:b/>
          <w:sz w:val="20"/>
          <w:szCs w:val="20"/>
        </w:rPr>
        <w:footnoteReference w:id="3"/>
      </w:r>
      <w:r w:rsidRPr="0024124A">
        <w:rPr>
          <w:sz w:val="20"/>
          <w:szCs w:val="20"/>
        </w:rPr>
        <w:t xml:space="preserve">, permettendo di punire condotte idonee a creare un </w:t>
      </w:r>
      <w:r w:rsidRPr="00D72BCA">
        <w:rPr>
          <w:b/>
          <w:sz w:val="20"/>
          <w:szCs w:val="20"/>
        </w:rPr>
        <w:t>pericolo diretto</w:t>
      </w:r>
      <w:r w:rsidRPr="0024124A">
        <w:rPr>
          <w:sz w:val="20"/>
          <w:szCs w:val="20"/>
        </w:rPr>
        <w:t xml:space="preserve"> nei confronti del bene giuridico tutelato. Si ottiene così una condizione che permette di incriminare condotte prodromiche alla commissione di un delitto consumato, </w:t>
      </w:r>
      <w:r w:rsidRPr="0024124A">
        <w:rPr>
          <w:rFonts w:eastAsia="Times New Roman"/>
          <w:sz w:val="20"/>
          <w:szCs w:val="20"/>
        </w:rPr>
        <w:t xml:space="preserve">in modo da </w:t>
      </w:r>
      <w:r w:rsidRPr="00D72BCA">
        <w:rPr>
          <w:rFonts w:eastAsia="Times New Roman"/>
          <w:b/>
          <w:sz w:val="20"/>
          <w:szCs w:val="20"/>
        </w:rPr>
        <w:t>prevenire l’esposizione al pericolo</w:t>
      </w:r>
      <w:r w:rsidRPr="0024124A">
        <w:rPr>
          <w:rFonts w:eastAsia="Times New Roman"/>
          <w:sz w:val="20"/>
          <w:szCs w:val="20"/>
        </w:rPr>
        <w:t xml:space="preserve"> degli interessi o beni giuridici tutelati.</w:t>
      </w:r>
    </w:p>
    <w:p w14:paraId="63792E9B" w14:textId="6EBDD8E7" w:rsidR="000B7F00" w:rsidRDefault="000B7F00" w:rsidP="0024124A">
      <w:pPr>
        <w:ind w:firstLine="709"/>
        <w:jc w:val="both"/>
        <w:rPr>
          <w:sz w:val="20"/>
          <w:szCs w:val="20"/>
        </w:rPr>
      </w:pPr>
      <w:r w:rsidRPr="0024124A">
        <w:rPr>
          <w:sz w:val="20"/>
          <w:szCs w:val="20"/>
        </w:rPr>
        <w:t>Attraverso lo strumento dell’</w:t>
      </w:r>
      <w:r w:rsidRPr="00D72BCA">
        <w:rPr>
          <w:b/>
          <w:sz w:val="20"/>
          <w:szCs w:val="20"/>
        </w:rPr>
        <w:t>anticipazione dell’intervento penale</w:t>
      </w:r>
      <w:r w:rsidRPr="0024124A">
        <w:rPr>
          <w:sz w:val="20"/>
          <w:szCs w:val="20"/>
        </w:rPr>
        <w:t xml:space="preserve"> è possibile punire un comportamento che non ha ancora dato luogo alla lesione al bene giuridico tutelato: l’intervento opera di fronte ad una seria prospettiva di condanna, prima che la lesione sia giunta al suo perfezionamento</w:t>
      </w:r>
      <w:r w:rsidR="003A5837">
        <w:rPr>
          <w:rStyle w:val="Rimandonotaapidipagina"/>
          <w:sz w:val="20"/>
          <w:szCs w:val="20"/>
        </w:rPr>
        <w:footnoteReference w:id="4"/>
      </w:r>
      <w:r w:rsidRPr="0024124A">
        <w:rPr>
          <w:sz w:val="20"/>
          <w:szCs w:val="20"/>
        </w:rPr>
        <w:t>.</w:t>
      </w:r>
    </w:p>
    <w:p w14:paraId="3EA721C2" w14:textId="77777777" w:rsidR="0024124A" w:rsidRPr="0024124A" w:rsidRDefault="0024124A" w:rsidP="0024124A">
      <w:pPr>
        <w:ind w:firstLine="709"/>
        <w:jc w:val="both"/>
        <w:rPr>
          <w:sz w:val="20"/>
          <w:szCs w:val="20"/>
        </w:rPr>
      </w:pPr>
    </w:p>
    <w:p w14:paraId="4C57B705" w14:textId="77777777" w:rsidR="00A020C6" w:rsidRDefault="00A020C6" w:rsidP="00C11E46">
      <w:pPr>
        <w:ind w:firstLine="708"/>
        <w:jc w:val="both"/>
        <w:rPr>
          <w:sz w:val="20"/>
          <w:szCs w:val="20"/>
        </w:rPr>
      </w:pPr>
    </w:p>
    <w:p w14:paraId="3AFDE20D" w14:textId="44978309" w:rsidR="00C11E46" w:rsidRPr="00C11E46" w:rsidRDefault="00C11E46" w:rsidP="00C11E46">
      <w:pPr>
        <w:ind w:firstLine="708"/>
        <w:jc w:val="both"/>
        <w:rPr>
          <w:sz w:val="20"/>
          <w:szCs w:val="20"/>
          <w:bdr w:val="none" w:sz="0" w:space="0" w:color="auto" w:frame="1"/>
        </w:rPr>
      </w:pPr>
      <w:r w:rsidRPr="00C11E46">
        <w:rPr>
          <w:sz w:val="20"/>
          <w:szCs w:val="20"/>
        </w:rPr>
        <w:t>Entrambi gli ordinamenti partono</w:t>
      </w:r>
      <w:r w:rsidR="000B7F00">
        <w:rPr>
          <w:sz w:val="20"/>
          <w:szCs w:val="20"/>
        </w:rPr>
        <w:t xml:space="preserve"> così</w:t>
      </w:r>
      <w:r w:rsidRPr="00C11E46">
        <w:rPr>
          <w:sz w:val="20"/>
          <w:szCs w:val="20"/>
        </w:rPr>
        <w:t xml:space="preserve"> dall’e</w:t>
      </w:r>
      <w:r w:rsidRPr="00C11E46">
        <w:rPr>
          <w:sz w:val="20"/>
          <w:szCs w:val="20"/>
          <w:bdr w:val="none" w:sz="0" w:space="0" w:color="auto" w:frame="1"/>
        </w:rPr>
        <w:t xml:space="preserve">sigenza di anticipazione della tutela penale. Ciò è reso possibile, tenendo conto </w:t>
      </w:r>
      <w:r w:rsidRPr="00C11E46">
        <w:rPr>
          <w:sz w:val="20"/>
          <w:szCs w:val="20"/>
        </w:rPr>
        <w:t>dell’</w:t>
      </w:r>
      <w:r w:rsidRPr="00C11E46">
        <w:rPr>
          <w:i/>
          <w:sz w:val="20"/>
          <w:szCs w:val="20"/>
        </w:rPr>
        <w:t xml:space="preserve">iter </w:t>
      </w:r>
      <w:proofErr w:type="spellStart"/>
      <w:r w:rsidRPr="00C11E46">
        <w:rPr>
          <w:i/>
          <w:sz w:val="20"/>
          <w:szCs w:val="20"/>
        </w:rPr>
        <w:t>criminis</w:t>
      </w:r>
      <w:proofErr w:type="spellEnd"/>
      <w:r w:rsidRPr="00C11E46">
        <w:rPr>
          <w:sz w:val="20"/>
          <w:szCs w:val="20"/>
          <w:bdr w:val="none" w:sz="0" w:space="0" w:color="auto" w:frame="1"/>
        </w:rPr>
        <w:t xml:space="preserve"> del soggetto, attraverso un arretramento del momento di inizio dell’attività punibile rispetto agli atti esecutivi veri e propri. Così,</w:t>
      </w:r>
      <w:r w:rsidRPr="00C11E46">
        <w:rPr>
          <w:sz w:val="20"/>
          <w:szCs w:val="20"/>
        </w:rPr>
        <w:t xml:space="preserve"> considerata l’irrilevanza della mera volontà ribelle</w:t>
      </w:r>
      <w:r w:rsidR="003A5837">
        <w:rPr>
          <w:rStyle w:val="Rimandonotaapidipagina"/>
          <w:sz w:val="20"/>
          <w:szCs w:val="20"/>
        </w:rPr>
        <w:footnoteReference w:id="5"/>
      </w:r>
      <w:r w:rsidRPr="00C11E46">
        <w:rPr>
          <w:sz w:val="20"/>
          <w:szCs w:val="20"/>
        </w:rPr>
        <w:t xml:space="preserve">, è possibile </w:t>
      </w:r>
      <w:r w:rsidRPr="00C11E46">
        <w:rPr>
          <w:rFonts w:eastAsia="Times New Roman"/>
          <w:sz w:val="20"/>
          <w:szCs w:val="20"/>
        </w:rPr>
        <w:t xml:space="preserve">arretrare la soglia di punibilità ad un </w:t>
      </w:r>
      <w:r w:rsidRPr="00D72BCA">
        <w:rPr>
          <w:rFonts w:eastAsia="Times New Roman"/>
          <w:b/>
          <w:sz w:val="20"/>
          <w:szCs w:val="20"/>
        </w:rPr>
        <w:t>momento antecedente</w:t>
      </w:r>
      <w:r w:rsidRPr="00C11E46">
        <w:rPr>
          <w:rFonts w:eastAsia="Times New Roman"/>
          <w:sz w:val="20"/>
          <w:szCs w:val="20"/>
        </w:rPr>
        <w:t xml:space="preserve"> la commissione del fatto delittuoso</w:t>
      </w:r>
      <w:r w:rsidRPr="00C11E46">
        <w:rPr>
          <w:sz w:val="20"/>
          <w:szCs w:val="20"/>
          <w:bdr w:val="none" w:sz="0" w:space="0" w:color="auto" w:frame="1"/>
        </w:rPr>
        <w:t xml:space="preserve"> in modo da considerare penalmente rilevanti anche agli </w:t>
      </w:r>
      <w:r w:rsidRPr="00D72BCA">
        <w:rPr>
          <w:rStyle w:val="Enfasigrassetto"/>
          <w:sz w:val="20"/>
          <w:szCs w:val="20"/>
          <w:bdr w:val="none" w:sz="0" w:space="0" w:color="auto" w:frame="1"/>
        </w:rPr>
        <w:t>atti preparatori</w:t>
      </w:r>
      <w:r w:rsidRPr="00C11E46">
        <w:rPr>
          <w:b/>
          <w:sz w:val="20"/>
          <w:szCs w:val="20"/>
          <w:bdr w:val="none" w:sz="0" w:space="0" w:color="auto" w:frame="1"/>
        </w:rPr>
        <w:t xml:space="preserve"> </w:t>
      </w:r>
      <w:r w:rsidRPr="00C11E46">
        <w:rPr>
          <w:sz w:val="20"/>
          <w:szCs w:val="20"/>
          <w:bdr w:val="none" w:sz="0" w:space="0" w:color="auto" w:frame="1"/>
        </w:rPr>
        <w:t xml:space="preserve">del reato. </w:t>
      </w:r>
    </w:p>
    <w:p w14:paraId="38D5DC39" w14:textId="77777777" w:rsidR="00C11E46" w:rsidRPr="00C11E46" w:rsidRDefault="00C11E46" w:rsidP="00C11E46">
      <w:pPr>
        <w:ind w:firstLine="708"/>
        <w:jc w:val="both"/>
        <w:rPr>
          <w:rFonts w:eastAsia="Times New Roman"/>
          <w:sz w:val="20"/>
          <w:szCs w:val="20"/>
        </w:rPr>
      </w:pPr>
      <w:r w:rsidRPr="00C11E46">
        <w:rPr>
          <w:sz w:val="20"/>
          <w:szCs w:val="20"/>
          <w:bdr w:val="none" w:sz="0" w:space="0" w:color="auto" w:frame="1"/>
        </w:rPr>
        <w:t xml:space="preserve">Una simile operazione è in linea </w:t>
      </w:r>
      <w:r w:rsidRPr="00C11E46">
        <w:rPr>
          <w:rFonts w:eastAsia="Times New Roman"/>
          <w:sz w:val="20"/>
          <w:szCs w:val="20"/>
        </w:rPr>
        <w:t xml:space="preserve">con la comune </w:t>
      </w:r>
      <w:r w:rsidRPr="00C11E46">
        <w:rPr>
          <w:rFonts w:eastAsia="Times New Roman"/>
          <w:i/>
          <w:sz w:val="20"/>
          <w:szCs w:val="20"/>
        </w:rPr>
        <w:t>ratio</w:t>
      </w:r>
      <w:r w:rsidRPr="00C11E46">
        <w:rPr>
          <w:rFonts w:eastAsia="Times New Roman"/>
          <w:sz w:val="20"/>
          <w:szCs w:val="20"/>
        </w:rPr>
        <w:t xml:space="preserve"> dell’istituto del delitto tentato: prevenire l’esposizione al pericolo degli interessi o beni giuridici tutelati.</w:t>
      </w:r>
    </w:p>
    <w:p w14:paraId="7F6E45D4" w14:textId="77777777" w:rsidR="00C11E46" w:rsidRPr="00C11E46" w:rsidRDefault="00C11E46" w:rsidP="00C11E46">
      <w:pPr>
        <w:ind w:firstLine="708"/>
        <w:jc w:val="both"/>
        <w:rPr>
          <w:sz w:val="20"/>
          <w:szCs w:val="20"/>
          <w:bdr w:val="none" w:sz="0" w:space="0" w:color="auto" w:frame="1"/>
        </w:rPr>
      </w:pPr>
      <w:r w:rsidRPr="00C11E46">
        <w:rPr>
          <w:rFonts w:eastAsia="Times New Roman"/>
          <w:sz w:val="20"/>
          <w:szCs w:val="20"/>
        </w:rPr>
        <w:t xml:space="preserve">Ciò in quanto, tanto nell’ordinamento spagnolo quanto in quello italiano, il </w:t>
      </w:r>
      <w:r w:rsidRPr="00C11E46">
        <w:rPr>
          <w:sz w:val="20"/>
          <w:szCs w:val="20"/>
        </w:rPr>
        <w:t>diritto penale, animato da una funzione rieducativa della pena, è chiamato a svolgere un ruolo politico-sociale di prevenzione di comportamenti esterni, e non di volontà o attitudini interne, in relazione alla loro pericolosità obiettiva nei confronti dei beni giuridici.</w:t>
      </w:r>
    </w:p>
    <w:p w14:paraId="4479CF06" w14:textId="77777777" w:rsidR="00C11E46" w:rsidRDefault="00C11E46" w:rsidP="00C11E46">
      <w:pPr>
        <w:ind w:firstLine="708"/>
        <w:jc w:val="both"/>
        <w:rPr>
          <w:sz w:val="20"/>
          <w:szCs w:val="20"/>
        </w:rPr>
      </w:pPr>
      <w:r w:rsidRPr="00C11E46">
        <w:rPr>
          <w:sz w:val="20"/>
          <w:szCs w:val="20"/>
        </w:rPr>
        <w:t>Difatti, la comune operazione effettuata dai due ordinamenti di analisi dello sviluppo dell’</w:t>
      </w:r>
      <w:r w:rsidRPr="00C11E46">
        <w:rPr>
          <w:i/>
          <w:sz w:val="20"/>
          <w:szCs w:val="20"/>
        </w:rPr>
        <w:t xml:space="preserve">iter </w:t>
      </w:r>
      <w:proofErr w:type="spellStart"/>
      <w:r w:rsidRPr="00C11E46">
        <w:rPr>
          <w:i/>
          <w:sz w:val="20"/>
          <w:szCs w:val="20"/>
        </w:rPr>
        <w:t>criminis</w:t>
      </w:r>
      <w:proofErr w:type="spellEnd"/>
      <w:r w:rsidRPr="00C11E46">
        <w:rPr>
          <w:i/>
          <w:sz w:val="20"/>
          <w:szCs w:val="20"/>
        </w:rPr>
        <w:t xml:space="preserve">, </w:t>
      </w:r>
      <w:r w:rsidRPr="00C11E46">
        <w:rPr>
          <w:sz w:val="20"/>
          <w:szCs w:val="20"/>
        </w:rPr>
        <w:t xml:space="preserve">consente proprio di individuare il </w:t>
      </w:r>
      <w:r w:rsidRPr="00D72BCA">
        <w:rPr>
          <w:sz w:val="20"/>
          <w:szCs w:val="20"/>
        </w:rPr>
        <w:t>momento</w:t>
      </w:r>
      <w:r w:rsidRPr="00C11E46">
        <w:rPr>
          <w:sz w:val="20"/>
          <w:szCs w:val="20"/>
        </w:rPr>
        <w:t xml:space="preserve"> a partire dal quale una certa condotta risulti potenzialmente rilevante come tentativo, mentre invece una condotta che si arresti alla prima fase, di ideazione del reato, è sempre irrilevante. </w:t>
      </w:r>
    </w:p>
    <w:p w14:paraId="2CC6DF5A" w14:textId="77777777" w:rsidR="0024124A" w:rsidRPr="00C11E46" w:rsidRDefault="0024124A" w:rsidP="00C11E46">
      <w:pPr>
        <w:ind w:firstLine="708"/>
        <w:jc w:val="both"/>
        <w:rPr>
          <w:sz w:val="20"/>
          <w:szCs w:val="20"/>
        </w:rPr>
      </w:pPr>
    </w:p>
    <w:p w14:paraId="5C151F5E" w14:textId="77777777" w:rsidR="00A020C6" w:rsidRDefault="00A020C6" w:rsidP="00C11E46">
      <w:pPr>
        <w:ind w:firstLine="708"/>
        <w:jc w:val="both"/>
        <w:rPr>
          <w:sz w:val="20"/>
          <w:szCs w:val="20"/>
        </w:rPr>
      </w:pPr>
    </w:p>
    <w:p w14:paraId="5425A510" w14:textId="10904745" w:rsidR="00D72BCA" w:rsidRPr="00D72BCA" w:rsidRDefault="00D72BCA" w:rsidP="00C11E46">
      <w:pPr>
        <w:ind w:firstLine="708"/>
        <w:jc w:val="both"/>
        <w:rPr>
          <w:b/>
          <w:sz w:val="20"/>
          <w:szCs w:val="20"/>
        </w:rPr>
      </w:pPr>
      <w:r w:rsidRPr="00D72BCA">
        <w:rPr>
          <w:b/>
          <w:sz w:val="20"/>
          <w:szCs w:val="20"/>
        </w:rPr>
        <w:t xml:space="preserve">Il </w:t>
      </w:r>
      <w:r w:rsidRPr="00D72BCA">
        <w:rPr>
          <w:b/>
          <w:sz w:val="20"/>
          <w:szCs w:val="20"/>
        </w:rPr>
        <w:t>tentativo punibile</w:t>
      </w:r>
    </w:p>
    <w:p w14:paraId="10080082" w14:textId="77777777" w:rsidR="00C11E46" w:rsidRPr="00C11E46" w:rsidRDefault="00C11E46" w:rsidP="00C11E46">
      <w:pPr>
        <w:ind w:firstLine="708"/>
        <w:jc w:val="both"/>
        <w:rPr>
          <w:sz w:val="20"/>
          <w:szCs w:val="20"/>
        </w:rPr>
      </w:pPr>
      <w:r w:rsidRPr="00C11E46">
        <w:rPr>
          <w:sz w:val="20"/>
          <w:szCs w:val="20"/>
        </w:rPr>
        <w:t xml:space="preserve">Il problema è, quindi, l’individuazione del tentativo punibile, ovvero il </w:t>
      </w:r>
      <w:r w:rsidRPr="00D72BCA">
        <w:rPr>
          <w:b/>
          <w:sz w:val="20"/>
          <w:szCs w:val="20"/>
        </w:rPr>
        <w:t>momento</w:t>
      </w:r>
      <w:r w:rsidRPr="00C11E46">
        <w:rPr>
          <w:sz w:val="20"/>
          <w:szCs w:val="20"/>
        </w:rPr>
        <w:t xml:space="preserve"> a partire dal quale può iniziare ad intervenire il diritto penale.</w:t>
      </w:r>
    </w:p>
    <w:p w14:paraId="1E084136" w14:textId="77777777" w:rsidR="00C11E46" w:rsidRPr="00C11E46" w:rsidRDefault="00C11E46" w:rsidP="00C11E46">
      <w:pPr>
        <w:ind w:firstLine="708"/>
        <w:jc w:val="both"/>
        <w:rPr>
          <w:sz w:val="20"/>
          <w:szCs w:val="20"/>
        </w:rPr>
      </w:pPr>
      <w:r w:rsidRPr="00C11E46">
        <w:rPr>
          <w:sz w:val="20"/>
          <w:szCs w:val="20"/>
        </w:rPr>
        <w:t xml:space="preserve">Entrambi i sistemi penali prediligono l’adozione delle cosiddette </w:t>
      </w:r>
      <w:r w:rsidRPr="00D72BCA">
        <w:rPr>
          <w:b/>
          <w:sz w:val="20"/>
          <w:szCs w:val="20"/>
        </w:rPr>
        <w:t>teorie oggettive</w:t>
      </w:r>
      <w:r w:rsidRPr="00C11E46">
        <w:rPr>
          <w:sz w:val="20"/>
          <w:szCs w:val="20"/>
        </w:rPr>
        <w:t>, sebbene con delle differenze legate alla struttura dell’istituto in Spagna ed in Italia.</w:t>
      </w:r>
    </w:p>
    <w:p w14:paraId="3DBA811F" w14:textId="5F746766" w:rsidR="00C11E46" w:rsidRPr="00C11E46" w:rsidRDefault="00C11E46" w:rsidP="00C11E46">
      <w:pPr>
        <w:ind w:firstLine="708"/>
        <w:jc w:val="both"/>
        <w:rPr>
          <w:sz w:val="20"/>
          <w:szCs w:val="20"/>
        </w:rPr>
      </w:pPr>
      <w:r w:rsidRPr="00C11E46">
        <w:rPr>
          <w:sz w:val="20"/>
          <w:szCs w:val="20"/>
        </w:rPr>
        <w:t xml:space="preserve">Quello spagnolo, in particolare, distingue due grandi momenti esterni: quello degli </w:t>
      </w:r>
      <w:r w:rsidRPr="00D72BCA">
        <w:rPr>
          <w:b/>
          <w:sz w:val="20"/>
          <w:szCs w:val="20"/>
        </w:rPr>
        <w:t>atti preparatori</w:t>
      </w:r>
      <w:r w:rsidRPr="00C11E46">
        <w:rPr>
          <w:sz w:val="20"/>
          <w:szCs w:val="20"/>
        </w:rPr>
        <w:t xml:space="preserve"> e quello dell’</w:t>
      </w:r>
      <w:r w:rsidRPr="00D72BCA">
        <w:rPr>
          <w:b/>
          <w:sz w:val="20"/>
          <w:szCs w:val="20"/>
        </w:rPr>
        <w:t>esecuzione</w:t>
      </w:r>
      <w:r w:rsidRPr="00C11E46">
        <w:rPr>
          <w:sz w:val="20"/>
          <w:szCs w:val="20"/>
        </w:rPr>
        <w:t xml:space="preserve"> (al pari di quanto previsto in Italia sotto la vigenza del codice Zanardelli). Attraverso l’adozione di criteri oggettivi è possibile una chiara delimitazione tra atti preparatori ed atti esecutivi, attraverso la punizione dei soli atti che producono un’obiettiva commozione sociale, dove per gli atti preparatori si tratta solo di quelli particolarmente pericolosi, quali la cospirazione, la proposizione e la provocazione</w:t>
      </w:r>
      <w:r w:rsidR="003A5837">
        <w:rPr>
          <w:rStyle w:val="Rimandonotaapidipagina"/>
          <w:sz w:val="20"/>
          <w:szCs w:val="20"/>
        </w:rPr>
        <w:footnoteReference w:id="6"/>
      </w:r>
      <w:r w:rsidRPr="00C11E46">
        <w:rPr>
          <w:sz w:val="20"/>
          <w:szCs w:val="20"/>
        </w:rPr>
        <w:t xml:space="preserve">. </w:t>
      </w:r>
    </w:p>
    <w:p w14:paraId="36F84732" w14:textId="77777777" w:rsidR="00C11E46" w:rsidRPr="00C11E46" w:rsidRDefault="00C11E46" w:rsidP="00C11E46">
      <w:pPr>
        <w:ind w:firstLine="708"/>
        <w:jc w:val="both"/>
        <w:rPr>
          <w:sz w:val="20"/>
          <w:szCs w:val="20"/>
        </w:rPr>
      </w:pPr>
      <w:r w:rsidRPr="00C11E46">
        <w:rPr>
          <w:sz w:val="20"/>
          <w:szCs w:val="20"/>
        </w:rPr>
        <w:lastRenderedPageBreak/>
        <w:t>In modo non dissimile, in Italia la propensione per un’impostazione oggettiva è dovuta ad un migliore sintonia con un impianto penalistico del fatto, presupposto su cui si fonda lo stesso ordinamento penale italiano.</w:t>
      </w:r>
    </w:p>
    <w:p w14:paraId="6DD02732" w14:textId="0FB02CF9" w:rsidR="00C11E46" w:rsidRDefault="00C11E46" w:rsidP="00C11E46">
      <w:pPr>
        <w:ind w:firstLine="708"/>
        <w:jc w:val="both"/>
        <w:rPr>
          <w:rFonts w:eastAsia="Times New Roman"/>
          <w:sz w:val="20"/>
          <w:szCs w:val="20"/>
        </w:rPr>
      </w:pPr>
      <w:r w:rsidRPr="00C11E46">
        <w:rPr>
          <w:sz w:val="20"/>
          <w:szCs w:val="20"/>
        </w:rPr>
        <w:t xml:space="preserve">A differenza della Spagna, però, è ormai in disuso la distinzione tra atti preparatori ed esecutivi, per cui, la </w:t>
      </w:r>
      <w:r w:rsidRPr="00C11E46">
        <w:rPr>
          <w:rFonts w:eastAsia="Times New Roman"/>
          <w:sz w:val="20"/>
          <w:szCs w:val="20"/>
        </w:rPr>
        <w:t xml:space="preserve">base oggettiva della punibilità del delitto tentato è ancorata a due presupposti fondamentali: un </w:t>
      </w:r>
      <w:r w:rsidRPr="00D72BCA">
        <w:rPr>
          <w:rFonts w:eastAsia="Times New Roman"/>
          <w:b/>
          <w:sz w:val="20"/>
          <w:szCs w:val="20"/>
        </w:rPr>
        <w:t>comportamento materiale</w:t>
      </w:r>
      <w:r w:rsidRPr="00C11E46">
        <w:rPr>
          <w:rFonts w:eastAsia="Times New Roman"/>
          <w:sz w:val="20"/>
          <w:szCs w:val="20"/>
        </w:rPr>
        <w:t>, risultato del proposito criminoso dell’agente, e l’</w:t>
      </w:r>
      <w:r w:rsidRPr="00D72BCA">
        <w:rPr>
          <w:rFonts w:eastAsia="Times New Roman"/>
          <w:b/>
          <w:sz w:val="20"/>
          <w:szCs w:val="20"/>
        </w:rPr>
        <w:t>effettiva lesione</w:t>
      </w:r>
      <w:r w:rsidRPr="00C11E46">
        <w:rPr>
          <w:rFonts w:eastAsia="Times New Roman"/>
          <w:sz w:val="20"/>
          <w:szCs w:val="20"/>
        </w:rPr>
        <w:t xml:space="preserve"> o </w:t>
      </w:r>
      <w:r w:rsidRPr="00D72BCA">
        <w:rPr>
          <w:rFonts w:eastAsia="Times New Roman"/>
          <w:b/>
          <w:sz w:val="20"/>
          <w:szCs w:val="20"/>
        </w:rPr>
        <w:t>messa in pericolo</w:t>
      </w:r>
      <w:r w:rsidRPr="00C11E46">
        <w:rPr>
          <w:rFonts w:eastAsia="Times New Roman"/>
          <w:sz w:val="20"/>
          <w:szCs w:val="20"/>
        </w:rPr>
        <w:t xml:space="preserve"> del bene o interesse oggetto di protezione, obiettivamente accertabile e conseguente proprio al comportamento materiale posto in essere</w:t>
      </w:r>
      <w:r w:rsidR="003A5837">
        <w:rPr>
          <w:rStyle w:val="Rimandonotaapidipagina"/>
          <w:rFonts w:eastAsia="Times New Roman"/>
          <w:sz w:val="20"/>
          <w:szCs w:val="20"/>
        </w:rPr>
        <w:footnoteReference w:id="7"/>
      </w:r>
      <w:r w:rsidRPr="00C11E46">
        <w:rPr>
          <w:rFonts w:eastAsia="Times New Roman"/>
          <w:sz w:val="20"/>
          <w:szCs w:val="20"/>
        </w:rPr>
        <w:t>.</w:t>
      </w:r>
    </w:p>
    <w:p w14:paraId="64734B4C" w14:textId="77777777" w:rsidR="0024124A" w:rsidRPr="00C11E46" w:rsidRDefault="0024124A" w:rsidP="00C11E46">
      <w:pPr>
        <w:ind w:firstLine="708"/>
        <w:jc w:val="both"/>
        <w:rPr>
          <w:sz w:val="20"/>
          <w:szCs w:val="20"/>
        </w:rPr>
      </w:pPr>
    </w:p>
    <w:p w14:paraId="31615036" w14:textId="77777777" w:rsidR="00A020C6" w:rsidRDefault="00A020C6" w:rsidP="00C11E46">
      <w:pPr>
        <w:ind w:firstLine="708"/>
        <w:jc w:val="both"/>
        <w:rPr>
          <w:sz w:val="20"/>
          <w:szCs w:val="20"/>
        </w:rPr>
      </w:pPr>
    </w:p>
    <w:p w14:paraId="6935BC95" w14:textId="4944BAB3" w:rsidR="00D72BCA" w:rsidRPr="00D72BCA" w:rsidRDefault="00D72BCA" w:rsidP="00C11E46">
      <w:pPr>
        <w:ind w:firstLine="708"/>
        <w:jc w:val="both"/>
        <w:rPr>
          <w:b/>
          <w:sz w:val="20"/>
          <w:szCs w:val="20"/>
        </w:rPr>
      </w:pPr>
      <w:r w:rsidRPr="00D72BCA">
        <w:rPr>
          <w:b/>
          <w:sz w:val="20"/>
          <w:szCs w:val="20"/>
        </w:rPr>
        <w:t xml:space="preserve">La </w:t>
      </w:r>
      <w:r w:rsidRPr="00D72BCA">
        <w:rPr>
          <w:b/>
          <w:sz w:val="20"/>
          <w:szCs w:val="20"/>
        </w:rPr>
        <w:t>struttura dell’istituto</w:t>
      </w:r>
    </w:p>
    <w:p w14:paraId="657CA7CA" w14:textId="77777777" w:rsidR="00C11E46" w:rsidRPr="00C11E46" w:rsidRDefault="00C11E46" w:rsidP="00C11E46">
      <w:pPr>
        <w:ind w:firstLine="708"/>
        <w:jc w:val="both"/>
        <w:rPr>
          <w:sz w:val="20"/>
          <w:szCs w:val="20"/>
        </w:rPr>
      </w:pPr>
      <w:r w:rsidRPr="00C11E46">
        <w:rPr>
          <w:sz w:val="20"/>
          <w:szCs w:val="20"/>
        </w:rPr>
        <w:t>Quanto alla struttura dell’istituto, entrambe le disposizioni, art. 16 del Codice Penale spagnolo ed art. 56 di quello italiano, si compongono di un elemento oggettivo e di uno soggettivo.</w:t>
      </w:r>
    </w:p>
    <w:p w14:paraId="049D2B6A" w14:textId="77777777" w:rsidR="00A020C6" w:rsidRDefault="00A020C6" w:rsidP="00C11E46">
      <w:pPr>
        <w:ind w:firstLine="708"/>
        <w:jc w:val="both"/>
        <w:rPr>
          <w:sz w:val="20"/>
          <w:szCs w:val="20"/>
        </w:rPr>
      </w:pPr>
    </w:p>
    <w:p w14:paraId="7A3DEFAF" w14:textId="76931BC4" w:rsidR="00C11E46" w:rsidRPr="00C11E46" w:rsidRDefault="0024124A" w:rsidP="00C11E46">
      <w:pPr>
        <w:ind w:firstLine="708"/>
        <w:jc w:val="both"/>
        <w:rPr>
          <w:sz w:val="20"/>
          <w:szCs w:val="20"/>
        </w:rPr>
      </w:pPr>
      <w:r>
        <w:rPr>
          <w:sz w:val="20"/>
          <w:szCs w:val="20"/>
        </w:rPr>
        <w:t xml:space="preserve">In merito </w:t>
      </w:r>
      <w:r w:rsidR="00C11E46" w:rsidRPr="00C11E46">
        <w:rPr>
          <w:sz w:val="20"/>
          <w:szCs w:val="20"/>
        </w:rPr>
        <w:t>al primo,</w:t>
      </w:r>
      <w:r w:rsidR="00A020C6">
        <w:rPr>
          <w:sz w:val="20"/>
          <w:szCs w:val="20"/>
        </w:rPr>
        <w:t xml:space="preserve"> quello </w:t>
      </w:r>
      <w:r w:rsidR="00A020C6" w:rsidRPr="00D72BCA">
        <w:rPr>
          <w:b/>
          <w:sz w:val="20"/>
          <w:szCs w:val="20"/>
        </w:rPr>
        <w:t>oggettivo</w:t>
      </w:r>
      <w:r w:rsidR="00A020C6">
        <w:rPr>
          <w:sz w:val="20"/>
          <w:szCs w:val="20"/>
        </w:rPr>
        <w:t>,</w:t>
      </w:r>
      <w:r w:rsidR="00C11E46" w:rsidRPr="00C11E46">
        <w:rPr>
          <w:sz w:val="20"/>
          <w:szCs w:val="20"/>
        </w:rPr>
        <w:t xml:space="preserve"> si evince come entrambi gli ordinamenti richiedano un rapporto di </w:t>
      </w:r>
      <w:r w:rsidR="00C11E46" w:rsidRPr="00D72BCA">
        <w:rPr>
          <w:b/>
          <w:sz w:val="20"/>
          <w:szCs w:val="20"/>
        </w:rPr>
        <w:t>immediatezza</w:t>
      </w:r>
      <w:r w:rsidR="00C11E46" w:rsidRPr="00C11E46">
        <w:rPr>
          <w:sz w:val="20"/>
          <w:szCs w:val="20"/>
        </w:rPr>
        <w:t xml:space="preserve"> tra la condotta dell’agente e la realizzazione del reato.</w:t>
      </w:r>
    </w:p>
    <w:p w14:paraId="3520FDB8" w14:textId="6D615B8D" w:rsidR="00C11E46" w:rsidRPr="00C11E46" w:rsidRDefault="00C11E46" w:rsidP="00C11E46">
      <w:pPr>
        <w:ind w:firstLine="708"/>
        <w:jc w:val="both"/>
        <w:rPr>
          <w:sz w:val="20"/>
          <w:szCs w:val="20"/>
        </w:rPr>
      </w:pPr>
      <w:r w:rsidRPr="00C11E46">
        <w:rPr>
          <w:sz w:val="20"/>
          <w:szCs w:val="20"/>
        </w:rPr>
        <w:t xml:space="preserve">In particolare, l’avverbio “direttamente” utilizzato dalla previsione spagnola suggerisce che l’inizio dell’esecuzione del delitto debba avvenire direttamente per </w:t>
      </w:r>
      <w:r w:rsidRPr="00D72BCA">
        <w:rPr>
          <w:b/>
          <w:sz w:val="20"/>
          <w:szCs w:val="20"/>
        </w:rPr>
        <w:t>fatti esteriori</w:t>
      </w:r>
      <w:r w:rsidRPr="00C11E46">
        <w:rPr>
          <w:sz w:val="20"/>
          <w:szCs w:val="20"/>
        </w:rPr>
        <w:t>. In linea con la sposata teoria oggettivo-materiale, inoltre, è necessario considerare il piano dell'autore, da un punto di vista oggettivo, ancorandolo quindi a due criteri oggettivi di valutazione: la posta in pericolo immediata del bene giuridico protetto e l’immediatezza temporale. Attraverso la formula utilizzata, “direttamente”, si coglie l’esigenza di connessione diretta tra l’atto in esame e la realizzazione del fatto tipico, in modo che il primo appaia come parte del secondo</w:t>
      </w:r>
      <w:r w:rsidR="003A5837">
        <w:rPr>
          <w:rStyle w:val="Rimandonotaapidipagina"/>
          <w:sz w:val="20"/>
          <w:szCs w:val="20"/>
        </w:rPr>
        <w:footnoteReference w:id="8"/>
      </w:r>
      <w:r w:rsidRPr="00C11E46">
        <w:rPr>
          <w:sz w:val="20"/>
          <w:szCs w:val="20"/>
        </w:rPr>
        <w:t>.</w:t>
      </w:r>
    </w:p>
    <w:p w14:paraId="4DB23A1C" w14:textId="2AF65AA4" w:rsidR="00C11E46" w:rsidRPr="00C11E46" w:rsidRDefault="00C11E46" w:rsidP="00C11E46">
      <w:pPr>
        <w:ind w:firstLine="708"/>
        <w:jc w:val="both"/>
        <w:rPr>
          <w:sz w:val="20"/>
          <w:szCs w:val="20"/>
        </w:rPr>
      </w:pPr>
      <w:r w:rsidRPr="00C11E46">
        <w:rPr>
          <w:sz w:val="20"/>
          <w:szCs w:val="20"/>
        </w:rPr>
        <w:t xml:space="preserve">D’altro lato, la norma italiana parla di inizio dell’attività punibile, che attraverso il criterio della </w:t>
      </w:r>
      <w:r w:rsidRPr="00D72BCA">
        <w:rPr>
          <w:b/>
          <w:sz w:val="20"/>
          <w:szCs w:val="20"/>
        </w:rPr>
        <w:t>messa in opera dei mezzi</w:t>
      </w:r>
      <w:r w:rsidRPr="00C11E46">
        <w:rPr>
          <w:sz w:val="20"/>
          <w:szCs w:val="20"/>
        </w:rPr>
        <w:t>, è individuato nel momento in cui il soggetto pone in essere quelle azioni dirette all’applicazione di mezzi finalizzati ad eseguire il delitto, tenendo conto del suo progetto criminoso sotto il profilo oggettivo e soggettivo, della presenza di un rapporto di immediatezza tra condotta e la realizzazione del reato, tra atti iniziali ed esecuzione del reato, del rapporto che intercorre tra l’atto posto in essere e la finalità sottesa</w:t>
      </w:r>
      <w:r w:rsidR="003A5837">
        <w:rPr>
          <w:rStyle w:val="Rimandonotaapidipagina"/>
          <w:sz w:val="20"/>
          <w:szCs w:val="20"/>
        </w:rPr>
        <w:footnoteReference w:id="9"/>
      </w:r>
      <w:r w:rsidRPr="00C11E46">
        <w:rPr>
          <w:sz w:val="20"/>
          <w:szCs w:val="20"/>
        </w:rPr>
        <w:t>. Il tutto ancorato ai criteri di idoneità ed univocità degli atti.</w:t>
      </w:r>
    </w:p>
    <w:p w14:paraId="1C9722B4" w14:textId="77777777" w:rsidR="00A020C6" w:rsidRDefault="00A020C6" w:rsidP="00C11E46">
      <w:pPr>
        <w:ind w:firstLine="708"/>
        <w:jc w:val="both"/>
        <w:rPr>
          <w:sz w:val="20"/>
          <w:szCs w:val="20"/>
        </w:rPr>
      </w:pPr>
    </w:p>
    <w:p w14:paraId="496C1BD6" w14:textId="77777777" w:rsidR="00C11E46" w:rsidRPr="00C11E46" w:rsidRDefault="00C11E46" w:rsidP="00C11E46">
      <w:pPr>
        <w:ind w:firstLine="708"/>
        <w:jc w:val="both"/>
        <w:rPr>
          <w:rFonts w:eastAsia="Times New Roman"/>
          <w:color w:val="202122"/>
          <w:sz w:val="20"/>
          <w:szCs w:val="20"/>
          <w:shd w:val="clear" w:color="auto" w:fill="FFFFFF"/>
        </w:rPr>
      </w:pPr>
      <w:r w:rsidRPr="00C11E46">
        <w:rPr>
          <w:sz w:val="20"/>
          <w:szCs w:val="20"/>
        </w:rPr>
        <w:t xml:space="preserve">Per quanto riguarda l’altro elemento, quello </w:t>
      </w:r>
      <w:r w:rsidRPr="00D72BCA">
        <w:rPr>
          <w:b/>
          <w:sz w:val="20"/>
          <w:szCs w:val="20"/>
        </w:rPr>
        <w:t>soggettivo</w:t>
      </w:r>
      <w:r w:rsidRPr="00C11E46">
        <w:rPr>
          <w:sz w:val="20"/>
          <w:szCs w:val="20"/>
        </w:rPr>
        <w:t xml:space="preserve">, in entrambi gli ordinamenti il delitto tentato si configura in presenza del </w:t>
      </w:r>
      <w:r w:rsidRPr="00C11E46">
        <w:rPr>
          <w:rFonts w:eastAsia="Times New Roman"/>
          <w:color w:val="202122"/>
          <w:sz w:val="20"/>
          <w:szCs w:val="20"/>
          <w:shd w:val="clear" w:color="auto" w:fill="FFFFFF"/>
        </w:rPr>
        <w:t xml:space="preserve">criterio normale di imputazione del </w:t>
      </w:r>
      <w:r w:rsidRPr="00D72BCA">
        <w:rPr>
          <w:rFonts w:eastAsia="Times New Roman"/>
          <w:b/>
          <w:color w:val="202122"/>
          <w:sz w:val="20"/>
          <w:szCs w:val="20"/>
          <w:shd w:val="clear" w:color="auto" w:fill="FFFFFF"/>
        </w:rPr>
        <w:t>dolo</w:t>
      </w:r>
      <w:r w:rsidRPr="00C11E46">
        <w:rPr>
          <w:rFonts w:eastAsia="Times New Roman"/>
          <w:color w:val="202122"/>
          <w:sz w:val="20"/>
          <w:szCs w:val="20"/>
          <w:shd w:val="clear" w:color="auto" w:fill="FFFFFF"/>
        </w:rPr>
        <w:t>.</w:t>
      </w:r>
    </w:p>
    <w:p w14:paraId="5374CE83" w14:textId="19D78232" w:rsidR="00C11E46" w:rsidRPr="00C11E46" w:rsidRDefault="00C11E46" w:rsidP="00C11E46">
      <w:pPr>
        <w:pStyle w:val="done"/>
        <w:shd w:val="clear" w:color="auto" w:fill="FFFFFF"/>
        <w:spacing w:before="0" w:beforeAutospacing="0" w:after="0" w:afterAutospacing="0"/>
        <w:ind w:firstLine="708"/>
        <w:jc w:val="both"/>
        <w:rPr>
          <w:sz w:val="20"/>
          <w:szCs w:val="20"/>
        </w:rPr>
      </w:pPr>
      <w:r w:rsidRPr="00C11E46">
        <w:rPr>
          <w:rFonts w:eastAsia="Times New Roman"/>
          <w:color w:val="202122"/>
          <w:sz w:val="20"/>
          <w:szCs w:val="20"/>
          <w:shd w:val="clear" w:color="auto" w:fill="FFFFFF"/>
        </w:rPr>
        <w:t xml:space="preserve">In particolare, in Spagna si parla di </w:t>
      </w:r>
      <w:r w:rsidRPr="00C11E46">
        <w:rPr>
          <w:sz w:val="20"/>
          <w:szCs w:val="20"/>
        </w:rPr>
        <w:t xml:space="preserve">“risoluzione a consumare il delitto”, attraverso un effettivo </w:t>
      </w:r>
      <w:r w:rsidRPr="00D72BCA">
        <w:rPr>
          <w:b/>
          <w:sz w:val="20"/>
          <w:szCs w:val="20"/>
        </w:rPr>
        <w:t>impulso volontario</w:t>
      </w:r>
      <w:r w:rsidRPr="00C11E46">
        <w:rPr>
          <w:sz w:val="20"/>
          <w:szCs w:val="20"/>
        </w:rPr>
        <w:t xml:space="preserve"> della condotta esterna. È necessario quindi che il soggetto realizzi gli atti che oggettivamente compie con l’animo di consumare il fatto o, almeno, accetti con sicurezza o probabilità che la propria condotta possa dare luogo alla consumazione</w:t>
      </w:r>
      <w:r w:rsidR="003A5837">
        <w:rPr>
          <w:rStyle w:val="Rimandonotaapidipagina"/>
          <w:sz w:val="20"/>
          <w:szCs w:val="20"/>
        </w:rPr>
        <w:footnoteReference w:id="10"/>
      </w:r>
      <w:r w:rsidRPr="00C11E46">
        <w:rPr>
          <w:sz w:val="20"/>
          <w:szCs w:val="20"/>
        </w:rPr>
        <w:t>.</w:t>
      </w:r>
    </w:p>
    <w:p w14:paraId="43235566" w14:textId="3D9B227E" w:rsidR="00C11E46" w:rsidRDefault="00C11E46" w:rsidP="00C11E46">
      <w:pPr>
        <w:ind w:firstLine="708"/>
        <w:jc w:val="both"/>
        <w:rPr>
          <w:rFonts w:eastAsia="Times New Roman"/>
          <w:sz w:val="20"/>
          <w:szCs w:val="20"/>
        </w:rPr>
      </w:pPr>
      <w:r w:rsidRPr="00C11E46">
        <w:rPr>
          <w:sz w:val="20"/>
          <w:szCs w:val="20"/>
        </w:rPr>
        <w:t>Analogamente, in Italia si esamina l’</w:t>
      </w:r>
      <w:r w:rsidRPr="00C11E46">
        <w:rPr>
          <w:rFonts w:eastAsia="Times New Roman"/>
          <w:sz w:val="20"/>
          <w:szCs w:val="20"/>
        </w:rPr>
        <w:t xml:space="preserve">intenzione criminosa del soggetto. È richiesta la presenza di una </w:t>
      </w:r>
      <w:r w:rsidRPr="00D72BCA">
        <w:rPr>
          <w:rFonts w:eastAsia="Times New Roman"/>
          <w:b/>
          <w:sz w:val="20"/>
          <w:szCs w:val="20"/>
        </w:rPr>
        <w:t>volontà intenzionale</w:t>
      </w:r>
      <w:r w:rsidR="003A5837">
        <w:rPr>
          <w:rStyle w:val="Rimandonotaapidipagina"/>
          <w:rFonts w:eastAsia="Times New Roman"/>
          <w:b/>
          <w:sz w:val="20"/>
          <w:szCs w:val="20"/>
        </w:rPr>
        <w:footnoteReference w:id="11"/>
      </w:r>
      <w:r w:rsidRPr="00C11E46">
        <w:rPr>
          <w:rFonts w:eastAsia="Times New Roman"/>
          <w:sz w:val="20"/>
          <w:szCs w:val="20"/>
        </w:rPr>
        <w:t xml:space="preserve"> diretta al conseguimento del risultato preso di mira relativamente al programma delittuoso, attraverso un comportamento volto ad un intento, e non una mera accettazione di un rischio della produzione di un evento possibile o probabile. Pertanto, il fine per il quale il soggetto agisce e verso cui sono diretti gli atti che compie, deve essere certo tanto sul piano materiale quanto su quello psicologico</w:t>
      </w:r>
      <w:r w:rsidR="003A5837">
        <w:rPr>
          <w:rStyle w:val="Rimandonotaapidipagina"/>
          <w:rFonts w:eastAsia="Times New Roman"/>
          <w:sz w:val="20"/>
          <w:szCs w:val="20"/>
        </w:rPr>
        <w:footnoteReference w:id="12"/>
      </w:r>
      <w:r w:rsidRPr="00C11E46">
        <w:rPr>
          <w:rFonts w:eastAsia="Times New Roman"/>
          <w:sz w:val="20"/>
          <w:szCs w:val="20"/>
        </w:rPr>
        <w:t>.</w:t>
      </w:r>
    </w:p>
    <w:p w14:paraId="6D1B18C6" w14:textId="77777777" w:rsidR="00A020C6" w:rsidRDefault="00A020C6" w:rsidP="00C11E46">
      <w:pPr>
        <w:ind w:firstLine="708"/>
        <w:jc w:val="both"/>
        <w:rPr>
          <w:rFonts w:eastAsia="Times New Roman"/>
          <w:sz w:val="20"/>
          <w:szCs w:val="20"/>
        </w:rPr>
      </w:pPr>
    </w:p>
    <w:p w14:paraId="43924569" w14:textId="77777777" w:rsidR="00A020C6" w:rsidRPr="00C11E46" w:rsidRDefault="00A020C6" w:rsidP="00C11E46">
      <w:pPr>
        <w:ind w:firstLine="708"/>
        <w:jc w:val="both"/>
        <w:rPr>
          <w:rFonts w:eastAsia="Times New Roman"/>
          <w:sz w:val="20"/>
          <w:szCs w:val="20"/>
        </w:rPr>
      </w:pPr>
    </w:p>
    <w:p w14:paraId="647092F3" w14:textId="2728C41B" w:rsidR="00D72BCA" w:rsidRPr="00D72BCA" w:rsidRDefault="00D72BCA" w:rsidP="00C11E46">
      <w:pPr>
        <w:ind w:firstLine="708"/>
        <w:jc w:val="both"/>
        <w:rPr>
          <w:rFonts w:eastAsia="Times New Roman"/>
          <w:b/>
          <w:sz w:val="20"/>
          <w:szCs w:val="20"/>
        </w:rPr>
      </w:pPr>
      <w:r w:rsidRPr="00D72BCA">
        <w:rPr>
          <w:rFonts w:eastAsia="Times New Roman"/>
          <w:b/>
          <w:sz w:val="20"/>
          <w:szCs w:val="20"/>
        </w:rPr>
        <w:t>La desistenza volontaria</w:t>
      </w:r>
    </w:p>
    <w:p w14:paraId="3D9013C7" w14:textId="77777777" w:rsidR="00C11E46" w:rsidRPr="00C11E46" w:rsidRDefault="00C11E46" w:rsidP="00C11E46">
      <w:pPr>
        <w:ind w:firstLine="708"/>
        <w:jc w:val="both"/>
        <w:rPr>
          <w:rFonts w:eastAsia="Times New Roman"/>
          <w:sz w:val="20"/>
          <w:szCs w:val="20"/>
        </w:rPr>
      </w:pPr>
      <w:r w:rsidRPr="00C11E46">
        <w:rPr>
          <w:rFonts w:eastAsia="Times New Roman"/>
          <w:sz w:val="20"/>
          <w:szCs w:val="20"/>
        </w:rPr>
        <w:t xml:space="preserve">Quanto all’istituto della desistenza, in entrambi i Codici Penali è espressamente richiesto l’elemento della volontarietà, rispettivamente agli art. 56 c.p. italiano e 16 c.p. spagnolo. </w:t>
      </w:r>
    </w:p>
    <w:p w14:paraId="5B539E72" w14:textId="77777777" w:rsidR="00C11E46" w:rsidRPr="00C11E46" w:rsidRDefault="00C11E46" w:rsidP="00C11E46">
      <w:pPr>
        <w:ind w:firstLine="708"/>
        <w:jc w:val="both"/>
        <w:rPr>
          <w:rFonts w:eastAsia="Times New Roman"/>
          <w:sz w:val="20"/>
          <w:szCs w:val="20"/>
        </w:rPr>
      </w:pPr>
      <w:r w:rsidRPr="00C11E46">
        <w:rPr>
          <w:rFonts w:eastAsia="Times New Roman"/>
          <w:sz w:val="20"/>
          <w:szCs w:val="20"/>
        </w:rPr>
        <w:t>La differenza tra le due normative corre su due differenti aspetti.</w:t>
      </w:r>
    </w:p>
    <w:p w14:paraId="5D7DB31F" w14:textId="77777777" w:rsidR="00A020C6" w:rsidRDefault="00A020C6" w:rsidP="00C11E46">
      <w:pPr>
        <w:ind w:firstLine="708"/>
        <w:jc w:val="both"/>
        <w:rPr>
          <w:rFonts w:eastAsia="Times New Roman"/>
          <w:i/>
          <w:sz w:val="20"/>
          <w:szCs w:val="20"/>
        </w:rPr>
      </w:pPr>
    </w:p>
    <w:p w14:paraId="31F25D7F" w14:textId="16E5437D" w:rsidR="00C11E46" w:rsidRPr="00C11E46" w:rsidRDefault="00C11E46" w:rsidP="00C11E46">
      <w:pPr>
        <w:ind w:firstLine="708"/>
        <w:jc w:val="both"/>
        <w:rPr>
          <w:rFonts w:eastAsia="Times New Roman"/>
          <w:sz w:val="20"/>
          <w:szCs w:val="20"/>
        </w:rPr>
      </w:pPr>
      <w:r w:rsidRPr="00C11E46">
        <w:rPr>
          <w:rFonts w:eastAsia="Times New Roman"/>
          <w:i/>
          <w:sz w:val="20"/>
          <w:szCs w:val="20"/>
        </w:rPr>
        <w:t>In primis</w:t>
      </w:r>
      <w:r w:rsidRPr="00C11E46">
        <w:rPr>
          <w:rFonts w:eastAsia="Times New Roman"/>
          <w:sz w:val="20"/>
          <w:szCs w:val="20"/>
        </w:rPr>
        <w:t>, la normativa</w:t>
      </w:r>
      <w:r w:rsidR="00D72BCA">
        <w:rPr>
          <w:rFonts w:eastAsia="Times New Roman"/>
          <w:sz w:val="20"/>
          <w:szCs w:val="20"/>
        </w:rPr>
        <w:t xml:space="preserve"> italiana</w:t>
      </w:r>
      <w:r w:rsidRPr="00C11E46">
        <w:rPr>
          <w:rFonts w:eastAsia="Times New Roman"/>
          <w:sz w:val="20"/>
          <w:szCs w:val="20"/>
        </w:rPr>
        <w:t xml:space="preserve"> distingue il trattamento sanzionatorio di due figure differenti: la desistenza volontaria ed il </w:t>
      </w:r>
      <w:r w:rsidRPr="00D72BCA">
        <w:rPr>
          <w:rFonts w:eastAsia="Times New Roman"/>
          <w:b/>
          <w:sz w:val="20"/>
          <w:szCs w:val="20"/>
        </w:rPr>
        <w:t>recesso attivo</w:t>
      </w:r>
      <w:r w:rsidRPr="00C11E46">
        <w:rPr>
          <w:rFonts w:eastAsia="Times New Roman"/>
          <w:sz w:val="20"/>
          <w:szCs w:val="20"/>
        </w:rPr>
        <w:t xml:space="preserve">, le quali differiscono in funzione della conclusione o meno dell’azione esecutiva posta in essere dal soggetto agente, da cui, di conseguenza, emerge una chiara differenza in chiave sanzionatoria. Mentre, infatti, al comportamento desistente consegue la </w:t>
      </w:r>
      <w:r w:rsidRPr="00D72BCA">
        <w:rPr>
          <w:rFonts w:eastAsia="Times New Roman"/>
          <w:b/>
          <w:sz w:val="20"/>
          <w:szCs w:val="20"/>
        </w:rPr>
        <w:t>non punibilità</w:t>
      </w:r>
      <w:r w:rsidRPr="00C11E46">
        <w:rPr>
          <w:rFonts w:eastAsia="Times New Roman"/>
          <w:sz w:val="20"/>
          <w:szCs w:val="20"/>
        </w:rPr>
        <w:t xml:space="preserve"> del soggetto, il volontario impedimento dell’evento criminoso comporta l’</w:t>
      </w:r>
      <w:r w:rsidRPr="00D72BCA">
        <w:rPr>
          <w:rFonts w:eastAsia="Times New Roman"/>
          <w:b/>
          <w:sz w:val="20"/>
          <w:szCs w:val="20"/>
        </w:rPr>
        <w:t>attenuazione della pena</w:t>
      </w:r>
      <w:r w:rsidRPr="00C11E46">
        <w:rPr>
          <w:rFonts w:eastAsia="Times New Roman"/>
          <w:sz w:val="20"/>
          <w:szCs w:val="20"/>
        </w:rPr>
        <w:t>, circostanza attenuante rispetto al delitto tentato</w:t>
      </w:r>
      <w:r w:rsidR="003A5837">
        <w:rPr>
          <w:rStyle w:val="Rimandonotaapidipagina"/>
          <w:rFonts w:eastAsia="Times New Roman"/>
          <w:sz w:val="20"/>
          <w:szCs w:val="20"/>
        </w:rPr>
        <w:footnoteReference w:id="13"/>
      </w:r>
      <w:r w:rsidRPr="00C11E46">
        <w:rPr>
          <w:rFonts w:eastAsia="Times New Roman"/>
          <w:sz w:val="20"/>
          <w:szCs w:val="20"/>
        </w:rPr>
        <w:t xml:space="preserve">. </w:t>
      </w:r>
    </w:p>
    <w:p w14:paraId="39F9A20F" w14:textId="77777777" w:rsidR="00C11E46" w:rsidRPr="00C11E46" w:rsidRDefault="00C11E46" w:rsidP="00C11E46">
      <w:pPr>
        <w:ind w:firstLine="708"/>
        <w:jc w:val="both"/>
        <w:rPr>
          <w:rFonts w:eastAsia="Times New Roman"/>
          <w:sz w:val="20"/>
          <w:szCs w:val="20"/>
        </w:rPr>
      </w:pPr>
      <w:r w:rsidRPr="00C11E46">
        <w:rPr>
          <w:rFonts w:eastAsia="Times New Roman"/>
          <w:sz w:val="20"/>
          <w:szCs w:val="20"/>
        </w:rPr>
        <w:t xml:space="preserve">Diversamente </w:t>
      </w:r>
      <w:r w:rsidRPr="00C11E46">
        <w:rPr>
          <w:sz w:val="20"/>
          <w:szCs w:val="20"/>
        </w:rPr>
        <w:t xml:space="preserve">l’articolo 16 del Codice Penale spagnolo considera </w:t>
      </w:r>
      <w:r w:rsidRPr="00D72BCA">
        <w:rPr>
          <w:b/>
          <w:sz w:val="20"/>
          <w:szCs w:val="20"/>
        </w:rPr>
        <w:t>esclusivamente la desistenza</w:t>
      </w:r>
      <w:r w:rsidRPr="00C11E46">
        <w:rPr>
          <w:sz w:val="20"/>
          <w:szCs w:val="20"/>
        </w:rPr>
        <w:t xml:space="preserve">, trattandola però, alla stregua della corrispondente norma italiana, come </w:t>
      </w:r>
      <w:r w:rsidRPr="00D72BCA">
        <w:rPr>
          <w:b/>
          <w:sz w:val="20"/>
          <w:szCs w:val="20"/>
        </w:rPr>
        <w:t>causa di esclusione di punibilità</w:t>
      </w:r>
      <w:r w:rsidRPr="00C11E46">
        <w:rPr>
          <w:sz w:val="20"/>
          <w:szCs w:val="20"/>
        </w:rPr>
        <w:t>.</w:t>
      </w:r>
    </w:p>
    <w:p w14:paraId="3A4D8E45" w14:textId="77777777" w:rsidR="00A020C6" w:rsidRDefault="00A020C6" w:rsidP="00C11E46">
      <w:pPr>
        <w:ind w:firstLine="708"/>
        <w:jc w:val="both"/>
        <w:rPr>
          <w:rFonts w:eastAsia="Times New Roman"/>
          <w:sz w:val="20"/>
          <w:szCs w:val="20"/>
        </w:rPr>
      </w:pPr>
    </w:p>
    <w:p w14:paraId="38CAF9E2" w14:textId="5173BFDA" w:rsidR="00C11E46" w:rsidRPr="00C11E46" w:rsidRDefault="00C11E46" w:rsidP="00C11E46">
      <w:pPr>
        <w:ind w:firstLine="708"/>
        <w:jc w:val="both"/>
        <w:rPr>
          <w:rFonts w:eastAsia="Times New Roman"/>
          <w:sz w:val="20"/>
          <w:szCs w:val="20"/>
          <w:shd w:val="clear" w:color="auto" w:fill="FFFFFF"/>
        </w:rPr>
      </w:pPr>
      <w:r w:rsidRPr="00C11E46">
        <w:rPr>
          <w:rFonts w:eastAsia="Times New Roman"/>
          <w:sz w:val="20"/>
          <w:szCs w:val="20"/>
        </w:rPr>
        <w:t xml:space="preserve">In secondo luogo, un tale atteggiamento premiale, che si risolve nella non punibilità, va letto, nell’ambito dell’ordinamento italiano, in relazione all’illecito penale, ed in particolare rispetto alla </w:t>
      </w:r>
      <w:r w:rsidRPr="00D72BCA">
        <w:rPr>
          <w:rFonts w:eastAsia="Times New Roman"/>
          <w:b/>
          <w:sz w:val="20"/>
          <w:szCs w:val="20"/>
        </w:rPr>
        <w:t>carenza di una effettiva offesa</w:t>
      </w:r>
      <w:r w:rsidRPr="00C11E46">
        <w:rPr>
          <w:rFonts w:eastAsia="Times New Roman"/>
          <w:sz w:val="20"/>
          <w:szCs w:val="20"/>
        </w:rPr>
        <w:t xml:space="preserve"> configurabile nella situazione tipica. Ciò alla luce di una valutazione soggettiva di un’assente o comunque minore capacità a delinquere del soggetto, che si traduce in una scarsa probabilità di ricaduta a delinquere, risultando così inutile l’applicazione dello strumento rieducativo della pena</w:t>
      </w:r>
      <w:r w:rsidR="003A5837">
        <w:rPr>
          <w:rStyle w:val="Rimandonotaapidipagina"/>
          <w:rFonts w:eastAsia="Times New Roman"/>
          <w:sz w:val="20"/>
          <w:szCs w:val="20"/>
        </w:rPr>
        <w:footnoteReference w:id="14"/>
      </w:r>
      <w:r w:rsidRPr="00C11E46">
        <w:rPr>
          <w:rFonts w:eastAsia="Times New Roman"/>
          <w:sz w:val="20"/>
          <w:szCs w:val="20"/>
        </w:rPr>
        <w:t xml:space="preserve">. </w:t>
      </w:r>
    </w:p>
    <w:p w14:paraId="5DE1242C" w14:textId="45C0E870" w:rsidR="00C11E46" w:rsidRPr="00C11E46" w:rsidRDefault="00C11E46" w:rsidP="00C11E46">
      <w:pPr>
        <w:pStyle w:val="Paragrafoelenco"/>
        <w:ind w:left="0" w:firstLine="708"/>
        <w:jc w:val="both"/>
        <w:rPr>
          <w:rFonts w:ascii="Times New Roman" w:hAnsi="Times New Roman" w:cs="Times New Roman"/>
          <w:sz w:val="20"/>
          <w:szCs w:val="20"/>
        </w:rPr>
      </w:pPr>
      <w:r w:rsidRPr="00C11E46">
        <w:rPr>
          <w:rFonts w:ascii="Times New Roman" w:eastAsia="Times New Roman" w:hAnsi="Times New Roman" w:cs="Times New Roman"/>
          <w:sz w:val="20"/>
          <w:szCs w:val="20"/>
        </w:rPr>
        <w:t xml:space="preserve">Al contrario l’ordinamento spagnolo </w:t>
      </w:r>
      <w:r w:rsidRPr="00C11E46">
        <w:rPr>
          <w:rFonts w:ascii="Times New Roman" w:hAnsi="Times New Roman" w:cs="Times New Roman"/>
          <w:sz w:val="20"/>
          <w:szCs w:val="20"/>
        </w:rPr>
        <w:t>rifiuta la teoria del premio, negando che la desistenza volontaria costituisca un merito da premiarsi con il perdono o la revoca della punizione. Il motivo della non punibilità del soggetto risiede nel fatto che la desistenza, così come delineata</w:t>
      </w:r>
      <w:r w:rsidR="00D72BCA">
        <w:rPr>
          <w:rFonts w:ascii="Times New Roman" w:hAnsi="Times New Roman" w:cs="Times New Roman"/>
          <w:sz w:val="20"/>
          <w:szCs w:val="20"/>
        </w:rPr>
        <w:t xml:space="preserve"> nel Codice spagnolo, </w:t>
      </w:r>
      <w:r w:rsidR="00D72BCA" w:rsidRPr="00D72BCA">
        <w:rPr>
          <w:rFonts w:ascii="Times New Roman" w:hAnsi="Times New Roman" w:cs="Times New Roman"/>
          <w:b/>
          <w:sz w:val="20"/>
          <w:szCs w:val="20"/>
        </w:rPr>
        <w:t>annulla il tentativo</w:t>
      </w:r>
      <w:r w:rsidR="00D72BCA">
        <w:rPr>
          <w:rFonts w:ascii="Times New Roman" w:hAnsi="Times New Roman" w:cs="Times New Roman"/>
          <w:sz w:val="20"/>
          <w:szCs w:val="20"/>
        </w:rPr>
        <w:t>. Ciò c</w:t>
      </w:r>
      <w:r w:rsidRPr="00C11E46">
        <w:rPr>
          <w:rFonts w:ascii="Times New Roman" w:hAnsi="Times New Roman" w:cs="Times New Roman"/>
          <w:sz w:val="20"/>
          <w:szCs w:val="20"/>
        </w:rPr>
        <w:t>omporta</w:t>
      </w:r>
      <w:r w:rsidR="00D72BCA">
        <w:rPr>
          <w:rFonts w:ascii="Times New Roman" w:hAnsi="Times New Roman" w:cs="Times New Roman"/>
          <w:sz w:val="20"/>
          <w:szCs w:val="20"/>
        </w:rPr>
        <w:t xml:space="preserve"> pertanto</w:t>
      </w:r>
      <w:r w:rsidRPr="00C11E46">
        <w:rPr>
          <w:rFonts w:ascii="Times New Roman" w:hAnsi="Times New Roman" w:cs="Times New Roman"/>
          <w:sz w:val="20"/>
          <w:szCs w:val="20"/>
        </w:rPr>
        <w:t xml:space="preserve"> il venir meno delle ragioni politico criminali della sua punizione. Questo però senza negare l’ingiusto anteriore, ma solo la sua rilevanza penale: da ciò deriva, allora, la mancanza di necessità di pena</w:t>
      </w:r>
      <w:r w:rsidR="003A5837">
        <w:rPr>
          <w:rStyle w:val="Rimandonotaapidipagina"/>
          <w:rFonts w:ascii="Times New Roman" w:hAnsi="Times New Roman" w:cs="Times New Roman"/>
          <w:sz w:val="20"/>
          <w:szCs w:val="20"/>
        </w:rPr>
        <w:footnoteReference w:id="15"/>
      </w:r>
      <w:r w:rsidRPr="00C11E46">
        <w:rPr>
          <w:rFonts w:ascii="Times New Roman" w:hAnsi="Times New Roman" w:cs="Times New Roman"/>
          <w:sz w:val="20"/>
          <w:szCs w:val="20"/>
        </w:rPr>
        <w:t>.</w:t>
      </w:r>
    </w:p>
    <w:p w14:paraId="21359A5B" w14:textId="77777777" w:rsidR="00440714" w:rsidRPr="00C11E46" w:rsidRDefault="00440714" w:rsidP="00C11E46">
      <w:pPr>
        <w:rPr>
          <w:sz w:val="20"/>
          <w:szCs w:val="20"/>
        </w:rPr>
      </w:pPr>
    </w:p>
    <w:sectPr w:rsidR="00440714" w:rsidRPr="00C11E46" w:rsidSect="004F7C6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72D26" w14:textId="77777777" w:rsidR="00C20CF3" w:rsidRDefault="00C20CF3" w:rsidP="00FF6453">
      <w:r>
        <w:separator/>
      </w:r>
    </w:p>
  </w:endnote>
  <w:endnote w:type="continuationSeparator" w:id="0">
    <w:p w14:paraId="48C285F3" w14:textId="77777777" w:rsidR="00C20CF3" w:rsidRDefault="00C20CF3" w:rsidP="00FF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EB7B2" w14:textId="77777777" w:rsidR="00C20CF3" w:rsidRDefault="00C20CF3" w:rsidP="00FF6453">
      <w:r>
        <w:separator/>
      </w:r>
    </w:p>
  </w:footnote>
  <w:footnote w:type="continuationSeparator" w:id="0">
    <w:p w14:paraId="74C8EB1B" w14:textId="77777777" w:rsidR="00C20CF3" w:rsidRDefault="00C20CF3" w:rsidP="00FF6453">
      <w:r>
        <w:continuationSeparator/>
      </w:r>
    </w:p>
  </w:footnote>
  <w:footnote w:id="1">
    <w:p w14:paraId="6E6504D1" w14:textId="3EB8E3FE" w:rsidR="00F57D5E" w:rsidRPr="000C495B" w:rsidRDefault="00F57D5E" w:rsidP="00F57D5E">
      <w:pPr>
        <w:pStyle w:val="Testonotaapidipagina"/>
        <w:rPr>
          <w:sz w:val="16"/>
          <w:szCs w:val="16"/>
        </w:rPr>
      </w:pPr>
      <w:r w:rsidRPr="000C495B">
        <w:rPr>
          <w:rStyle w:val="Rimandonotaapidipagina"/>
          <w:sz w:val="16"/>
          <w:szCs w:val="16"/>
        </w:rPr>
        <w:footnoteRef/>
      </w:r>
      <w:r w:rsidRPr="000C495B">
        <w:rPr>
          <w:sz w:val="16"/>
          <w:szCs w:val="16"/>
        </w:rPr>
        <w:t xml:space="preserve"> Art. 56 Codice Penale italiano</w:t>
      </w:r>
      <w:r w:rsidR="003A5837">
        <w:rPr>
          <w:sz w:val="16"/>
          <w:szCs w:val="16"/>
        </w:rPr>
        <w:t>.</w:t>
      </w:r>
    </w:p>
  </w:footnote>
  <w:footnote w:id="2">
    <w:p w14:paraId="162D66AC" w14:textId="560F49F5" w:rsidR="00FF6453" w:rsidRPr="000C495B" w:rsidRDefault="00FF6453">
      <w:pPr>
        <w:pStyle w:val="Testonotaapidipagina"/>
        <w:rPr>
          <w:sz w:val="16"/>
          <w:szCs w:val="16"/>
        </w:rPr>
      </w:pPr>
      <w:r w:rsidRPr="000C495B">
        <w:rPr>
          <w:rStyle w:val="Rimandonotaapidipagina"/>
          <w:sz w:val="16"/>
          <w:szCs w:val="16"/>
        </w:rPr>
        <w:footnoteRef/>
      </w:r>
      <w:r w:rsidRPr="000C495B">
        <w:rPr>
          <w:sz w:val="16"/>
          <w:szCs w:val="16"/>
        </w:rPr>
        <w:t xml:space="preserve"> </w:t>
      </w:r>
      <w:r w:rsidR="000C495B" w:rsidRPr="000C495B">
        <w:rPr>
          <w:sz w:val="16"/>
          <w:szCs w:val="16"/>
        </w:rPr>
        <w:t>Art. 16 Codice Penale spagnolo</w:t>
      </w:r>
      <w:r w:rsidR="003A5837">
        <w:rPr>
          <w:sz w:val="16"/>
          <w:szCs w:val="16"/>
        </w:rPr>
        <w:t>.</w:t>
      </w:r>
    </w:p>
  </w:footnote>
  <w:footnote w:id="3">
    <w:p w14:paraId="347F02BC" w14:textId="6F21F622"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iandaca</w:t>
      </w:r>
      <w:r w:rsidRPr="003A5837">
        <w:rPr>
          <w:sz w:val="16"/>
          <w:szCs w:val="16"/>
        </w:rPr>
        <w:t xml:space="preserve"> G., M</w:t>
      </w:r>
      <w:r w:rsidRPr="003A5837">
        <w:rPr>
          <w:smallCaps/>
          <w:sz w:val="16"/>
          <w:szCs w:val="16"/>
        </w:rPr>
        <w:t>usco</w:t>
      </w:r>
      <w:r w:rsidRPr="003A5837">
        <w:rPr>
          <w:sz w:val="16"/>
          <w:szCs w:val="16"/>
        </w:rPr>
        <w:t xml:space="preserve"> E., </w:t>
      </w:r>
      <w:r w:rsidRPr="003A5837">
        <w:rPr>
          <w:i/>
          <w:sz w:val="16"/>
          <w:szCs w:val="16"/>
        </w:rPr>
        <w:t>Diritto Penale Parte Generale</w:t>
      </w:r>
      <w:r w:rsidRPr="003A5837">
        <w:rPr>
          <w:sz w:val="16"/>
          <w:szCs w:val="16"/>
        </w:rPr>
        <w:t>, VIII ed., pag. 480.</w:t>
      </w:r>
    </w:p>
  </w:footnote>
  <w:footnote w:id="4">
    <w:p w14:paraId="0436FB00" w14:textId="6872E2B1"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iore C.</w:t>
      </w:r>
      <w:r w:rsidRPr="003A5837">
        <w:rPr>
          <w:sz w:val="16"/>
          <w:szCs w:val="16"/>
        </w:rPr>
        <w:t>, F</w:t>
      </w:r>
      <w:r w:rsidRPr="003A5837">
        <w:rPr>
          <w:smallCaps/>
          <w:sz w:val="16"/>
          <w:szCs w:val="16"/>
        </w:rPr>
        <w:t>iore S.</w:t>
      </w:r>
      <w:r w:rsidRPr="003A5837">
        <w:rPr>
          <w:sz w:val="16"/>
          <w:szCs w:val="16"/>
        </w:rPr>
        <w:t xml:space="preserve">, </w:t>
      </w:r>
      <w:r w:rsidRPr="003A5837">
        <w:rPr>
          <w:i/>
          <w:sz w:val="16"/>
          <w:szCs w:val="16"/>
        </w:rPr>
        <w:t>Diritto Penale Parte Generale</w:t>
      </w:r>
      <w:r w:rsidRPr="003A5837">
        <w:rPr>
          <w:sz w:val="16"/>
          <w:szCs w:val="16"/>
        </w:rPr>
        <w:t>, V ed., pag. 520, 521; F</w:t>
      </w:r>
      <w:r w:rsidRPr="003A5837">
        <w:rPr>
          <w:smallCaps/>
          <w:sz w:val="16"/>
          <w:szCs w:val="16"/>
        </w:rPr>
        <w:t>iandaca G.</w:t>
      </w:r>
      <w:r w:rsidRPr="003A5837">
        <w:rPr>
          <w:sz w:val="16"/>
          <w:szCs w:val="16"/>
        </w:rPr>
        <w:t>, M</w:t>
      </w:r>
      <w:r w:rsidRPr="003A5837">
        <w:rPr>
          <w:smallCaps/>
          <w:sz w:val="16"/>
          <w:szCs w:val="16"/>
        </w:rPr>
        <w:t>usco E.</w:t>
      </w:r>
      <w:r w:rsidRPr="003A5837">
        <w:rPr>
          <w:sz w:val="16"/>
          <w:szCs w:val="16"/>
        </w:rPr>
        <w:t xml:space="preserve">, </w:t>
      </w:r>
      <w:r w:rsidRPr="003A5837">
        <w:rPr>
          <w:i/>
          <w:sz w:val="16"/>
          <w:szCs w:val="16"/>
        </w:rPr>
        <w:t>Diritto Penale Parte Generale</w:t>
      </w:r>
      <w:r w:rsidRPr="003A5837">
        <w:rPr>
          <w:sz w:val="16"/>
          <w:szCs w:val="16"/>
        </w:rPr>
        <w:t>, VIII ed., pag. 477.</w:t>
      </w:r>
    </w:p>
  </w:footnote>
  <w:footnote w:id="5">
    <w:p w14:paraId="038ABD3A" w14:textId="03972B5A"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iore C.</w:t>
      </w:r>
      <w:r w:rsidRPr="003A5837">
        <w:rPr>
          <w:sz w:val="16"/>
          <w:szCs w:val="16"/>
        </w:rPr>
        <w:t>, F</w:t>
      </w:r>
      <w:r w:rsidRPr="003A5837">
        <w:rPr>
          <w:smallCaps/>
          <w:sz w:val="16"/>
          <w:szCs w:val="16"/>
        </w:rPr>
        <w:t>iore S.</w:t>
      </w:r>
      <w:r w:rsidRPr="003A5837">
        <w:rPr>
          <w:sz w:val="16"/>
          <w:szCs w:val="16"/>
        </w:rPr>
        <w:t xml:space="preserve">, </w:t>
      </w:r>
      <w:r w:rsidRPr="003A5837">
        <w:rPr>
          <w:i/>
          <w:sz w:val="16"/>
          <w:szCs w:val="16"/>
        </w:rPr>
        <w:t>Diritto Penale Parte Generale</w:t>
      </w:r>
      <w:r w:rsidRPr="003A5837">
        <w:rPr>
          <w:sz w:val="16"/>
          <w:szCs w:val="16"/>
        </w:rPr>
        <w:t>, V ed., pag. 523; F</w:t>
      </w:r>
      <w:r w:rsidRPr="003A5837">
        <w:rPr>
          <w:smallCaps/>
          <w:sz w:val="16"/>
          <w:szCs w:val="16"/>
        </w:rPr>
        <w:t>iandaca G.</w:t>
      </w:r>
      <w:r w:rsidRPr="003A5837">
        <w:rPr>
          <w:sz w:val="16"/>
          <w:szCs w:val="16"/>
        </w:rPr>
        <w:t>, M</w:t>
      </w:r>
      <w:r w:rsidRPr="003A5837">
        <w:rPr>
          <w:smallCaps/>
          <w:sz w:val="16"/>
          <w:szCs w:val="16"/>
        </w:rPr>
        <w:t>usco E.</w:t>
      </w:r>
      <w:r w:rsidRPr="003A5837">
        <w:rPr>
          <w:sz w:val="16"/>
          <w:szCs w:val="16"/>
        </w:rPr>
        <w:t xml:space="preserve">, </w:t>
      </w:r>
      <w:r w:rsidRPr="003A5837">
        <w:rPr>
          <w:i/>
          <w:sz w:val="16"/>
          <w:szCs w:val="16"/>
        </w:rPr>
        <w:t>Diritto Penale Parte Generale</w:t>
      </w:r>
      <w:r w:rsidRPr="003A5837">
        <w:rPr>
          <w:sz w:val="16"/>
          <w:szCs w:val="16"/>
        </w:rPr>
        <w:t>, VIII ed., pag. 479.</w:t>
      </w:r>
    </w:p>
  </w:footnote>
  <w:footnote w:id="6">
    <w:p w14:paraId="0FAF8E6C" w14:textId="124B1A7F"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proofErr w:type="spellStart"/>
      <w:r w:rsidRPr="003A5837">
        <w:rPr>
          <w:rStyle w:val="Enfasicorsivo"/>
          <w:rFonts w:eastAsia="Times New Roman"/>
          <w:bCs/>
          <w:smallCaps/>
          <w:sz w:val="16"/>
          <w:szCs w:val="16"/>
          <w:shd w:val="clear" w:color="auto" w:fill="FFFFFF"/>
        </w:rPr>
        <w:t>Antón</w:t>
      </w:r>
      <w:proofErr w:type="spellEnd"/>
      <w:r w:rsidRPr="003A5837">
        <w:rPr>
          <w:rFonts w:eastAsia="Times New Roman"/>
          <w:smallCaps/>
          <w:sz w:val="16"/>
          <w:szCs w:val="16"/>
        </w:rPr>
        <w:t xml:space="preserve"> </w:t>
      </w:r>
      <w:proofErr w:type="spellStart"/>
      <w:r w:rsidRPr="003A5837">
        <w:rPr>
          <w:smallCaps/>
          <w:sz w:val="16"/>
          <w:szCs w:val="16"/>
        </w:rPr>
        <w:t>Oneca</w:t>
      </w:r>
      <w:proofErr w:type="spellEnd"/>
      <w:r w:rsidRPr="003A5837">
        <w:rPr>
          <w:smallCaps/>
          <w:sz w:val="16"/>
          <w:szCs w:val="16"/>
        </w:rPr>
        <w:t xml:space="preserve"> A</w:t>
      </w:r>
      <w:r w:rsidRPr="003A5837">
        <w:rPr>
          <w:sz w:val="16"/>
          <w:szCs w:val="16"/>
        </w:rPr>
        <w:t xml:space="preserve">., </w:t>
      </w:r>
      <w:proofErr w:type="spellStart"/>
      <w:r w:rsidRPr="003A5837">
        <w:rPr>
          <w:rStyle w:val="a-size-extra-large"/>
          <w:rFonts w:eastAsia="Times New Roman"/>
          <w:i/>
          <w:sz w:val="16"/>
          <w:szCs w:val="16"/>
        </w:rPr>
        <w:t>Derecho</w:t>
      </w:r>
      <w:proofErr w:type="spellEnd"/>
      <w:r w:rsidRPr="003A5837">
        <w:rPr>
          <w:rStyle w:val="a-size-extra-large"/>
          <w:rFonts w:eastAsia="Times New Roman"/>
          <w:i/>
          <w:sz w:val="16"/>
          <w:szCs w:val="16"/>
        </w:rPr>
        <w:t xml:space="preserve"> </w:t>
      </w:r>
      <w:proofErr w:type="spellStart"/>
      <w:r w:rsidRPr="003A5837">
        <w:rPr>
          <w:rStyle w:val="a-size-extra-large"/>
          <w:rFonts w:eastAsia="Times New Roman"/>
          <w:i/>
          <w:sz w:val="16"/>
          <w:szCs w:val="16"/>
        </w:rPr>
        <w:t>penal</w:t>
      </w:r>
      <w:proofErr w:type="spellEnd"/>
      <w:r w:rsidRPr="003A5837">
        <w:rPr>
          <w:rStyle w:val="a-size-extra-large"/>
          <w:rFonts w:eastAsia="Times New Roman"/>
          <w:i/>
          <w:sz w:val="16"/>
          <w:szCs w:val="16"/>
        </w:rPr>
        <w:t>: parte general</w:t>
      </w:r>
      <w:r w:rsidRPr="003A5837">
        <w:rPr>
          <w:sz w:val="16"/>
          <w:szCs w:val="16"/>
        </w:rPr>
        <w:t xml:space="preserve">, pag.417; </w:t>
      </w:r>
      <w:r w:rsidRPr="003A5837">
        <w:rPr>
          <w:smallCaps/>
          <w:sz w:val="16"/>
          <w:szCs w:val="16"/>
        </w:rPr>
        <w:t xml:space="preserve">Cobo del </w:t>
      </w:r>
      <w:proofErr w:type="spellStart"/>
      <w:r w:rsidRPr="003A5837">
        <w:rPr>
          <w:smallCaps/>
          <w:sz w:val="16"/>
          <w:szCs w:val="16"/>
        </w:rPr>
        <w:t>Rosal</w:t>
      </w:r>
      <w:proofErr w:type="spellEnd"/>
      <w:r w:rsidRPr="003A5837">
        <w:rPr>
          <w:sz w:val="16"/>
          <w:szCs w:val="16"/>
        </w:rPr>
        <w:t xml:space="preserve"> M., </w:t>
      </w:r>
      <w:proofErr w:type="spellStart"/>
      <w:r w:rsidRPr="003A5837">
        <w:rPr>
          <w:smallCaps/>
          <w:sz w:val="16"/>
          <w:szCs w:val="16"/>
        </w:rPr>
        <w:t>Vives</w:t>
      </w:r>
      <w:proofErr w:type="spellEnd"/>
      <w:r w:rsidRPr="003A5837">
        <w:rPr>
          <w:sz w:val="16"/>
          <w:szCs w:val="16"/>
        </w:rPr>
        <w:t xml:space="preserve"> </w:t>
      </w:r>
      <w:r w:rsidRPr="003A5837">
        <w:rPr>
          <w:rStyle w:val="author"/>
          <w:rFonts w:eastAsia="Times New Roman"/>
          <w:sz w:val="16"/>
          <w:szCs w:val="16"/>
        </w:rPr>
        <w:t xml:space="preserve">A., </w:t>
      </w:r>
      <w:proofErr w:type="spellStart"/>
      <w:r w:rsidRPr="003A5837">
        <w:rPr>
          <w:rStyle w:val="a-size-extra-large"/>
          <w:rFonts w:eastAsia="Times New Roman"/>
          <w:i/>
          <w:sz w:val="16"/>
          <w:szCs w:val="16"/>
        </w:rPr>
        <w:t>Derecho</w:t>
      </w:r>
      <w:proofErr w:type="spellEnd"/>
      <w:r w:rsidRPr="003A5837">
        <w:rPr>
          <w:rStyle w:val="a-size-extra-large"/>
          <w:rFonts w:eastAsia="Times New Roman"/>
          <w:i/>
          <w:sz w:val="16"/>
          <w:szCs w:val="16"/>
        </w:rPr>
        <w:t xml:space="preserve"> </w:t>
      </w:r>
      <w:proofErr w:type="spellStart"/>
      <w:r w:rsidRPr="003A5837">
        <w:rPr>
          <w:rStyle w:val="a-size-extra-large"/>
          <w:rFonts w:eastAsia="Times New Roman"/>
          <w:i/>
          <w:sz w:val="16"/>
          <w:szCs w:val="16"/>
        </w:rPr>
        <w:t>penal</w:t>
      </w:r>
      <w:proofErr w:type="spellEnd"/>
      <w:r w:rsidRPr="003A5837">
        <w:rPr>
          <w:rStyle w:val="a-size-extra-large"/>
          <w:rFonts w:eastAsia="Times New Roman"/>
          <w:i/>
          <w:sz w:val="16"/>
          <w:szCs w:val="16"/>
        </w:rPr>
        <w:t>: parte general</w:t>
      </w:r>
      <w:r w:rsidRPr="003A5837">
        <w:rPr>
          <w:rStyle w:val="a-size-extra-large"/>
          <w:rFonts w:eastAsia="Times New Roman"/>
          <w:sz w:val="16"/>
          <w:szCs w:val="16"/>
        </w:rPr>
        <w:t xml:space="preserve">, pag. 639; </w:t>
      </w:r>
      <w:r w:rsidRPr="003A5837">
        <w:rPr>
          <w:rStyle w:val="Enfasicorsivo"/>
          <w:rFonts w:eastAsia="Times New Roman"/>
          <w:bCs/>
          <w:smallCaps/>
          <w:sz w:val="16"/>
          <w:szCs w:val="16"/>
          <w:shd w:val="clear" w:color="auto" w:fill="FFFFFF"/>
        </w:rPr>
        <w:t xml:space="preserve">Rodríguez </w:t>
      </w:r>
      <w:proofErr w:type="spellStart"/>
      <w:r w:rsidRPr="003A5837">
        <w:rPr>
          <w:rStyle w:val="Enfasicorsivo"/>
          <w:rFonts w:eastAsia="Times New Roman"/>
          <w:bCs/>
          <w:smallCaps/>
          <w:sz w:val="16"/>
          <w:szCs w:val="16"/>
          <w:shd w:val="clear" w:color="auto" w:fill="FFFFFF"/>
        </w:rPr>
        <w:t>Mourullo</w:t>
      </w:r>
      <w:proofErr w:type="spellEnd"/>
      <w:r w:rsidRPr="003A5837">
        <w:rPr>
          <w:rStyle w:val="Enfasicorsivo"/>
          <w:rFonts w:eastAsia="Times New Roman"/>
          <w:bCs/>
          <w:sz w:val="16"/>
          <w:szCs w:val="16"/>
          <w:shd w:val="clear" w:color="auto" w:fill="FFFFFF"/>
        </w:rPr>
        <w:t xml:space="preserve"> G., </w:t>
      </w:r>
      <w:proofErr w:type="spellStart"/>
      <w:r w:rsidRPr="003A5837">
        <w:rPr>
          <w:rStyle w:val="Enfasicorsivo"/>
          <w:rFonts w:eastAsia="Times New Roman"/>
          <w:bCs/>
          <w:sz w:val="16"/>
          <w:szCs w:val="16"/>
          <w:shd w:val="clear" w:color="auto" w:fill="FFFFFF"/>
        </w:rPr>
        <w:t>Comentarios</w:t>
      </w:r>
      <w:proofErr w:type="spellEnd"/>
      <w:r w:rsidRPr="003A5837">
        <w:rPr>
          <w:rStyle w:val="Enfasicorsivo"/>
          <w:rFonts w:eastAsia="Times New Roman"/>
          <w:bCs/>
          <w:sz w:val="16"/>
          <w:szCs w:val="16"/>
          <w:shd w:val="clear" w:color="auto" w:fill="FFFFFF"/>
        </w:rPr>
        <w:t>, I, pag. 81.</w:t>
      </w:r>
    </w:p>
  </w:footnote>
  <w:footnote w:id="7">
    <w:p w14:paraId="74BA0B8B" w14:textId="23952F2C"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iore C.</w:t>
      </w:r>
      <w:r w:rsidRPr="003A5837">
        <w:rPr>
          <w:sz w:val="16"/>
          <w:szCs w:val="16"/>
        </w:rPr>
        <w:t>, F</w:t>
      </w:r>
      <w:r w:rsidRPr="003A5837">
        <w:rPr>
          <w:smallCaps/>
          <w:sz w:val="16"/>
          <w:szCs w:val="16"/>
        </w:rPr>
        <w:t>iore S.</w:t>
      </w:r>
      <w:r w:rsidRPr="003A5837">
        <w:rPr>
          <w:sz w:val="16"/>
          <w:szCs w:val="16"/>
        </w:rPr>
        <w:t xml:space="preserve">, </w:t>
      </w:r>
      <w:r w:rsidRPr="003A5837">
        <w:rPr>
          <w:i/>
          <w:sz w:val="16"/>
          <w:szCs w:val="16"/>
        </w:rPr>
        <w:t>Diritto Penale Parte Generale</w:t>
      </w:r>
      <w:r w:rsidRPr="003A5837">
        <w:rPr>
          <w:sz w:val="16"/>
          <w:szCs w:val="16"/>
        </w:rPr>
        <w:t>, V ed., pag. 523; F</w:t>
      </w:r>
      <w:r w:rsidRPr="003A5837">
        <w:rPr>
          <w:smallCaps/>
          <w:sz w:val="16"/>
          <w:szCs w:val="16"/>
        </w:rPr>
        <w:t>iandaca G.</w:t>
      </w:r>
      <w:r w:rsidRPr="003A5837">
        <w:rPr>
          <w:sz w:val="16"/>
          <w:szCs w:val="16"/>
        </w:rPr>
        <w:t>, M</w:t>
      </w:r>
      <w:r w:rsidRPr="003A5837">
        <w:rPr>
          <w:smallCaps/>
          <w:sz w:val="16"/>
          <w:szCs w:val="16"/>
        </w:rPr>
        <w:t>usco E.</w:t>
      </w:r>
      <w:r w:rsidRPr="003A5837">
        <w:rPr>
          <w:sz w:val="16"/>
          <w:szCs w:val="16"/>
        </w:rPr>
        <w:t xml:space="preserve">, </w:t>
      </w:r>
      <w:r w:rsidRPr="003A5837">
        <w:rPr>
          <w:i/>
          <w:sz w:val="16"/>
          <w:szCs w:val="16"/>
        </w:rPr>
        <w:t>Diritto Penale Parte Generale</w:t>
      </w:r>
      <w:r w:rsidRPr="003A5837">
        <w:rPr>
          <w:sz w:val="16"/>
          <w:szCs w:val="16"/>
        </w:rPr>
        <w:t>, VIII ed., pag. 479.</w:t>
      </w:r>
    </w:p>
  </w:footnote>
  <w:footnote w:id="8">
    <w:p w14:paraId="4B022749" w14:textId="64CC86E1"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proofErr w:type="spellStart"/>
      <w:r w:rsidRPr="003A5837">
        <w:rPr>
          <w:smallCaps/>
          <w:sz w:val="16"/>
          <w:szCs w:val="16"/>
        </w:rPr>
        <w:t>Mir</w:t>
      </w:r>
      <w:proofErr w:type="spellEnd"/>
      <w:r w:rsidRPr="003A5837">
        <w:rPr>
          <w:smallCaps/>
          <w:sz w:val="16"/>
          <w:szCs w:val="16"/>
        </w:rPr>
        <w:t xml:space="preserve"> </w:t>
      </w:r>
      <w:proofErr w:type="spellStart"/>
      <w:r w:rsidRPr="003A5837">
        <w:rPr>
          <w:smallCaps/>
          <w:sz w:val="16"/>
          <w:szCs w:val="16"/>
        </w:rPr>
        <w:t>Puig</w:t>
      </w:r>
      <w:proofErr w:type="spellEnd"/>
      <w:r w:rsidRPr="003A5837">
        <w:rPr>
          <w:smallCaps/>
          <w:sz w:val="16"/>
          <w:szCs w:val="16"/>
        </w:rPr>
        <w:t xml:space="preserve"> S</w:t>
      </w:r>
      <w:r w:rsidRPr="003A5837">
        <w:rPr>
          <w:sz w:val="16"/>
          <w:szCs w:val="16"/>
        </w:rPr>
        <w:t xml:space="preserve">., </w:t>
      </w:r>
      <w:proofErr w:type="spellStart"/>
      <w:r w:rsidRPr="003A5837">
        <w:rPr>
          <w:i/>
          <w:sz w:val="16"/>
          <w:szCs w:val="16"/>
        </w:rPr>
        <w:t>Anuario</w:t>
      </w:r>
      <w:proofErr w:type="spellEnd"/>
      <w:r w:rsidRPr="003A5837">
        <w:rPr>
          <w:i/>
          <w:sz w:val="16"/>
          <w:szCs w:val="16"/>
        </w:rPr>
        <w:t xml:space="preserve"> de </w:t>
      </w:r>
      <w:proofErr w:type="spellStart"/>
      <w:r w:rsidRPr="003A5837">
        <w:rPr>
          <w:i/>
          <w:sz w:val="16"/>
          <w:szCs w:val="16"/>
        </w:rPr>
        <w:t>Derecho</w:t>
      </w:r>
      <w:proofErr w:type="spellEnd"/>
      <w:r w:rsidRPr="003A5837">
        <w:rPr>
          <w:i/>
          <w:sz w:val="16"/>
          <w:szCs w:val="16"/>
        </w:rPr>
        <w:t xml:space="preserve"> </w:t>
      </w:r>
      <w:proofErr w:type="spellStart"/>
      <w:r w:rsidRPr="003A5837">
        <w:rPr>
          <w:i/>
          <w:sz w:val="16"/>
          <w:szCs w:val="16"/>
        </w:rPr>
        <w:t>Penal</w:t>
      </w:r>
      <w:proofErr w:type="spellEnd"/>
      <w:r w:rsidRPr="003A5837">
        <w:rPr>
          <w:i/>
          <w:sz w:val="16"/>
          <w:szCs w:val="16"/>
        </w:rPr>
        <w:t xml:space="preserve"> y </w:t>
      </w:r>
      <w:proofErr w:type="spellStart"/>
      <w:r w:rsidRPr="003A5837">
        <w:rPr>
          <w:i/>
          <w:sz w:val="16"/>
          <w:szCs w:val="16"/>
        </w:rPr>
        <w:t>Ciencias</w:t>
      </w:r>
      <w:proofErr w:type="spellEnd"/>
      <w:r w:rsidRPr="003A5837">
        <w:rPr>
          <w:i/>
          <w:sz w:val="16"/>
          <w:szCs w:val="16"/>
        </w:rPr>
        <w:t xml:space="preserve"> </w:t>
      </w:r>
      <w:proofErr w:type="spellStart"/>
      <w:r w:rsidRPr="003A5837">
        <w:rPr>
          <w:i/>
          <w:sz w:val="16"/>
          <w:szCs w:val="16"/>
        </w:rPr>
        <w:t>penales</w:t>
      </w:r>
      <w:proofErr w:type="spellEnd"/>
      <w:r w:rsidRPr="003A5837">
        <w:rPr>
          <w:i/>
          <w:sz w:val="16"/>
          <w:szCs w:val="16"/>
        </w:rPr>
        <w:t xml:space="preserve"> </w:t>
      </w:r>
      <w:r w:rsidRPr="003A5837">
        <w:rPr>
          <w:sz w:val="16"/>
          <w:szCs w:val="16"/>
        </w:rPr>
        <w:t>1974, pag. 464.</w:t>
      </w:r>
    </w:p>
  </w:footnote>
  <w:footnote w:id="9">
    <w:p w14:paraId="48000591" w14:textId="5CA21E77"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iandaca</w:t>
      </w:r>
      <w:r w:rsidRPr="003A5837">
        <w:rPr>
          <w:sz w:val="16"/>
          <w:szCs w:val="16"/>
        </w:rPr>
        <w:t xml:space="preserve"> G., M</w:t>
      </w:r>
      <w:r w:rsidRPr="003A5837">
        <w:rPr>
          <w:smallCaps/>
          <w:sz w:val="16"/>
          <w:szCs w:val="16"/>
        </w:rPr>
        <w:t>usco</w:t>
      </w:r>
      <w:r w:rsidRPr="003A5837">
        <w:rPr>
          <w:sz w:val="16"/>
          <w:szCs w:val="16"/>
        </w:rPr>
        <w:t xml:space="preserve"> E., </w:t>
      </w:r>
      <w:r w:rsidRPr="003A5837">
        <w:rPr>
          <w:i/>
          <w:sz w:val="16"/>
          <w:szCs w:val="16"/>
        </w:rPr>
        <w:t>Diritto Penale Parte Generale</w:t>
      </w:r>
      <w:r w:rsidRPr="003A5837">
        <w:rPr>
          <w:sz w:val="16"/>
          <w:szCs w:val="16"/>
        </w:rPr>
        <w:t>, VIII ed., pag. 484</w:t>
      </w:r>
      <w:r w:rsidRPr="003A5837">
        <w:rPr>
          <w:sz w:val="16"/>
          <w:szCs w:val="16"/>
        </w:rPr>
        <w:t xml:space="preserve">; </w:t>
      </w:r>
      <w:r w:rsidRPr="003A5837">
        <w:rPr>
          <w:sz w:val="16"/>
          <w:szCs w:val="16"/>
        </w:rPr>
        <w:t>P</w:t>
      </w:r>
      <w:r w:rsidRPr="003A5837">
        <w:rPr>
          <w:smallCaps/>
          <w:sz w:val="16"/>
          <w:szCs w:val="16"/>
        </w:rPr>
        <w:t>etrocelli</w:t>
      </w:r>
      <w:r w:rsidRPr="003A5837">
        <w:rPr>
          <w:sz w:val="16"/>
          <w:szCs w:val="16"/>
        </w:rPr>
        <w:t xml:space="preserve"> B., </w:t>
      </w:r>
      <w:r w:rsidRPr="003A5837">
        <w:rPr>
          <w:i/>
          <w:sz w:val="16"/>
          <w:szCs w:val="16"/>
        </w:rPr>
        <w:t>Il delitto tentato</w:t>
      </w:r>
      <w:r w:rsidRPr="003A5837">
        <w:rPr>
          <w:sz w:val="16"/>
          <w:szCs w:val="16"/>
        </w:rPr>
        <w:t>, pag. 132.</w:t>
      </w:r>
    </w:p>
  </w:footnote>
  <w:footnote w:id="10">
    <w:p w14:paraId="7BAA73F4" w14:textId="3ADF1C2F"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mallCaps/>
          <w:sz w:val="16"/>
          <w:szCs w:val="16"/>
        </w:rPr>
        <w:t xml:space="preserve">Rodríguez </w:t>
      </w:r>
      <w:proofErr w:type="spellStart"/>
      <w:r w:rsidRPr="003A5837">
        <w:rPr>
          <w:smallCaps/>
          <w:sz w:val="16"/>
          <w:szCs w:val="16"/>
        </w:rPr>
        <w:t>Mourullo</w:t>
      </w:r>
      <w:proofErr w:type="spellEnd"/>
      <w:r w:rsidRPr="003A5837">
        <w:rPr>
          <w:smallCaps/>
          <w:sz w:val="16"/>
          <w:szCs w:val="16"/>
        </w:rPr>
        <w:t xml:space="preserve"> G.</w:t>
      </w:r>
      <w:r w:rsidRPr="003A5837">
        <w:rPr>
          <w:sz w:val="16"/>
          <w:szCs w:val="16"/>
        </w:rPr>
        <w:t xml:space="preserve">, </w:t>
      </w:r>
      <w:proofErr w:type="spellStart"/>
      <w:r w:rsidRPr="003A5837">
        <w:rPr>
          <w:i/>
          <w:sz w:val="16"/>
          <w:szCs w:val="16"/>
        </w:rPr>
        <w:t>Comentarios</w:t>
      </w:r>
      <w:proofErr w:type="spellEnd"/>
      <w:r w:rsidRPr="003A5837">
        <w:rPr>
          <w:sz w:val="16"/>
          <w:szCs w:val="16"/>
        </w:rPr>
        <w:t xml:space="preserve">, I, pag. 124; </w:t>
      </w:r>
      <w:r w:rsidRPr="003A5837">
        <w:rPr>
          <w:smallCaps/>
          <w:sz w:val="16"/>
          <w:szCs w:val="16"/>
        </w:rPr>
        <w:t xml:space="preserve">Cobo del </w:t>
      </w:r>
      <w:proofErr w:type="spellStart"/>
      <w:r w:rsidRPr="003A5837">
        <w:rPr>
          <w:smallCaps/>
          <w:sz w:val="16"/>
          <w:szCs w:val="16"/>
        </w:rPr>
        <w:t>Rosal</w:t>
      </w:r>
      <w:proofErr w:type="spellEnd"/>
      <w:r w:rsidRPr="003A5837">
        <w:rPr>
          <w:smallCaps/>
          <w:sz w:val="16"/>
          <w:szCs w:val="16"/>
        </w:rPr>
        <w:t xml:space="preserve"> M., </w:t>
      </w:r>
      <w:proofErr w:type="spellStart"/>
      <w:r w:rsidRPr="003A5837">
        <w:rPr>
          <w:smallCaps/>
          <w:sz w:val="16"/>
          <w:szCs w:val="16"/>
        </w:rPr>
        <w:t>Vives</w:t>
      </w:r>
      <w:proofErr w:type="spellEnd"/>
      <w:r w:rsidRPr="003A5837">
        <w:rPr>
          <w:smallCaps/>
          <w:sz w:val="16"/>
          <w:szCs w:val="16"/>
        </w:rPr>
        <w:t xml:space="preserve"> </w:t>
      </w:r>
      <w:r w:rsidRPr="003A5837">
        <w:rPr>
          <w:rStyle w:val="author"/>
          <w:rFonts w:eastAsia="Times New Roman"/>
          <w:smallCaps/>
          <w:sz w:val="16"/>
          <w:szCs w:val="16"/>
        </w:rPr>
        <w:t>A.,</w:t>
      </w:r>
      <w:r w:rsidRPr="003A5837">
        <w:rPr>
          <w:rStyle w:val="author"/>
          <w:rFonts w:eastAsia="Times New Roman"/>
          <w:sz w:val="16"/>
          <w:szCs w:val="16"/>
        </w:rPr>
        <w:t xml:space="preserve"> </w:t>
      </w:r>
      <w:proofErr w:type="spellStart"/>
      <w:r w:rsidRPr="003A5837">
        <w:rPr>
          <w:rStyle w:val="a-size-extra-large"/>
          <w:rFonts w:eastAsia="Times New Roman"/>
          <w:i/>
          <w:sz w:val="16"/>
          <w:szCs w:val="16"/>
        </w:rPr>
        <w:t>Derecho</w:t>
      </w:r>
      <w:proofErr w:type="spellEnd"/>
      <w:r w:rsidRPr="003A5837">
        <w:rPr>
          <w:rStyle w:val="a-size-extra-large"/>
          <w:rFonts w:eastAsia="Times New Roman"/>
          <w:i/>
          <w:sz w:val="16"/>
          <w:szCs w:val="16"/>
        </w:rPr>
        <w:t xml:space="preserve"> </w:t>
      </w:r>
      <w:proofErr w:type="spellStart"/>
      <w:r w:rsidRPr="003A5837">
        <w:rPr>
          <w:rStyle w:val="a-size-extra-large"/>
          <w:rFonts w:eastAsia="Times New Roman"/>
          <w:i/>
          <w:sz w:val="16"/>
          <w:szCs w:val="16"/>
        </w:rPr>
        <w:t>penal</w:t>
      </w:r>
      <w:proofErr w:type="spellEnd"/>
      <w:r w:rsidRPr="003A5837">
        <w:rPr>
          <w:rStyle w:val="a-size-extra-large"/>
          <w:rFonts w:eastAsia="Times New Roman"/>
          <w:i/>
          <w:sz w:val="16"/>
          <w:szCs w:val="16"/>
        </w:rPr>
        <w:t>: parte general</w:t>
      </w:r>
      <w:r w:rsidRPr="003A5837">
        <w:rPr>
          <w:rStyle w:val="a-size-extra-large"/>
          <w:rFonts w:eastAsia="Times New Roman"/>
          <w:sz w:val="16"/>
          <w:szCs w:val="16"/>
        </w:rPr>
        <w:t>, pag.</w:t>
      </w:r>
      <w:r w:rsidRPr="003A5837">
        <w:rPr>
          <w:sz w:val="16"/>
          <w:szCs w:val="16"/>
        </w:rPr>
        <w:t xml:space="preserve"> 655; </w:t>
      </w:r>
      <w:proofErr w:type="spellStart"/>
      <w:r w:rsidRPr="003A5837">
        <w:rPr>
          <w:smallCaps/>
          <w:sz w:val="16"/>
          <w:szCs w:val="16"/>
        </w:rPr>
        <w:t>Farré</w:t>
      </w:r>
      <w:proofErr w:type="spellEnd"/>
      <w:r w:rsidRPr="003A5837">
        <w:rPr>
          <w:smallCaps/>
          <w:sz w:val="16"/>
          <w:szCs w:val="16"/>
        </w:rPr>
        <w:t xml:space="preserve"> E</w:t>
      </w:r>
      <w:r w:rsidRPr="003A5837">
        <w:rPr>
          <w:sz w:val="16"/>
          <w:szCs w:val="16"/>
        </w:rPr>
        <w:t xml:space="preserve">., </w:t>
      </w:r>
      <w:proofErr w:type="spellStart"/>
      <w:r w:rsidRPr="003A5837">
        <w:rPr>
          <w:i/>
          <w:sz w:val="16"/>
          <w:szCs w:val="16"/>
        </w:rPr>
        <w:t>Anuario</w:t>
      </w:r>
      <w:proofErr w:type="spellEnd"/>
      <w:r w:rsidRPr="003A5837">
        <w:rPr>
          <w:i/>
          <w:sz w:val="16"/>
          <w:szCs w:val="16"/>
        </w:rPr>
        <w:t xml:space="preserve"> de </w:t>
      </w:r>
      <w:proofErr w:type="spellStart"/>
      <w:r w:rsidRPr="003A5837">
        <w:rPr>
          <w:i/>
          <w:sz w:val="16"/>
          <w:szCs w:val="16"/>
        </w:rPr>
        <w:t>Derecho</w:t>
      </w:r>
      <w:proofErr w:type="spellEnd"/>
      <w:r w:rsidRPr="003A5837">
        <w:rPr>
          <w:i/>
          <w:sz w:val="16"/>
          <w:szCs w:val="16"/>
        </w:rPr>
        <w:t xml:space="preserve"> </w:t>
      </w:r>
      <w:proofErr w:type="spellStart"/>
      <w:r w:rsidRPr="003A5837">
        <w:rPr>
          <w:i/>
          <w:sz w:val="16"/>
          <w:szCs w:val="16"/>
        </w:rPr>
        <w:t>Penal</w:t>
      </w:r>
      <w:proofErr w:type="spellEnd"/>
      <w:r w:rsidRPr="003A5837">
        <w:rPr>
          <w:i/>
          <w:sz w:val="16"/>
          <w:szCs w:val="16"/>
        </w:rPr>
        <w:t xml:space="preserve"> y </w:t>
      </w:r>
      <w:proofErr w:type="spellStart"/>
      <w:r w:rsidRPr="003A5837">
        <w:rPr>
          <w:i/>
          <w:sz w:val="16"/>
          <w:szCs w:val="16"/>
        </w:rPr>
        <w:t>Ciencias</w:t>
      </w:r>
      <w:proofErr w:type="spellEnd"/>
      <w:r w:rsidRPr="003A5837">
        <w:rPr>
          <w:i/>
          <w:sz w:val="16"/>
          <w:szCs w:val="16"/>
        </w:rPr>
        <w:t xml:space="preserve"> </w:t>
      </w:r>
      <w:proofErr w:type="spellStart"/>
      <w:r w:rsidRPr="003A5837">
        <w:rPr>
          <w:i/>
          <w:sz w:val="16"/>
          <w:szCs w:val="16"/>
        </w:rPr>
        <w:t>penales</w:t>
      </w:r>
      <w:proofErr w:type="spellEnd"/>
      <w:r w:rsidRPr="003A5837">
        <w:rPr>
          <w:sz w:val="16"/>
          <w:szCs w:val="16"/>
        </w:rPr>
        <w:t xml:space="preserve"> 1986, pag. 263; </w:t>
      </w:r>
      <w:r w:rsidRPr="003A5837">
        <w:rPr>
          <w:smallCaps/>
          <w:sz w:val="16"/>
          <w:szCs w:val="16"/>
        </w:rPr>
        <w:t>Id.</w:t>
      </w:r>
      <w:r w:rsidRPr="003A5837">
        <w:rPr>
          <w:sz w:val="16"/>
          <w:szCs w:val="16"/>
        </w:rPr>
        <w:t xml:space="preserve">, </w:t>
      </w:r>
      <w:r w:rsidRPr="003A5837">
        <w:rPr>
          <w:i/>
          <w:sz w:val="16"/>
          <w:szCs w:val="16"/>
        </w:rPr>
        <w:t xml:space="preserve">La </w:t>
      </w:r>
      <w:proofErr w:type="spellStart"/>
      <w:r w:rsidRPr="003A5837">
        <w:rPr>
          <w:i/>
          <w:sz w:val="16"/>
          <w:szCs w:val="16"/>
        </w:rPr>
        <w:t>tentativa</w:t>
      </w:r>
      <w:proofErr w:type="spellEnd"/>
      <w:r w:rsidRPr="003A5837">
        <w:rPr>
          <w:sz w:val="16"/>
          <w:szCs w:val="16"/>
        </w:rPr>
        <w:t>, pag. 77.</w:t>
      </w:r>
    </w:p>
  </w:footnote>
  <w:footnote w:id="11">
    <w:p w14:paraId="76A79972" w14:textId="6F0EEF34"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 xml:space="preserve">Cfr. ad es., </w:t>
      </w:r>
      <w:proofErr w:type="spellStart"/>
      <w:r w:rsidRPr="003A5837">
        <w:rPr>
          <w:sz w:val="16"/>
          <w:szCs w:val="16"/>
        </w:rPr>
        <w:t>Cass</w:t>
      </w:r>
      <w:proofErr w:type="spellEnd"/>
      <w:r w:rsidRPr="003A5837">
        <w:rPr>
          <w:sz w:val="16"/>
          <w:szCs w:val="16"/>
        </w:rPr>
        <w:t xml:space="preserve">., 11 maggio 1992, in </w:t>
      </w:r>
      <w:proofErr w:type="spellStart"/>
      <w:r w:rsidRPr="003A5837">
        <w:rPr>
          <w:i/>
          <w:sz w:val="16"/>
          <w:szCs w:val="16"/>
        </w:rPr>
        <w:t>Cass</w:t>
      </w:r>
      <w:proofErr w:type="spellEnd"/>
      <w:r w:rsidRPr="003A5837">
        <w:rPr>
          <w:i/>
          <w:sz w:val="16"/>
          <w:szCs w:val="16"/>
        </w:rPr>
        <w:t xml:space="preserve">. </w:t>
      </w:r>
      <w:proofErr w:type="spellStart"/>
      <w:r w:rsidRPr="003A5837">
        <w:rPr>
          <w:i/>
          <w:sz w:val="16"/>
          <w:szCs w:val="16"/>
        </w:rPr>
        <w:t>pen</w:t>
      </w:r>
      <w:proofErr w:type="spellEnd"/>
      <w:r w:rsidRPr="003A5837">
        <w:rPr>
          <w:i/>
          <w:sz w:val="16"/>
          <w:szCs w:val="16"/>
        </w:rPr>
        <w:t>.</w:t>
      </w:r>
      <w:r w:rsidRPr="003A5837">
        <w:rPr>
          <w:sz w:val="16"/>
          <w:szCs w:val="16"/>
        </w:rPr>
        <w:t>, 1993, 2263.</w:t>
      </w:r>
    </w:p>
  </w:footnote>
  <w:footnote w:id="12">
    <w:p w14:paraId="0387067B" w14:textId="2D3F656E"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iandaca G.</w:t>
      </w:r>
      <w:r w:rsidRPr="003A5837">
        <w:rPr>
          <w:sz w:val="16"/>
          <w:szCs w:val="16"/>
        </w:rPr>
        <w:t>, M</w:t>
      </w:r>
      <w:r w:rsidRPr="003A5837">
        <w:rPr>
          <w:smallCaps/>
          <w:sz w:val="16"/>
          <w:szCs w:val="16"/>
        </w:rPr>
        <w:t>usco E.</w:t>
      </w:r>
      <w:r w:rsidRPr="003A5837">
        <w:rPr>
          <w:sz w:val="16"/>
          <w:szCs w:val="16"/>
        </w:rPr>
        <w:t xml:space="preserve">, </w:t>
      </w:r>
      <w:r w:rsidRPr="003A5837">
        <w:rPr>
          <w:i/>
          <w:sz w:val="16"/>
          <w:szCs w:val="16"/>
        </w:rPr>
        <w:t>Diritto Penale Parte Generale</w:t>
      </w:r>
      <w:r w:rsidRPr="003A5837">
        <w:rPr>
          <w:sz w:val="16"/>
          <w:szCs w:val="16"/>
        </w:rPr>
        <w:t>, VIII ed., pag. 494.</w:t>
      </w:r>
    </w:p>
  </w:footnote>
  <w:footnote w:id="13">
    <w:p w14:paraId="745AC057" w14:textId="72E6331F"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F</w:t>
      </w:r>
      <w:r w:rsidRPr="003A5837">
        <w:rPr>
          <w:smallCaps/>
          <w:sz w:val="16"/>
          <w:szCs w:val="16"/>
        </w:rPr>
        <w:t>iore C.</w:t>
      </w:r>
      <w:r w:rsidRPr="003A5837">
        <w:rPr>
          <w:sz w:val="16"/>
          <w:szCs w:val="16"/>
        </w:rPr>
        <w:t>, F</w:t>
      </w:r>
      <w:r w:rsidRPr="003A5837">
        <w:rPr>
          <w:smallCaps/>
          <w:sz w:val="16"/>
          <w:szCs w:val="16"/>
        </w:rPr>
        <w:t>iore S.</w:t>
      </w:r>
      <w:r w:rsidRPr="003A5837">
        <w:rPr>
          <w:sz w:val="16"/>
          <w:szCs w:val="16"/>
        </w:rPr>
        <w:t xml:space="preserve">, </w:t>
      </w:r>
      <w:r w:rsidRPr="003A5837">
        <w:rPr>
          <w:i/>
          <w:sz w:val="16"/>
          <w:szCs w:val="16"/>
        </w:rPr>
        <w:t>Diritto Penale Parte Generale</w:t>
      </w:r>
      <w:r w:rsidRPr="003A5837">
        <w:rPr>
          <w:sz w:val="16"/>
          <w:szCs w:val="16"/>
        </w:rPr>
        <w:t>, V ed., pag. 545</w:t>
      </w:r>
      <w:r w:rsidRPr="003A5837">
        <w:rPr>
          <w:sz w:val="16"/>
          <w:szCs w:val="16"/>
        </w:rPr>
        <w:t xml:space="preserve">; </w:t>
      </w:r>
      <w:proofErr w:type="spellStart"/>
      <w:r w:rsidRPr="003A5837">
        <w:rPr>
          <w:smallCaps/>
          <w:sz w:val="16"/>
          <w:szCs w:val="16"/>
        </w:rPr>
        <w:t>Latagliata</w:t>
      </w:r>
      <w:proofErr w:type="spellEnd"/>
      <w:r w:rsidRPr="003A5837">
        <w:rPr>
          <w:sz w:val="16"/>
          <w:szCs w:val="16"/>
        </w:rPr>
        <w:t xml:space="preserve"> A.R., </w:t>
      </w:r>
      <w:r w:rsidRPr="003A5837">
        <w:rPr>
          <w:i/>
          <w:sz w:val="16"/>
          <w:szCs w:val="16"/>
        </w:rPr>
        <w:t>La</w:t>
      </w:r>
      <w:r w:rsidRPr="003A5837">
        <w:rPr>
          <w:sz w:val="16"/>
          <w:szCs w:val="16"/>
        </w:rPr>
        <w:t xml:space="preserve"> </w:t>
      </w:r>
      <w:r w:rsidRPr="003A5837">
        <w:rPr>
          <w:i/>
          <w:sz w:val="16"/>
          <w:szCs w:val="16"/>
        </w:rPr>
        <w:t>desistenza volontaria</w:t>
      </w:r>
      <w:r w:rsidRPr="003A5837">
        <w:rPr>
          <w:sz w:val="16"/>
          <w:szCs w:val="16"/>
        </w:rPr>
        <w:t>, Napoli, 1963, pag. 97.</w:t>
      </w:r>
    </w:p>
  </w:footnote>
  <w:footnote w:id="14">
    <w:p w14:paraId="6093ECAE" w14:textId="3E3E3859"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r w:rsidRPr="003A5837">
        <w:rPr>
          <w:sz w:val="16"/>
          <w:szCs w:val="16"/>
        </w:rPr>
        <w:t>C</w:t>
      </w:r>
      <w:r w:rsidRPr="003A5837">
        <w:rPr>
          <w:smallCaps/>
          <w:sz w:val="16"/>
          <w:szCs w:val="16"/>
        </w:rPr>
        <w:t>arrara</w:t>
      </w:r>
      <w:r w:rsidRPr="003A5837">
        <w:rPr>
          <w:sz w:val="16"/>
          <w:szCs w:val="16"/>
        </w:rPr>
        <w:t xml:space="preserve"> F., </w:t>
      </w:r>
      <w:r w:rsidRPr="003A5837">
        <w:rPr>
          <w:i/>
          <w:sz w:val="16"/>
          <w:szCs w:val="16"/>
        </w:rPr>
        <w:t>Programma del Corso di diritto criminale</w:t>
      </w:r>
      <w:r w:rsidRPr="003A5837">
        <w:rPr>
          <w:sz w:val="16"/>
          <w:szCs w:val="16"/>
        </w:rPr>
        <w:t>.</w:t>
      </w:r>
    </w:p>
  </w:footnote>
  <w:footnote w:id="15">
    <w:p w14:paraId="14A1E01D" w14:textId="7422FA82" w:rsidR="003A5837" w:rsidRPr="003A5837" w:rsidRDefault="003A5837">
      <w:pPr>
        <w:pStyle w:val="Testonotaapidipagina"/>
        <w:rPr>
          <w:sz w:val="16"/>
          <w:szCs w:val="16"/>
        </w:rPr>
      </w:pPr>
      <w:r w:rsidRPr="003A5837">
        <w:rPr>
          <w:rStyle w:val="Rimandonotaapidipagina"/>
          <w:sz w:val="16"/>
          <w:szCs w:val="16"/>
        </w:rPr>
        <w:footnoteRef/>
      </w:r>
      <w:r w:rsidRPr="003A5837">
        <w:rPr>
          <w:sz w:val="16"/>
          <w:szCs w:val="16"/>
        </w:rPr>
        <w:t xml:space="preserve"> </w:t>
      </w:r>
      <w:proofErr w:type="spellStart"/>
      <w:r w:rsidRPr="003A5837">
        <w:rPr>
          <w:smallCaps/>
          <w:sz w:val="16"/>
          <w:szCs w:val="16"/>
        </w:rPr>
        <w:t>Muñoz</w:t>
      </w:r>
      <w:proofErr w:type="spellEnd"/>
      <w:r w:rsidRPr="003A5837">
        <w:rPr>
          <w:smallCaps/>
          <w:sz w:val="16"/>
          <w:szCs w:val="16"/>
        </w:rPr>
        <w:t xml:space="preserve"> </w:t>
      </w:r>
      <w:proofErr w:type="spellStart"/>
      <w:r w:rsidRPr="003A5837">
        <w:rPr>
          <w:smallCaps/>
          <w:sz w:val="16"/>
          <w:szCs w:val="16"/>
        </w:rPr>
        <w:t>Conde</w:t>
      </w:r>
      <w:proofErr w:type="spellEnd"/>
      <w:r w:rsidRPr="003A5837">
        <w:rPr>
          <w:smallCaps/>
          <w:sz w:val="16"/>
          <w:szCs w:val="16"/>
        </w:rPr>
        <w:t xml:space="preserve"> F</w:t>
      </w:r>
      <w:r w:rsidRPr="003A5837">
        <w:rPr>
          <w:sz w:val="16"/>
          <w:szCs w:val="16"/>
        </w:rPr>
        <w:t xml:space="preserve">., </w:t>
      </w:r>
      <w:proofErr w:type="spellStart"/>
      <w:r w:rsidRPr="003A5837">
        <w:rPr>
          <w:i/>
          <w:sz w:val="16"/>
          <w:szCs w:val="16"/>
        </w:rPr>
        <w:t>Desistimiento</w:t>
      </w:r>
      <w:proofErr w:type="spellEnd"/>
      <w:r w:rsidRPr="003A5837">
        <w:rPr>
          <w:sz w:val="16"/>
          <w:szCs w:val="16"/>
        </w:rPr>
        <w:t>, pag.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46"/>
    <w:rsid w:val="000B7F00"/>
    <w:rsid w:val="000C495B"/>
    <w:rsid w:val="0024124A"/>
    <w:rsid w:val="00343DAF"/>
    <w:rsid w:val="003A5837"/>
    <w:rsid w:val="00440714"/>
    <w:rsid w:val="004B63BB"/>
    <w:rsid w:val="004F7C66"/>
    <w:rsid w:val="00810783"/>
    <w:rsid w:val="00A020C6"/>
    <w:rsid w:val="00A6535C"/>
    <w:rsid w:val="00B13B5D"/>
    <w:rsid w:val="00C11E46"/>
    <w:rsid w:val="00C20CF3"/>
    <w:rsid w:val="00D72BCA"/>
    <w:rsid w:val="00F57D5E"/>
    <w:rsid w:val="00FF6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B6AB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E46"/>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1E46"/>
    <w:pPr>
      <w:ind w:left="720"/>
      <w:contextualSpacing/>
    </w:pPr>
    <w:rPr>
      <w:rFonts w:asciiTheme="minorHAnsi" w:hAnsiTheme="minorHAnsi" w:cstheme="minorBidi"/>
      <w:lang w:eastAsia="en-US"/>
    </w:rPr>
  </w:style>
  <w:style w:type="character" w:styleId="Enfasigrassetto">
    <w:name w:val="Strong"/>
    <w:basedOn w:val="Carpredefinitoparagrafo"/>
    <w:uiPriority w:val="22"/>
    <w:qFormat/>
    <w:rsid w:val="00C11E46"/>
    <w:rPr>
      <w:b/>
      <w:bCs/>
    </w:rPr>
  </w:style>
  <w:style w:type="paragraph" w:customStyle="1" w:styleId="done">
    <w:name w:val="done"/>
    <w:basedOn w:val="Normale"/>
    <w:rsid w:val="00C11E46"/>
    <w:pPr>
      <w:spacing w:before="100" w:beforeAutospacing="1" w:after="100" w:afterAutospacing="1"/>
    </w:pPr>
  </w:style>
  <w:style w:type="paragraph" w:styleId="NormaleWeb">
    <w:name w:val="Normal (Web)"/>
    <w:basedOn w:val="Normale"/>
    <w:uiPriority w:val="99"/>
    <w:unhideWhenUsed/>
    <w:rsid w:val="00C11E46"/>
    <w:pPr>
      <w:spacing w:before="100" w:beforeAutospacing="1" w:after="100" w:afterAutospacing="1"/>
    </w:pPr>
  </w:style>
  <w:style w:type="paragraph" w:styleId="Mappadocumento">
    <w:name w:val="Document Map"/>
    <w:basedOn w:val="Normale"/>
    <w:link w:val="MappadocumentoCarattere"/>
    <w:uiPriority w:val="99"/>
    <w:semiHidden/>
    <w:unhideWhenUsed/>
    <w:rsid w:val="000B7F00"/>
  </w:style>
  <w:style w:type="character" w:customStyle="1" w:styleId="MappadocumentoCarattere">
    <w:name w:val="Mappa documento Carattere"/>
    <w:basedOn w:val="Carpredefinitoparagrafo"/>
    <w:link w:val="Mappadocumento"/>
    <w:uiPriority w:val="99"/>
    <w:semiHidden/>
    <w:rsid w:val="000B7F00"/>
    <w:rPr>
      <w:rFonts w:ascii="Times New Roman" w:hAnsi="Times New Roman" w:cs="Times New Roman"/>
      <w:lang w:eastAsia="it-IT"/>
    </w:rPr>
  </w:style>
  <w:style w:type="paragraph" w:styleId="Testonotaapidipagina">
    <w:name w:val="footnote text"/>
    <w:basedOn w:val="Normale"/>
    <w:link w:val="TestonotaapidipaginaCarattere"/>
    <w:uiPriority w:val="99"/>
    <w:unhideWhenUsed/>
    <w:rsid w:val="00FF6453"/>
  </w:style>
  <w:style w:type="character" w:customStyle="1" w:styleId="TestonotaapidipaginaCarattere">
    <w:name w:val="Testo nota a piè di pagina Carattere"/>
    <w:basedOn w:val="Carpredefinitoparagrafo"/>
    <w:link w:val="Testonotaapidipagina"/>
    <w:uiPriority w:val="99"/>
    <w:rsid w:val="00FF6453"/>
    <w:rPr>
      <w:rFonts w:ascii="Times New Roman" w:hAnsi="Times New Roman" w:cs="Times New Roman"/>
      <w:lang w:eastAsia="it-IT"/>
    </w:rPr>
  </w:style>
  <w:style w:type="character" w:styleId="Rimandonotaapidipagina">
    <w:name w:val="footnote reference"/>
    <w:basedOn w:val="Carpredefinitoparagrafo"/>
    <w:uiPriority w:val="99"/>
    <w:unhideWhenUsed/>
    <w:rsid w:val="00FF6453"/>
    <w:rPr>
      <w:vertAlign w:val="superscript"/>
    </w:rPr>
  </w:style>
  <w:style w:type="character" w:styleId="Enfasicorsivo">
    <w:name w:val="Emphasis"/>
    <w:basedOn w:val="Carpredefinitoparagrafo"/>
    <w:uiPriority w:val="20"/>
    <w:qFormat/>
    <w:rsid w:val="003A5837"/>
    <w:rPr>
      <w:i/>
      <w:iCs/>
    </w:rPr>
  </w:style>
  <w:style w:type="character" w:customStyle="1" w:styleId="author">
    <w:name w:val="author"/>
    <w:basedOn w:val="Carpredefinitoparagrafo"/>
    <w:rsid w:val="003A5837"/>
  </w:style>
  <w:style w:type="character" w:customStyle="1" w:styleId="a-size-extra-large">
    <w:name w:val="a-size-extra-large"/>
    <w:basedOn w:val="Carpredefinitoparagrafo"/>
    <w:rsid w:val="003A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809">
      <w:bodyDiv w:val="1"/>
      <w:marLeft w:val="0"/>
      <w:marRight w:val="0"/>
      <w:marTop w:val="0"/>
      <w:marBottom w:val="0"/>
      <w:divBdr>
        <w:top w:val="none" w:sz="0" w:space="0" w:color="auto"/>
        <w:left w:val="none" w:sz="0" w:space="0" w:color="auto"/>
        <w:bottom w:val="none" w:sz="0" w:space="0" w:color="auto"/>
        <w:right w:val="none" w:sz="0" w:space="0" w:color="auto"/>
      </w:divBdr>
    </w:div>
    <w:div w:id="2094157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1470</Words>
  <Characters>8380</Characters>
  <Application>Microsoft Macintosh Word</Application>
  <DocSecurity>0</DocSecurity>
  <Lines>69</Lines>
  <Paragraphs>19</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Il delitto tentato: una comparazione tra ordinamento italiano e spagnolo</vt:lpstr>
    </vt:vector>
  </TitlesOfParts>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Biondi</dc:creator>
  <cp:keywords/>
  <dc:description/>
  <cp:lastModifiedBy>Marcella Biondi</cp:lastModifiedBy>
  <cp:revision>8</cp:revision>
  <dcterms:created xsi:type="dcterms:W3CDTF">2021-03-19T17:10:00Z</dcterms:created>
  <dcterms:modified xsi:type="dcterms:W3CDTF">2021-03-27T14:22:00Z</dcterms:modified>
</cp:coreProperties>
</file>