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ECDAB" w14:textId="2A0054FD" w:rsidR="000B779A" w:rsidRDefault="000B779A" w:rsidP="00C24B0B">
      <w:pPr>
        <w:contextualSpacing/>
        <w:jc w:val="center"/>
        <w:rPr>
          <w:rFonts w:ascii="Arial" w:hAnsi="Arial" w:cs="Arial"/>
          <w:b/>
          <w:smallCaps/>
          <w:sz w:val="28"/>
          <w:szCs w:val="28"/>
        </w:rPr>
      </w:pPr>
      <w:r>
        <w:rPr>
          <w:rFonts w:ascii="Arial" w:hAnsi="Arial" w:cs="Arial"/>
          <w:b/>
          <w:smallCaps/>
          <w:sz w:val="28"/>
          <w:szCs w:val="28"/>
        </w:rPr>
        <w:t>Marco Stufano</w:t>
      </w:r>
    </w:p>
    <w:p w14:paraId="41511EFF" w14:textId="44136528" w:rsidR="00033634" w:rsidRPr="000B555C" w:rsidRDefault="009A22EC" w:rsidP="000B555C">
      <w:pPr>
        <w:contextualSpacing/>
        <w:jc w:val="both"/>
        <w:rPr>
          <w:rFonts w:ascii="Arial" w:hAnsi="Arial" w:cs="Arial"/>
          <w:b/>
          <w:sz w:val="24"/>
          <w:szCs w:val="24"/>
        </w:rPr>
      </w:pPr>
      <w:r>
        <w:rPr>
          <w:rFonts w:ascii="Arial" w:hAnsi="Arial" w:cs="Arial"/>
          <w:b/>
          <w:sz w:val="24"/>
          <w:szCs w:val="24"/>
        </w:rPr>
        <w:t>Il</w:t>
      </w:r>
      <w:r w:rsidR="00C66D92" w:rsidRPr="000B555C">
        <w:rPr>
          <w:rFonts w:ascii="Arial" w:hAnsi="Arial" w:cs="Arial"/>
          <w:b/>
          <w:sz w:val="24"/>
          <w:szCs w:val="24"/>
        </w:rPr>
        <w:t xml:space="preserve"> con</w:t>
      </w:r>
      <w:r w:rsidR="00CF6458" w:rsidRPr="000B555C">
        <w:rPr>
          <w:rFonts w:ascii="Arial" w:hAnsi="Arial" w:cs="Arial"/>
          <w:b/>
          <w:sz w:val="24"/>
          <w:szCs w:val="24"/>
        </w:rPr>
        <w:t xml:space="preserve">corso esterno in associazione mafiosa: </w:t>
      </w:r>
      <w:r>
        <w:rPr>
          <w:rFonts w:ascii="Arial" w:hAnsi="Arial" w:cs="Arial"/>
          <w:b/>
          <w:sz w:val="24"/>
          <w:szCs w:val="24"/>
        </w:rPr>
        <w:t>l’analisi logic</w:t>
      </w:r>
      <w:r w:rsidR="005F05EA">
        <w:rPr>
          <w:rFonts w:ascii="Arial" w:hAnsi="Arial" w:cs="Arial"/>
          <w:b/>
          <w:sz w:val="24"/>
          <w:szCs w:val="24"/>
        </w:rPr>
        <w:t>o-giuridica</w:t>
      </w:r>
      <w:r>
        <w:rPr>
          <w:rFonts w:ascii="Arial" w:hAnsi="Arial" w:cs="Arial"/>
          <w:b/>
          <w:sz w:val="24"/>
          <w:szCs w:val="24"/>
        </w:rPr>
        <w:t xml:space="preserve"> </w:t>
      </w:r>
      <w:r w:rsidR="007D34CA">
        <w:rPr>
          <w:rFonts w:ascii="Arial" w:hAnsi="Arial" w:cs="Arial"/>
          <w:b/>
          <w:sz w:val="24"/>
          <w:szCs w:val="24"/>
        </w:rPr>
        <w:t xml:space="preserve">del </w:t>
      </w:r>
      <w:r w:rsidR="005F05EA">
        <w:rPr>
          <w:rFonts w:ascii="Arial" w:hAnsi="Arial" w:cs="Arial"/>
          <w:b/>
          <w:sz w:val="24"/>
          <w:szCs w:val="24"/>
        </w:rPr>
        <w:t>fenomeno delittuoso</w:t>
      </w:r>
      <w:r w:rsidR="007D34CA">
        <w:rPr>
          <w:rFonts w:ascii="Arial" w:hAnsi="Arial" w:cs="Arial"/>
          <w:b/>
          <w:sz w:val="24"/>
          <w:szCs w:val="24"/>
        </w:rPr>
        <w:t>,</w:t>
      </w:r>
      <w:r>
        <w:rPr>
          <w:rFonts w:ascii="Arial" w:hAnsi="Arial" w:cs="Arial"/>
          <w:b/>
          <w:sz w:val="24"/>
          <w:szCs w:val="24"/>
        </w:rPr>
        <w:t xml:space="preserve"> </w:t>
      </w:r>
      <w:r w:rsidR="007D34CA">
        <w:rPr>
          <w:rFonts w:ascii="Arial" w:hAnsi="Arial" w:cs="Arial"/>
          <w:b/>
          <w:sz w:val="24"/>
          <w:szCs w:val="24"/>
        </w:rPr>
        <w:t xml:space="preserve">tra forma di manifestazione del reato e </w:t>
      </w:r>
      <w:r w:rsidR="005F05EA">
        <w:rPr>
          <w:rFonts w:ascii="Arial" w:hAnsi="Arial" w:cs="Arial"/>
          <w:b/>
          <w:sz w:val="24"/>
          <w:szCs w:val="24"/>
        </w:rPr>
        <w:t xml:space="preserve">fattispecie autonoma </w:t>
      </w:r>
      <w:r w:rsidR="007D34CA">
        <w:rPr>
          <w:rFonts w:ascii="Arial" w:hAnsi="Arial" w:cs="Arial"/>
          <w:b/>
          <w:sz w:val="24"/>
          <w:szCs w:val="24"/>
        </w:rPr>
        <w:t xml:space="preserve">   </w:t>
      </w:r>
    </w:p>
    <w:p w14:paraId="37006714" w14:textId="384CF1F1" w:rsidR="00ED51D5" w:rsidRDefault="00ED51D5" w:rsidP="00ED51D5">
      <w:pPr>
        <w:jc w:val="both"/>
        <w:rPr>
          <w:b/>
          <w:smallCaps/>
          <w:u w:val="single"/>
        </w:rPr>
      </w:pPr>
    </w:p>
    <w:p w14:paraId="461B751D" w14:textId="09B345DB" w:rsidR="009C6A6F" w:rsidRPr="00EA0160" w:rsidRDefault="009C6A6F" w:rsidP="00EA0160">
      <w:pPr>
        <w:pStyle w:val="Paragrafoelenco"/>
        <w:jc w:val="both"/>
        <w:rPr>
          <w:sz w:val="24"/>
          <w:szCs w:val="24"/>
        </w:rPr>
      </w:pPr>
      <w:r w:rsidRPr="00EA0160">
        <w:rPr>
          <w:sz w:val="24"/>
          <w:szCs w:val="24"/>
        </w:rPr>
        <w:t>SOMMARIO</w:t>
      </w:r>
      <w:bookmarkStart w:id="0" w:name="_Hlk489685455"/>
      <w:r w:rsidRPr="00EA0160">
        <w:rPr>
          <w:sz w:val="24"/>
          <w:szCs w:val="24"/>
        </w:rPr>
        <w:t>: 1. Premessa: il concorso es</w:t>
      </w:r>
      <w:r w:rsidR="00202B23" w:rsidRPr="00EA0160">
        <w:rPr>
          <w:sz w:val="24"/>
          <w:szCs w:val="24"/>
        </w:rPr>
        <w:t>terno in associazione</w:t>
      </w:r>
      <w:r w:rsidR="00A219F2">
        <w:rPr>
          <w:sz w:val="24"/>
          <w:szCs w:val="24"/>
        </w:rPr>
        <w:t xml:space="preserve"> di tipo mafioso </w:t>
      </w:r>
      <w:r w:rsidR="00202B23" w:rsidRPr="00EA0160">
        <w:rPr>
          <w:sz w:val="24"/>
          <w:szCs w:val="24"/>
        </w:rPr>
        <w:t>e</w:t>
      </w:r>
      <w:r w:rsidRPr="00EA0160">
        <w:rPr>
          <w:sz w:val="24"/>
          <w:szCs w:val="24"/>
        </w:rPr>
        <w:t xml:space="preserve"> il limite </w:t>
      </w:r>
      <w:r w:rsidR="00A219F2">
        <w:rPr>
          <w:sz w:val="24"/>
          <w:szCs w:val="24"/>
        </w:rPr>
        <w:t>del</w:t>
      </w:r>
      <w:r w:rsidRPr="00EA0160">
        <w:rPr>
          <w:sz w:val="24"/>
          <w:szCs w:val="24"/>
        </w:rPr>
        <w:t xml:space="preserve"> principio di tipicità </w:t>
      </w:r>
      <w:bookmarkEnd w:id="0"/>
      <w:r w:rsidRPr="00EA0160">
        <w:rPr>
          <w:sz w:val="24"/>
          <w:szCs w:val="24"/>
        </w:rPr>
        <w:t xml:space="preserve">- </w:t>
      </w:r>
      <w:bookmarkStart w:id="1" w:name="_Hlk489685530"/>
      <w:r w:rsidRPr="00EA0160">
        <w:rPr>
          <w:sz w:val="24"/>
          <w:szCs w:val="24"/>
        </w:rPr>
        <w:t xml:space="preserve">2. Un fenomeno a </w:t>
      </w:r>
      <w:r w:rsidR="007562D7" w:rsidRPr="00EA0160">
        <w:rPr>
          <w:sz w:val="24"/>
          <w:szCs w:val="24"/>
        </w:rPr>
        <w:t xml:space="preserve">delineazione progressiva: </w:t>
      </w:r>
      <w:r w:rsidRPr="00EA0160">
        <w:rPr>
          <w:sz w:val="24"/>
          <w:szCs w:val="24"/>
        </w:rPr>
        <w:t>dall’assestamento alla rifinitura giurisprudenziale</w:t>
      </w:r>
      <w:r w:rsidR="00AF6745" w:rsidRPr="00EA0160">
        <w:rPr>
          <w:sz w:val="24"/>
          <w:szCs w:val="24"/>
        </w:rPr>
        <w:t xml:space="preserve"> – </w:t>
      </w:r>
      <w:bookmarkStart w:id="2" w:name="_Hlk489686699"/>
      <w:r w:rsidR="00AF6745" w:rsidRPr="00EA0160">
        <w:rPr>
          <w:sz w:val="24"/>
          <w:szCs w:val="24"/>
        </w:rPr>
        <w:t xml:space="preserve">3. </w:t>
      </w:r>
      <w:r w:rsidR="007562D7" w:rsidRPr="00EA0160">
        <w:rPr>
          <w:bCs/>
          <w:iCs/>
          <w:sz w:val="24"/>
          <w:szCs w:val="24"/>
        </w:rPr>
        <w:t xml:space="preserve">La pronuncia della Corte </w:t>
      </w:r>
      <w:r w:rsidR="009A22EC">
        <w:rPr>
          <w:bCs/>
          <w:iCs/>
          <w:sz w:val="24"/>
          <w:szCs w:val="24"/>
        </w:rPr>
        <w:t>europea dei diritti dell’uomo</w:t>
      </w:r>
      <w:r w:rsidR="007562D7" w:rsidRPr="00EA0160">
        <w:rPr>
          <w:bCs/>
          <w:iCs/>
          <w:sz w:val="24"/>
          <w:szCs w:val="24"/>
        </w:rPr>
        <w:t xml:space="preserve"> e i due volti della illegittimità costituzionale: tra l’inosservanza della legalità convenzionale e la violazione del principio di legalità formale</w:t>
      </w:r>
      <w:r w:rsidR="007562D7" w:rsidRPr="00EA0160">
        <w:rPr>
          <w:sz w:val="24"/>
          <w:szCs w:val="24"/>
        </w:rPr>
        <w:t xml:space="preserve"> </w:t>
      </w:r>
      <w:r w:rsidR="00D1494A" w:rsidRPr="00EA0160">
        <w:rPr>
          <w:sz w:val="24"/>
          <w:szCs w:val="24"/>
        </w:rPr>
        <w:t>– 4</w:t>
      </w:r>
      <w:r w:rsidR="00D1494A" w:rsidRPr="00596BC8">
        <w:rPr>
          <w:sz w:val="24"/>
          <w:szCs w:val="24"/>
        </w:rPr>
        <w:t xml:space="preserve">. </w:t>
      </w:r>
      <w:r w:rsidR="00596BC8" w:rsidRPr="00596BC8">
        <w:rPr>
          <w:sz w:val="24"/>
          <w:szCs w:val="24"/>
        </w:rPr>
        <w:t>La combinazione degli esiti interpretativi: una lettura ragionata</w:t>
      </w:r>
      <w:bookmarkEnd w:id="2"/>
      <w:r w:rsidR="00596BC8">
        <w:rPr>
          <w:sz w:val="24"/>
          <w:szCs w:val="24"/>
        </w:rPr>
        <w:t xml:space="preserve"> </w:t>
      </w:r>
      <w:r w:rsidR="000B555C" w:rsidRPr="00EA0160">
        <w:rPr>
          <w:sz w:val="24"/>
          <w:szCs w:val="24"/>
        </w:rPr>
        <w:t>–</w:t>
      </w:r>
      <w:r w:rsidR="00AF6745" w:rsidRPr="00EA0160">
        <w:rPr>
          <w:sz w:val="24"/>
          <w:szCs w:val="24"/>
        </w:rPr>
        <w:t xml:space="preserve"> </w:t>
      </w:r>
      <w:r w:rsidR="00EA0160" w:rsidRPr="00EA0160">
        <w:rPr>
          <w:sz w:val="24"/>
          <w:szCs w:val="24"/>
        </w:rPr>
        <w:t xml:space="preserve">5. L’analisi critica della fattispecie. </w:t>
      </w:r>
      <w:r w:rsidR="00596BC8">
        <w:rPr>
          <w:sz w:val="24"/>
          <w:szCs w:val="24"/>
        </w:rPr>
        <w:t xml:space="preserve">- </w:t>
      </w:r>
      <w:r w:rsidR="00EA0160" w:rsidRPr="00EA0160">
        <w:rPr>
          <w:sz w:val="24"/>
          <w:szCs w:val="24"/>
        </w:rPr>
        <w:t>6</w:t>
      </w:r>
      <w:r w:rsidR="000B555C" w:rsidRPr="00EA0160">
        <w:rPr>
          <w:sz w:val="24"/>
          <w:szCs w:val="24"/>
        </w:rPr>
        <w:t xml:space="preserve">. </w:t>
      </w:r>
      <w:r w:rsidR="009A22EC">
        <w:rPr>
          <w:sz w:val="24"/>
          <w:szCs w:val="24"/>
        </w:rPr>
        <w:t xml:space="preserve">Conclusioni: l’analisi </w:t>
      </w:r>
      <w:r w:rsidR="00EA0160" w:rsidRPr="00EA0160">
        <w:rPr>
          <w:sz w:val="24"/>
          <w:szCs w:val="24"/>
        </w:rPr>
        <w:t>logica</w:t>
      </w:r>
      <w:r w:rsidR="00EA0160">
        <w:rPr>
          <w:sz w:val="24"/>
          <w:szCs w:val="24"/>
        </w:rPr>
        <w:t>.</w:t>
      </w:r>
    </w:p>
    <w:bookmarkEnd w:id="1"/>
    <w:p w14:paraId="257F3DF6" w14:textId="77777777" w:rsidR="00ED51D5" w:rsidRPr="00ED51D5" w:rsidRDefault="00ED51D5" w:rsidP="00ED51D5">
      <w:pPr>
        <w:jc w:val="both"/>
        <w:rPr>
          <w:b/>
          <w:smallCaps/>
          <w:u w:val="single"/>
        </w:rPr>
      </w:pPr>
    </w:p>
    <w:p w14:paraId="40A00A0A" w14:textId="6F506B2F" w:rsidR="00AC0904" w:rsidRPr="00E47830" w:rsidRDefault="009C6A6F" w:rsidP="00C24B0B">
      <w:pPr>
        <w:contextualSpacing/>
        <w:jc w:val="both"/>
        <w:rPr>
          <w:sz w:val="24"/>
          <w:szCs w:val="24"/>
        </w:rPr>
      </w:pPr>
      <w:r w:rsidRPr="009C6A6F">
        <w:rPr>
          <w:sz w:val="24"/>
          <w:szCs w:val="24"/>
        </w:rPr>
        <w:t>1.</w:t>
      </w:r>
      <w:r w:rsidR="00202B23">
        <w:rPr>
          <w:i/>
          <w:sz w:val="24"/>
          <w:szCs w:val="24"/>
        </w:rPr>
        <w:t xml:space="preserve"> Premessa: </w:t>
      </w:r>
      <w:r w:rsidRPr="009C6A6F">
        <w:rPr>
          <w:i/>
          <w:sz w:val="24"/>
          <w:szCs w:val="24"/>
        </w:rPr>
        <w:t>il concorso es</w:t>
      </w:r>
      <w:r w:rsidR="00202B23">
        <w:rPr>
          <w:i/>
          <w:sz w:val="24"/>
          <w:szCs w:val="24"/>
        </w:rPr>
        <w:t xml:space="preserve">terno in associazione </w:t>
      </w:r>
      <w:r w:rsidR="00A219F2">
        <w:rPr>
          <w:i/>
          <w:sz w:val="24"/>
          <w:szCs w:val="24"/>
        </w:rPr>
        <w:t>di tipo mafioso</w:t>
      </w:r>
      <w:r w:rsidR="00202B23">
        <w:rPr>
          <w:i/>
          <w:sz w:val="24"/>
          <w:szCs w:val="24"/>
        </w:rPr>
        <w:t xml:space="preserve"> e</w:t>
      </w:r>
      <w:r w:rsidRPr="009C6A6F">
        <w:rPr>
          <w:i/>
          <w:sz w:val="24"/>
          <w:szCs w:val="24"/>
        </w:rPr>
        <w:t xml:space="preserve"> il limite </w:t>
      </w:r>
      <w:r w:rsidR="00A219F2">
        <w:rPr>
          <w:i/>
          <w:sz w:val="24"/>
          <w:szCs w:val="24"/>
        </w:rPr>
        <w:t>del</w:t>
      </w:r>
      <w:r w:rsidRPr="009C6A6F">
        <w:rPr>
          <w:i/>
          <w:sz w:val="24"/>
          <w:szCs w:val="24"/>
        </w:rPr>
        <w:t xml:space="preserve"> principio di tipicità</w:t>
      </w:r>
      <w:r>
        <w:rPr>
          <w:i/>
          <w:sz w:val="24"/>
          <w:szCs w:val="24"/>
        </w:rPr>
        <w:t>.</w:t>
      </w:r>
      <w:r w:rsidRPr="009C6A6F">
        <w:rPr>
          <w:sz w:val="24"/>
          <w:szCs w:val="24"/>
        </w:rPr>
        <w:t xml:space="preserve"> </w:t>
      </w:r>
      <w:r w:rsidR="00CF6458" w:rsidRPr="00E47830">
        <w:rPr>
          <w:sz w:val="24"/>
          <w:szCs w:val="24"/>
        </w:rPr>
        <w:t xml:space="preserve">Il </w:t>
      </w:r>
      <w:r w:rsidR="00F93A2D" w:rsidRPr="00E47830">
        <w:rPr>
          <w:sz w:val="24"/>
          <w:szCs w:val="24"/>
        </w:rPr>
        <w:t xml:space="preserve">delitto di associazione </w:t>
      </w:r>
      <w:r w:rsidR="006703FF">
        <w:rPr>
          <w:sz w:val="24"/>
          <w:szCs w:val="24"/>
        </w:rPr>
        <w:t>di tipo mafioso previsto dall’art. 416-bis c.p.</w:t>
      </w:r>
      <w:r w:rsidR="00CF6458" w:rsidRPr="00E47830">
        <w:rPr>
          <w:sz w:val="24"/>
          <w:szCs w:val="24"/>
        </w:rPr>
        <w:t xml:space="preserve"> </w:t>
      </w:r>
      <w:r w:rsidR="00AC0904" w:rsidRPr="00E47830">
        <w:rPr>
          <w:sz w:val="24"/>
          <w:szCs w:val="24"/>
        </w:rPr>
        <w:t>è</w:t>
      </w:r>
      <w:r w:rsidR="00CF6458" w:rsidRPr="00E47830">
        <w:rPr>
          <w:sz w:val="24"/>
          <w:szCs w:val="24"/>
        </w:rPr>
        <w:t xml:space="preserve"> </w:t>
      </w:r>
      <w:r w:rsidR="00737DA6" w:rsidRPr="00E47830">
        <w:rPr>
          <w:sz w:val="24"/>
          <w:szCs w:val="24"/>
        </w:rPr>
        <w:t>un reato necessariamente plurisoggettivo</w:t>
      </w:r>
      <w:r w:rsidR="00CF6458" w:rsidRPr="00E47830">
        <w:rPr>
          <w:sz w:val="24"/>
          <w:szCs w:val="24"/>
        </w:rPr>
        <w:t xml:space="preserve">. </w:t>
      </w:r>
    </w:p>
    <w:p w14:paraId="56ADF780" w14:textId="3DE1010E" w:rsidR="00AC0904" w:rsidRPr="00E47830" w:rsidRDefault="00CF6458" w:rsidP="00C24B0B">
      <w:pPr>
        <w:contextualSpacing/>
        <w:jc w:val="both"/>
        <w:rPr>
          <w:sz w:val="24"/>
          <w:szCs w:val="24"/>
        </w:rPr>
      </w:pPr>
      <w:r w:rsidRPr="00E47830">
        <w:rPr>
          <w:sz w:val="24"/>
          <w:szCs w:val="24"/>
        </w:rPr>
        <w:t>Il codice penale, tradizionalmente incentrato sulla figura dell’autore individuale</w:t>
      </w:r>
      <w:r w:rsidR="00643022" w:rsidRPr="006703FF">
        <w:rPr>
          <w:rStyle w:val="Rimandonotaapidipagina"/>
          <w:sz w:val="22"/>
          <w:szCs w:val="22"/>
        </w:rPr>
        <w:footnoteReference w:id="1"/>
      </w:r>
      <w:r w:rsidRPr="00E47830">
        <w:rPr>
          <w:sz w:val="24"/>
          <w:szCs w:val="24"/>
        </w:rPr>
        <w:t>, prevede ipotesi delittuose</w:t>
      </w:r>
      <w:r w:rsidR="00F93A2D" w:rsidRPr="00E47830">
        <w:rPr>
          <w:sz w:val="24"/>
          <w:szCs w:val="24"/>
        </w:rPr>
        <w:t xml:space="preserve"> la cui configurazione dipende dalla sinergica cooperazione di più persone. </w:t>
      </w:r>
      <w:r w:rsidRPr="00E47830">
        <w:rPr>
          <w:sz w:val="24"/>
          <w:szCs w:val="24"/>
        </w:rPr>
        <w:t xml:space="preserve"> </w:t>
      </w:r>
    </w:p>
    <w:p w14:paraId="6AFCC97B" w14:textId="77777777" w:rsidR="00AC0904" w:rsidRPr="00E47830" w:rsidRDefault="00CF6458" w:rsidP="00C24B0B">
      <w:pPr>
        <w:contextualSpacing/>
        <w:jc w:val="both"/>
        <w:rPr>
          <w:sz w:val="24"/>
          <w:szCs w:val="24"/>
        </w:rPr>
      </w:pPr>
      <w:r w:rsidRPr="00E47830">
        <w:rPr>
          <w:sz w:val="24"/>
          <w:szCs w:val="24"/>
        </w:rPr>
        <w:t xml:space="preserve">La scelta di punire </w:t>
      </w:r>
      <w:r w:rsidR="00F93A2D" w:rsidRPr="00E47830">
        <w:rPr>
          <w:sz w:val="24"/>
          <w:szCs w:val="24"/>
        </w:rPr>
        <w:t>tale combinazione di condotte</w:t>
      </w:r>
      <w:r w:rsidRPr="00E47830">
        <w:rPr>
          <w:sz w:val="24"/>
          <w:szCs w:val="24"/>
        </w:rPr>
        <w:t xml:space="preserve"> spetta al Legislatore. </w:t>
      </w:r>
    </w:p>
    <w:p w14:paraId="7ECA67AB" w14:textId="632021A6" w:rsidR="00AC0904" w:rsidRPr="00E47830" w:rsidRDefault="00CF6458" w:rsidP="00C24B0B">
      <w:pPr>
        <w:contextualSpacing/>
        <w:jc w:val="both"/>
        <w:rPr>
          <w:sz w:val="24"/>
          <w:szCs w:val="24"/>
        </w:rPr>
      </w:pPr>
      <w:r w:rsidRPr="00E47830">
        <w:rPr>
          <w:sz w:val="24"/>
          <w:szCs w:val="24"/>
        </w:rPr>
        <w:t xml:space="preserve">Quest’ultimo è chiamato a muoversi nel solco assiologicamente tracciato dalla Carta </w:t>
      </w:r>
      <w:r w:rsidR="00C66D92">
        <w:rPr>
          <w:sz w:val="24"/>
          <w:szCs w:val="24"/>
        </w:rPr>
        <w:t xml:space="preserve">fondamentale del nostro ordinamento </w:t>
      </w:r>
      <w:r w:rsidRPr="00E47830">
        <w:rPr>
          <w:sz w:val="24"/>
          <w:szCs w:val="24"/>
        </w:rPr>
        <w:t xml:space="preserve">e dai principi </w:t>
      </w:r>
      <w:r w:rsidR="00C66D92">
        <w:rPr>
          <w:sz w:val="24"/>
          <w:szCs w:val="24"/>
        </w:rPr>
        <w:t>sub</w:t>
      </w:r>
      <w:r w:rsidR="00071965">
        <w:rPr>
          <w:sz w:val="24"/>
          <w:szCs w:val="24"/>
        </w:rPr>
        <w:t>-</w:t>
      </w:r>
      <w:bookmarkStart w:id="6" w:name="_GoBack"/>
      <w:bookmarkEnd w:id="6"/>
      <w:r w:rsidR="00C66D92">
        <w:rPr>
          <w:sz w:val="24"/>
          <w:szCs w:val="24"/>
        </w:rPr>
        <w:t>costituzionali di matrice internazionalistica,</w:t>
      </w:r>
      <w:r w:rsidRPr="00E47830">
        <w:rPr>
          <w:sz w:val="24"/>
          <w:szCs w:val="24"/>
        </w:rPr>
        <w:t xml:space="preserve"> </w:t>
      </w:r>
      <w:r w:rsidR="00643022">
        <w:rPr>
          <w:sz w:val="24"/>
          <w:szCs w:val="24"/>
        </w:rPr>
        <w:t>sanciti</w:t>
      </w:r>
      <w:r w:rsidR="00C66D92">
        <w:rPr>
          <w:sz w:val="24"/>
          <w:szCs w:val="24"/>
        </w:rPr>
        <w:t xml:space="preserve"> </w:t>
      </w:r>
      <w:r w:rsidR="006703FF">
        <w:rPr>
          <w:sz w:val="24"/>
          <w:szCs w:val="24"/>
        </w:rPr>
        <w:t>in conformità al disposto di cui all</w:t>
      </w:r>
      <w:r w:rsidR="00AC0904" w:rsidRPr="00E47830">
        <w:rPr>
          <w:sz w:val="24"/>
          <w:szCs w:val="24"/>
        </w:rPr>
        <w:t xml:space="preserve">’art. 117 </w:t>
      </w:r>
      <w:r w:rsidR="006703FF">
        <w:rPr>
          <w:sz w:val="24"/>
          <w:szCs w:val="24"/>
        </w:rPr>
        <w:t>della Carta fondamentale</w:t>
      </w:r>
      <w:r w:rsidR="004658E0" w:rsidRPr="006703FF">
        <w:rPr>
          <w:rStyle w:val="Rimandonotaapidipagina"/>
          <w:sz w:val="22"/>
          <w:szCs w:val="22"/>
        </w:rPr>
        <w:footnoteReference w:id="2"/>
      </w:r>
      <w:r w:rsidR="00AC0904" w:rsidRPr="00E47830">
        <w:rPr>
          <w:sz w:val="24"/>
          <w:szCs w:val="24"/>
        </w:rPr>
        <w:t>.</w:t>
      </w:r>
      <w:r w:rsidRPr="00E47830">
        <w:rPr>
          <w:sz w:val="24"/>
          <w:szCs w:val="24"/>
        </w:rPr>
        <w:t xml:space="preserve"> </w:t>
      </w:r>
    </w:p>
    <w:p w14:paraId="35F81238" w14:textId="3C5ACB19" w:rsidR="00AC0904" w:rsidRPr="00E47830" w:rsidRDefault="00F93A2D" w:rsidP="00C24B0B">
      <w:pPr>
        <w:contextualSpacing/>
        <w:jc w:val="both"/>
        <w:rPr>
          <w:sz w:val="24"/>
          <w:szCs w:val="24"/>
        </w:rPr>
      </w:pPr>
      <w:r w:rsidRPr="00E47830">
        <w:rPr>
          <w:sz w:val="24"/>
          <w:szCs w:val="24"/>
        </w:rPr>
        <w:t>L</w:t>
      </w:r>
      <w:r w:rsidR="00AC0904" w:rsidRPr="00E47830">
        <w:rPr>
          <w:sz w:val="24"/>
          <w:szCs w:val="24"/>
        </w:rPr>
        <w:t xml:space="preserve">a selezione </w:t>
      </w:r>
      <w:r w:rsidRPr="00E47830">
        <w:rPr>
          <w:sz w:val="24"/>
          <w:szCs w:val="24"/>
        </w:rPr>
        <w:t xml:space="preserve">incriminante </w:t>
      </w:r>
      <w:r w:rsidR="00C66D92">
        <w:rPr>
          <w:sz w:val="24"/>
          <w:szCs w:val="24"/>
        </w:rPr>
        <w:t xml:space="preserve">operata dal Legislatore </w:t>
      </w:r>
      <w:r w:rsidR="00AC0904" w:rsidRPr="00E47830">
        <w:rPr>
          <w:sz w:val="24"/>
          <w:szCs w:val="24"/>
        </w:rPr>
        <w:t>conforma ogni fattispecie</w:t>
      </w:r>
      <w:r w:rsidR="007544DB" w:rsidRPr="00E47830">
        <w:rPr>
          <w:sz w:val="24"/>
          <w:szCs w:val="24"/>
        </w:rPr>
        <w:t>,</w:t>
      </w:r>
      <w:r w:rsidR="00AC0904" w:rsidRPr="00E47830">
        <w:rPr>
          <w:sz w:val="24"/>
          <w:szCs w:val="24"/>
        </w:rPr>
        <w:t xml:space="preserve"> conferendo</w:t>
      </w:r>
      <w:r w:rsidR="00737DA6" w:rsidRPr="00E47830">
        <w:rPr>
          <w:sz w:val="24"/>
          <w:szCs w:val="24"/>
        </w:rPr>
        <w:t>,</w:t>
      </w:r>
      <w:r w:rsidR="00AC0904" w:rsidRPr="00E47830">
        <w:rPr>
          <w:sz w:val="24"/>
          <w:szCs w:val="24"/>
        </w:rPr>
        <w:t xml:space="preserve"> </w:t>
      </w:r>
      <w:r w:rsidR="00737DA6" w:rsidRPr="00E47830">
        <w:rPr>
          <w:sz w:val="24"/>
          <w:szCs w:val="24"/>
        </w:rPr>
        <w:t xml:space="preserve">sulla base del rigoroso rispetto del canone sostanziale della tassatività, </w:t>
      </w:r>
      <w:r w:rsidR="00AC0904" w:rsidRPr="00E47830">
        <w:rPr>
          <w:sz w:val="24"/>
          <w:szCs w:val="24"/>
        </w:rPr>
        <w:t xml:space="preserve">il “sigillo normativo” </w:t>
      </w:r>
      <w:r w:rsidR="00737DA6" w:rsidRPr="00E47830">
        <w:rPr>
          <w:sz w:val="24"/>
          <w:szCs w:val="24"/>
        </w:rPr>
        <w:t>imposto</w:t>
      </w:r>
      <w:r w:rsidR="00AC0904" w:rsidRPr="00E47830">
        <w:rPr>
          <w:sz w:val="24"/>
          <w:szCs w:val="24"/>
        </w:rPr>
        <w:t xml:space="preserve"> dal principio </w:t>
      </w:r>
      <w:r w:rsidR="00737DA6" w:rsidRPr="00E47830">
        <w:rPr>
          <w:sz w:val="24"/>
          <w:szCs w:val="24"/>
        </w:rPr>
        <w:t xml:space="preserve">formale </w:t>
      </w:r>
      <w:r w:rsidR="00AC0904" w:rsidRPr="00E47830">
        <w:rPr>
          <w:sz w:val="24"/>
          <w:szCs w:val="24"/>
        </w:rPr>
        <w:t>di tipicità</w:t>
      </w:r>
      <w:r w:rsidR="00DC2504" w:rsidRPr="006703FF">
        <w:rPr>
          <w:rStyle w:val="Rimandonotaapidipagina"/>
          <w:sz w:val="22"/>
          <w:szCs w:val="22"/>
        </w:rPr>
        <w:footnoteReference w:id="3"/>
      </w:r>
      <w:r w:rsidR="00AC0904" w:rsidRPr="00E47830">
        <w:rPr>
          <w:sz w:val="24"/>
          <w:szCs w:val="24"/>
        </w:rPr>
        <w:t>.</w:t>
      </w:r>
    </w:p>
    <w:p w14:paraId="08DFB501" w14:textId="344EE964" w:rsidR="000A79D4" w:rsidRPr="00E47830" w:rsidRDefault="00AC0904" w:rsidP="00C24B0B">
      <w:pPr>
        <w:contextualSpacing/>
        <w:jc w:val="both"/>
        <w:rPr>
          <w:sz w:val="24"/>
          <w:szCs w:val="24"/>
        </w:rPr>
      </w:pPr>
      <w:r w:rsidRPr="00E47830">
        <w:rPr>
          <w:sz w:val="24"/>
          <w:szCs w:val="24"/>
        </w:rPr>
        <w:t xml:space="preserve">Come è noto l’art. 110 c.p. </w:t>
      </w:r>
      <w:r w:rsidR="000A79D4" w:rsidRPr="00E47830">
        <w:rPr>
          <w:sz w:val="24"/>
          <w:szCs w:val="24"/>
        </w:rPr>
        <w:t xml:space="preserve">prevede una forma di manifestazione del reato </w:t>
      </w:r>
      <w:r w:rsidR="00785D09">
        <w:rPr>
          <w:sz w:val="24"/>
          <w:szCs w:val="24"/>
        </w:rPr>
        <w:t>incentrata su un</w:t>
      </w:r>
      <w:r w:rsidR="000A79D4" w:rsidRPr="00E47830">
        <w:rPr>
          <w:sz w:val="24"/>
          <w:szCs w:val="24"/>
        </w:rPr>
        <w:t xml:space="preserve"> modello unitario (e non differenziato) di incriminazione</w:t>
      </w:r>
      <w:r w:rsidR="00A264C8" w:rsidRPr="00A219F2">
        <w:rPr>
          <w:rStyle w:val="Rimandonotaapidipagina"/>
          <w:sz w:val="22"/>
          <w:szCs w:val="22"/>
        </w:rPr>
        <w:footnoteReference w:id="4"/>
      </w:r>
      <w:r w:rsidR="000A79D4" w:rsidRPr="00E47830">
        <w:rPr>
          <w:sz w:val="24"/>
          <w:szCs w:val="24"/>
        </w:rPr>
        <w:t xml:space="preserve">. </w:t>
      </w:r>
    </w:p>
    <w:p w14:paraId="513AEEAF" w14:textId="22C7ED46" w:rsidR="00785D09" w:rsidRDefault="00785D09" w:rsidP="00C24B0B">
      <w:pPr>
        <w:contextualSpacing/>
        <w:jc w:val="both"/>
        <w:rPr>
          <w:sz w:val="24"/>
          <w:szCs w:val="24"/>
        </w:rPr>
      </w:pPr>
      <w:r>
        <w:rPr>
          <w:sz w:val="24"/>
          <w:szCs w:val="24"/>
        </w:rPr>
        <w:lastRenderedPageBreak/>
        <w:t>In tale prospettiva, l’espediente tecnico adoperato è quello della combinazione di norme</w:t>
      </w:r>
      <w:r w:rsidR="00A264C8" w:rsidRPr="006703FF">
        <w:rPr>
          <w:rStyle w:val="Rimandonotaapidipagina"/>
          <w:sz w:val="22"/>
          <w:szCs w:val="22"/>
        </w:rPr>
        <w:footnoteReference w:id="5"/>
      </w:r>
      <w:r w:rsidRPr="006703FF">
        <w:rPr>
          <w:sz w:val="22"/>
          <w:szCs w:val="22"/>
        </w:rPr>
        <w:t>.</w:t>
      </w:r>
      <w:r>
        <w:rPr>
          <w:sz w:val="24"/>
          <w:szCs w:val="24"/>
        </w:rPr>
        <w:t xml:space="preserve"> </w:t>
      </w:r>
    </w:p>
    <w:p w14:paraId="092FA5DB" w14:textId="78C5357F" w:rsidR="00737DA6" w:rsidRPr="00E47830" w:rsidRDefault="00785D09" w:rsidP="00C24B0B">
      <w:pPr>
        <w:contextualSpacing/>
        <w:jc w:val="both"/>
        <w:rPr>
          <w:sz w:val="24"/>
          <w:szCs w:val="24"/>
        </w:rPr>
      </w:pPr>
      <w:r>
        <w:rPr>
          <w:sz w:val="24"/>
          <w:szCs w:val="24"/>
        </w:rPr>
        <w:t>L’istituto</w:t>
      </w:r>
      <w:r w:rsidR="000A79D4" w:rsidRPr="00E47830">
        <w:rPr>
          <w:sz w:val="24"/>
          <w:szCs w:val="24"/>
        </w:rPr>
        <w:t xml:space="preserve">, </w:t>
      </w:r>
      <w:r w:rsidR="00C66D92">
        <w:rPr>
          <w:sz w:val="24"/>
          <w:szCs w:val="24"/>
        </w:rPr>
        <w:t xml:space="preserve">di carattere generale, estende </w:t>
      </w:r>
      <w:r>
        <w:rPr>
          <w:sz w:val="24"/>
          <w:szCs w:val="24"/>
        </w:rPr>
        <w:t>l’ambito applicativo</w:t>
      </w:r>
      <w:r w:rsidR="00C66D92">
        <w:rPr>
          <w:sz w:val="24"/>
          <w:szCs w:val="24"/>
        </w:rPr>
        <w:t xml:space="preserve"> delle fattispecie penali</w:t>
      </w:r>
      <w:r w:rsidR="000A79D4" w:rsidRPr="00E47830">
        <w:rPr>
          <w:sz w:val="24"/>
          <w:szCs w:val="24"/>
        </w:rPr>
        <w:t xml:space="preserve"> nei confronti </w:t>
      </w:r>
      <w:r w:rsidR="00C55968">
        <w:rPr>
          <w:sz w:val="24"/>
          <w:szCs w:val="24"/>
        </w:rPr>
        <w:t>di tutti i concorrenti nel «</w:t>
      </w:r>
      <w:r w:rsidR="000A79D4" w:rsidRPr="00A7245E">
        <w:rPr>
          <w:i/>
          <w:sz w:val="24"/>
          <w:szCs w:val="24"/>
        </w:rPr>
        <w:t>medesimo reato</w:t>
      </w:r>
      <w:r w:rsidR="00C55968">
        <w:rPr>
          <w:sz w:val="24"/>
          <w:szCs w:val="24"/>
        </w:rPr>
        <w:t>»</w:t>
      </w:r>
      <w:r w:rsidR="00140343" w:rsidRPr="006703FF">
        <w:rPr>
          <w:rStyle w:val="Rimandonotaapidipagina"/>
          <w:sz w:val="22"/>
          <w:szCs w:val="22"/>
        </w:rPr>
        <w:footnoteReference w:id="6"/>
      </w:r>
      <w:r w:rsidR="000A79D4" w:rsidRPr="00E47830">
        <w:rPr>
          <w:sz w:val="24"/>
          <w:szCs w:val="24"/>
        </w:rPr>
        <w:t xml:space="preserve">. </w:t>
      </w:r>
    </w:p>
    <w:p w14:paraId="63A39B5A" w14:textId="77777777" w:rsidR="00785D09" w:rsidRDefault="00785D09" w:rsidP="00C24B0B">
      <w:pPr>
        <w:contextualSpacing/>
        <w:jc w:val="both"/>
        <w:rPr>
          <w:sz w:val="24"/>
          <w:szCs w:val="24"/>
        </w:rPr>
      </w:pPr>
      <w:r>
        <w:rPr>
          <w:sz w:val="24"/>
          <w:szCs w:val="24"/>
        </w:rPr>
        <w:t xml:space="preserve">Nonostante il chiaro stampo istituzionale, la premessa illustrata svolge un ruolo nevralgico per il prosieguo della presente disamina. </w:t>
      </w:r>
    </w:p>
    <w:p w14:paraId="364444D9" w14:textId="285C89D1" w:rsidR="00785D09" w:rsidRDefault="00785D09" w:rsidP="00C24B0B">
      <w:pPr>
        <w:contextualSpacing/>
        <w:jc w:val="both"/>
        <w:rPr>
          <w:sz w:val="24"/>
          <w:szCs w:val="24"/>
        </w:rPr>
      </w:pPr>
      <w:r>
        <w:rPr>
          <w:sz w:val="24"/>
          <w:szCs w:val="24"/>
        </w:rPr>
        <w:t xml:space="preserve">Essa, infatti costituisce un indefettibile presupposto argomentativo </w:t>
      </w:r>
      <w:r w:rsidR="00FB4112">
        <w:rPr>
          <w:sz w:val="24"/>
          <w:szCs w:val="24"/>
        </w:rPr>
        <w:t>dal quale muovere se si vuole vagliare l’</w:t>
      </w:r>
      <w:r>
        <w:rPr>
          <w:sz w:val="24"/>
          <w:szCs w:val="24"/>
        </w:rPr>
        <w:t>ammissibilità</w:t>
      </w:r>
      <w:r w:rsidR="00FB4112">
        <w:rPr>
          <w:sz w:val="24"/>
          <w:szCs w:val="24"/>
        </w:rPr>
        <w:t xml:space="preserve"> (invero ormai pacifica)</w:t>
      </w:r>
      <w:r>
        <w:rPr>
          <w:sz w:val="24"/>
          <w:szCs w:val="24"/>
        </w:rPr>
        <w:t xml:space="preserve"> della figura concorsuale </w:t>
      </w:r>
      <w:r w:rsidR="00FB4112">
        <w:rPr>
          <w:sz w:val="24"/>
          <w:szCs w:val="24"/>
        </w:rPr>
        <w:t>del concorso esterno in associazione mafiosa, ma, soprattutto, la complessiva tenuta dei principi penalistici</w:t>
      </w:r>
      <w:r>
        <w:rPr>
          <w:sz w:val="24"/>
          <w:szCs w:val="24"/>
        </w:rPr>
        <w:t xml:space="preserve">. </w:t>
      </w:r>
    </w:p>
    <w:p w14:paraId="03FA88C5" w14:textId="672B5E82" w:rsidR="000A79D4" w:rsidRPr="00E47830" w:rsidRDefault="00FB4112" w:rsidP="00C24B0B">
      <w:pPr>
        <w:contextualSpacing/>
        <w:jc w:val="both"/>
        <w:rPr>
          <w:sz w:val="24"/>
          <w:szCs w:val="24"/>
        </w:rPr>
      </w:pPr>
      <w:r>
        <w:rPr>
          <w:sz w:val="24"/>
          <w:szCs w:val="24"/>
        </w:rPr>
        <w:t>I</w:t>
      </w:r>
      <w:r w:rsidR="00C66D92">
        <w:rPr>
          <w:sz w:val="24"/>
          <w:szCs w:val="24"/>
        </w:rPr>
        <w:t>n quest’ottica</w:t>
      </w:r>
      <w:r w:rsidR="00785D09">
        <w:rPr>
          <w:sz w:val="24"/>
          <w:szCs w:val="24"/>
        </w:rPr>
        <w:t xml:space="preserve"> ricostruttiva</w:t>
      </w:r>
      <w:r w:rsidR="00C66D92">
        <w:rPr>
          <w:sz w:val="24"/>
          <w:szCs w:val="24"/>
        </w:rPr>
        <w:t xml:space="preserve">, </w:t>
      </w:r>
      <w:r>
        <w:rPr>
          <w:sz w:val="24"/>
          <w:szCs w:val="24"/>
        </w:rPr>
        <w:t xml:space="preserve">dunque, </w:t>
      </w:r>
      <w:r w:rsidR="00C66D92">
        <w:rPr>
          <w:sz w:val="24"/>
          <w:szCs w:val="24"/>
        </w:rPr>
        <w:t>la funzione estensiva sancita</w:t>
      </w:r>
      <w:r w:rsidR="000A79D4" w:rsidRPr="00E47830">
        <w:rPr>
          <w:sz w:val="24"/>
          <w:szCs w:val="24"/>
        </w:rPr>
        <w:t xml:space="preserve"> dall’art. 110 c.p. deve necessariamente coniugarsi con un canone </w:t>
      </w:r>
      <w:r w:rsidR="00737DA6" w:rsidRPr="00E47830">
        <w:rPr>
          <w:sz w:val="24"/>
          <w:szCs w:val="24"/>
        </w:rPr>
        <w:t xml:space="preserve">già menzionato e </w:t>
      </w:r>
      <w:r w:rsidR="000A79D4" w:rsidRPr="00E47830">
        <w:rPr>
          <w:sz w:val="24"/>
          <w:szCs w:val="24"/>
        </w:rPr>
        <w:t xml:space="preserve">che sembra muovere in senso opposto: il principio di tipicità. </w:t>
      </w:r>
    </w:p>
    <w:p w14:paraId="3D5DA89C" w14:textId="369C2F86" w:rsidR="00737DA6" w:rsidRPr="00E47830" w:rsidRDefault="000A79D4" w:rsidP="00C24B0B">
      <w:pPr>
        <w:contextualSpacing/>
        <w:jc w:val="both"/>
        <w:rPr>
          <w:sz w:val="24"/>
          <w:szCs w:val="24"/>
        </w:rPr>
      </w:pPr>
      <w:r w:rsidRPr="00E47830">
        <w:rPr>
          <w:sz w:val="24"/>
          <w:szCs w:val="24"/>
        </w:rPr>
        <w:t>In tal senso si apprezzano gli sforzi dottrinali</w:t>
      </w:r>
      <w:r w:rsidR="00A13938" w:rsidRPr="00C55968">
        <w:rPr>
          <w:rStyle w:val="Rimandonotaapidipagina"/>
          <w:sz w:val="22"/>
          <w:szCs w:val="22"/>
        </w:rPr>
        <w:footnoteReference w:id="7"/>
      </w:r>
      <w:r w:rsidRPr="00E47830">
        <w:rPr>
          <w:sz w:val="24"/>
          <w:szCs w:val="24"/>
        </w:rPr>
        <w:t xml:space="preserve"> </w:t>
      </w:r>
      <w:r w:rsidR="00824B2C" w:rsidRPr="00E47830">
        <w:rPr>
          <w:sz w:val="24"/>
          <w:szCs w:val="24"/>
        </w:rPr>
        <w:t xml:space="preserve">che </w:t>
      </w:r>
      <w:r w:rsidR="00FB4112">
        <w:rPr>
          <w:sz w:val="24"/>
          <w:szCs w:val="24"/>
        </w:rPr>
        <w:t>qualificano</w:t>
      </w:r>
      <w:r w:rsidRPr="00E47830">
        <w:rPr>
          <w:sz w:val="24"/>
          <w:szCs w:val="24"/>
        </w:rPr>
        <w:t xml:space="preserve"> dogmaticamente </w:t>
      </w:r>
      <w:r w:rsidR="00FB4112">
        <w:rPr>
          <w:sz w:val="24"/>
          <w:szCs w:val="24"/>
        </w:rPr>
        <w:t>l’istituto secondo un’</w:t>
      </w:r>
      <w:r w:rsidR="00824B2C" w:rsidRPr="00E47830">
        <w:rPr>
          <w:sz w:val="24"/>
          <w:szCs w:val="24"/>
        </w:rPr>
        <w:t xml:space="preserve">impostazione </w:t>
      </w:r>
      <w:r w:rsidR="00FB4112">
        <w:rPr>
          <w:sz w:val="24"/>
          <w:szCs w:val="24"/>
        </w:rPr>
        <w:t>intesa a</w:t>
      </w:r>
      <w:r w:rsidR="00824B2C" w:rsidRPr="00E47830">
        <w:rPr>
          <w:sz w:val="24"/>
          <w:szCs w:val="24"/>
        </w:rPr>
        <w:t xml:space="preserve"> non </w:t>
      </w:r>
      <w:r w:rsidR="00FB4112">
        <w:rPr>
          <w:sz w:val="24"/>
          <w:szCs w:val="24"/>
        </w:rPr>
        <w:t>snaturarne</w:t>
      </w:r>
      <w:r w:rsidR="00824B2C" w:rsidRPr="00E47830">
        <w:rPr>
          <w:sz w:val="24"/>
          <w:szCs w:val="24"/>
        </w:rPr>
        <w:t xml:space="preserve"> la portata applicativa.</w:t>
      </w:r>
      <w:r w:rsidR="005B5BB0" w:rsidRPr="00E47830">
        <w:rPr>
          <w:sz w:val="24"/>
          <w:szCs w:val="24"/>
        </w:rPr>
        <w:t xml:space="preserve"> </w:t>
      </w:r>
    </w:p>
    <w:p w14:paraId="4D1A479B" w14:textId="05A2E912" w:rsidR="00737DA6" w:rsidRPr="00E47830" w:rsidRDefault="005B5BB0" w:rsidP="00C24B0B">
      <w:pPr>
        <w:contextualSpacing/>
        <w:jc w:val="both"/>
        <w:rPr>
          <w:sz w:val="24"/>
          <w:szCs w:val="24"/>
        </w:rPr>
      </w:pPr>
      <w:r w:rsidRPr="00E47830">
        <w:rPr>
          <w:sz w:val="24"/>
          <w:szCs w:val="24"/>
        </w:rPr>
        <w:lastRenderedPageBreak/>
        <w:t>La teoria della fattispecie plurisoggettiva eventuale</w:t>
      </w:r>
      <w:r w:rsidR="00B73BA1" w:rsidRPr="006703FF">
        <w:rPr>
          <w:rStyle w:val="Rimandonotaapidipagina"/>
          <w:sz w:val="22"/>
          <w:szCs w:val="22"/>
        </w:rPr>
        <w:footnoteReference w:id="8"/>
      </w:r>
      <w:r w:rsidRPr="00E47830">
        <w:rPr>
          <w:sz w:val="24"/>
          <w:szCs w:val="24"/>
        </w:rPr>
        <w:t xml:space="preserve"> consente, dunque, di coniugare la funzione estensiva dell’istituto con i principi di matrice costituzio</w:t>
      </w:r>
      <w:r w:rsidR="00737DA6" w:rsidRPr="00E47830">
        <w:rPr>
          <w:sz w:val="24"/>
          <w:szCs w:val="24"/>
        </w:rPr>
        <w:t>nale</w:t>
      </w:r>
      <w:r w:rsidR="004A54D6">
        <w:rPr>
          <w:sz w:val="24"/>
          <w:szCs w:val="24"/>
        </w:rPr>
        <w:t xml:space="preserve"> (e subcostituzionale)</w:t>
      </w:r>
      <w:r w:rsidR="00737DA6" w:rsidRPr="00E47830">
        <w:rPr>
          <w:sz w:val="24"/>
          <w:szCs w:val="24"/>
        </w:rPr>
        <w:t xml:space="preserve"> che informano il principio di legalità</w:t>
      </w:r>
      <w:r w:rsidR="004A54D6" w:rsidRPr="006703FF">
        <w:rPr>
          <w:rStyle w:val="Rimandonotaapidipagina"/>
          <w:sz w:val="22"/>
          <w:szCs w:val="22"/>
        </w:rPr>
        <w:footnoteReference w:id="9"/>
      </w:r>
      <w:r w:rsidRPr="00E47830">
        <w:rPr>
          <w:sz w:val="24"/>
          <w:szCs w:val="24"/>
        </w:rPr>
        <w:t xml:space="preserve">. </w:t>
      </w:r>
    </w:p>
    <w:p w14:paraId="0439E479" w14:textId="025CB996" w:rsidR="00737DA6" w:rsidRPr="00E47830" w:rsidRDefault="00737DA6" w:rsidP="00C24B0B">
      <w:pPr>
        <w:contextualSpacing/>
        <w:jc w:val="both"/>
        <w:rPr>
          <w:sz w:val="24"/>
          <w:szCs w:val="24"/>
        </w:rPr>
      </w:pPr>
      <w:r w:rsidRPr="00E47830">
        <w:rPr>
          <w:sz w:val="24"/>
          <w:szCs w:val="24"/>
        </w:rPr>
        <w:t>In tale prospettiva, l’</w:t>
      </w:r>
      <w:r w:rsidR="0014360D" w:rsidRPr="00E47830">
        <w:rPr>
          <w:sz w:val="24"/>
          <w:szCs w:val="24"/>
        </w:rPr>
        <w:t xml:space="preserve">espediente utilizzato </w:t>
      </w:r>
      <w:r w:rsidRPr="00E47830">
        <w:rPr>
          <w:sz w:val="24"/>
          <w:szCs w:val="24"/>
        </w:rPr>
        <w:t xml:space="preserve">dalla dottrina </w:t>
      </w:r>
      <w:r w:rsidR="0014360D" w:rsidRPr="00E47830">
        <w:rPr>
          <w:sz w:val="24"/>
          <w:szCs w:val="24"/>
        </w:rPr>
        <w:t xml:space="preserve">è proprio quello </w:t>
      </w:r>
      <w:r w:rsidRPr="00E47830">
        <w:rPr>
          <w:sz w:val="24"/>
          <w:szCs w:val="24"/>
        </w:rPr>
        <w:t>che caratterizza la</w:t>
      </w:r>
      <w:r w:rsidR="0014360D" w:rsidRPr="00E47830">
        <w:rPr>
          <w:sz w:val="24"/>
          <w:szCs w:val="24"/>
        </w:rPr>
        <w:t xml:space="preserve"> tipicità</w:t>
      </w:r>
      <w:r w:rsidRPr="00E47830">
        <w:rPr>
          <w:sz w:val="24"/>
          <w:szCs w:val="24"/>
        </w:rPr>
        <w:t xml:space="preserve"> del fatto</w:t>
      </w:r>
      <w:r w:rsidR="0014360D" w:rsidRPr="00E47830">
        <w:rPr>
          <w:sz w:val="24"/>
          <w:szCs w:val="24"/>
        </w:rPr>
        <w:t xml:space="preserve">: </w:t>
      </w:r>
      <w:r w:rsidR="00182EA8">
        <w:rPr>
          <w:sz w:val="24"/>
          <w:szCs w:val="24"/>
        </w:rPr>
        <w:t>la conformità della fattispecie astratta rispetto alla fattispecie concreta</w:t>
      </w:r>
      <w:r w:rsidR="008B3585" w:rsidRPr="006703FF">
        <w:rPr>
          <w:rStyle w:val="Rimandonotaapidipagina"/>
          <w:sz w:val="22"/>
          <w:szCs w:val="22"/>
        </w:rPr>
        <w:footnoteReference w:id="10"/>
      </w:r>
      <w:r w:rsidR="0014360D" w:rsidRPr="00E47830">
        <w:rPr>
          <w:sz w:val="24"/>
          <w:szCs w:val="24"/>
        </w:rPr>
        <w:t xml:space="preserve">. </w:t>
      </w:r>
    </w:p>
    <w:p w14:paraId="3BFE9D4C" w14:textId="6248EE27" w:rsidR="005B5BB0" w:rsidRPr="00E47830" w:rsidRDefault="00182EA8" w:rsidP="00C24B0B">
      <w:pPr>
        <w:contextualSpacing/>
        <w:jc w:val="both"/>
        <w:rPr>
          <w:sz w:val="24"/>
          <w:szCs w:val="24"/>
        </w:rPr>
      </w:pPr>
      <w:r>
        <w:rPr>
          <w:sz w:val="24"/>
          <w:szCs w:val="24"/>
        </w:rPr>
        <w:t xml:space="preserve">Di conseguenza, il criterio dell’efficienza causale disegna il volto dell’istituto concorsuale: </w:t>
      </w:r>
      <w:r w:rsidR="00FB5B03">
        <w:rPr>
          <w:sz w:val="24"/>
          <w:szCs w:val="24"/>
        </w:rPr>
        <w:t xml:space="preserve">in una logica unitaria, di tipizzazione causale, </w:t>
      </w:r>
      <w:r>
        <w:rPr>
          <w:sz w:val="24"/>
          <w:szCs w:val="24"/>
        </w:rPr>
        <w:t>s</w:t>
      </w:r>
      <w:r w:rsidR="0014360D" w:rsidRPr="00E47830">
        <w:rPr>
          <w:sz w:val="24"/>
          <w:szCs w:val="24"/>
        </w:rPr>
        <w:t xml:space="preserve">e il contributo del correo </w:t>
      </w:r>
      <w:r>
        <w:rPr>
          <w:sz w:val="24"/>
          <w:szCs w:val="24"/>
        </w:rPr>
        <w:t>risulta</w:t>
      </w:r>
      <w:r w:rsidR="0014360D" w:rsidRPr="00E47830">
        <w:rPr>
          <w:sz w:val="24"/>
          <w:szCs w:val="24"/>
        </w:rPr>
        <w:t xml:space="preserve"> eziologicamente efficiente</w:t>
      </w:r>
      <w:r w:rsidR="008A7015" w:rsidRPr="000909E9">
        <w:rPr>
          <w:rStyle w:val="Rimandonotaapidipagina"/>
          <w:sz w:val="22"/>
          <w:szCs w:val="22"/>
        </w:rPr>
        <w:footnoteReference w:id="11"/>
      </w:r>
      <w:r w:rsidR="0014360D" w:rsidRPr="00E47830">
        <w:rPr>
          <w:sz w:val="24"/>
          <w:szCs w:val="24"/>
        </w:rPr>
        <w:t xml:space="preserve"> il concorso può dirsi integrato.   </w:t>
      </w:r>
    </w:p>
    <w:p w14:paraId="31E52DF3" w14:textId="330D63E6" w:rsidR="00D53AB2" w:rsidRPr="00E47830" w:rsidRDefault="005B5BB0" w:rsidP="00C24B0B">
      <w:pPr>
        <w:contextualSpacing/>
        <w:jc w:val="both"/>
        <w:rPr>
          <w:sz w:val="24"/>
          <w:szCs w:val="24"/>
        </w:rPr>
      </w:pPr>
      <w:r w:rsidRPr="00E47830">
        <w:rPr>
          <w:sz w:val="24"/>
          <w:szCs w:val="24"/>
        </w:rPr>
        <w:t>Del resto, sia la giurisprudenza che la dottrina</w:t>
      </w:r>
      <w:r w:rsidR="0014360D" w:rsidRPr="00E47830">
        <w:rPr>
          <w:sz w:val="24"/>
          <w:szCs w:val="24"/>
        </w:rPr>
        <w:t xml:space="preserve"> hanno a lungo profuso i propri</w:t>
      </w:r>
      <w:r w:rsidRPr="00E47830">
        <w:rPr>
          <w:sz w:val="24"/>
          <w:szCs w:val="24"/>
        </w:rPr>
        <w:t xml:space="preserve"> sforzi interpretativi ne</w:t>
      </w:r>
      <w:r w:rsidR="00D53AB2" w:rsidRPr="00E47830">
        <w:rPr>
          <w:sz w:val="24"/>
          <w:szCs w:val="24"/>
        </w:rPr>
        <w:t>ll’intento di cogliere l’ammissibilità di un concorso esterno n</w:t>
      </w:r>
      <w:r w:rsidR="0014360D" w:rsidRPr="00E47830">
        <w:rPr>
          <w:sz w:val="24"/>
          <w:szCs w:val="24"/>
        </w:rPr>
        <w:t>ei reati</w:t>
      </w:r>
      <w:r w:rsidR="00D53AB2" w:rsidRPr="00E47830">
        <w:rPr>
          <w:sz w:val="24"/>
          <w:szCs w:val="24"/>
        </w:rPr>
        <w:t xml:space="preserve"> </w:t>
      </w:r>
      <w:r w:rsidR="00737DA6" w:rsidRPr="00E47830">
        <w:rPr>
          <w:sz w:val="24"/>
          <w:szCs w:val="24"/>
        </w:rPr>
        <w:t>necessariamente plurisoggettivi</w:t>
      </w:r>
      <w:r w:rsidR="00570441" w:rsidRPr="006703FF">
        <w:rPr>
          <w:rStyle w:val="Rimandonotaapidipagina"/>
          <w:sz w:val="22"/>
          <w:szCs w:val="22"/>
        </w:rPr>
        <w:footnoteReference w:id="12"/>
      </w:r>
      <w:r w:rsidR="00D53AB2" w:rsidRPr="00E47830">
        <w:rPr>
          <w:sz w:val="24"/>
          <w:szCs w:val="24"/>
        </w:rPr>
        <w:t xml:space="preserve">. </w:t>
      </w:r>
    </w:p>
    <w:p w14:paraId="402085BD" w14:textId="2110C8BE" w:rsidR="00737DA6" w:rsidRPr="00E47830" w:rsidRDefault="00D53AB2" w:rsidP="00C24B0B">
      <w:pPr>
        <w:contextualSpacing/>
        <w:jc w:val="both"/>
        <w:rPr>
          <w:sz w:val="24"/>
          <w:szCs w:val="24"/>
        </w:rPr>
      </w:pPr>
      <w:r w:rsidRPr="00E47830">
        <w:rPr>
          <w:sz w:val="24"/>
          <w:szCs w:val="24"/>
        </w:rPr>
        <w:t xml:space="preserve">In particolare, la questione si è posta per il </w:t>
      </w:r>
      <w:r w:rsidR="0014360D" w:rsidRPr="00E47830">
        <w:rPr>
          <w:sz w:val="24"/>
          <w:szCs w:val="24"/>
        </w:rPr>
        <w:t>delitto</w:t>
      </w:r>
      <w:r w:rsidRPr="00E47830">
        <w:rPr>
          <w:sz w:val="24"/>
          <w:szCs w:val="24"/>
        </w:rPr>
        <w:t xml:space="preserve"> di associazione </w:t>
      </w:r>
      <w:r w:rsidR="00FB5B03">
        <w:rPr>
          <w:sz w:val="24"/>
          <w:szCs w:val="24"/>
        </w:rPr>
        <w:t>di tipo mafioso</w:t>
      </w:r>
      <w:r w:rsidRPr="00E47830">
        <w:rPr>
          <w:sz w:val="24"/>
          <w:szCs w:val="24"/>
        </w:rPr>
        <w:t xml:space="preserve">. </w:t>
      </w:r>
    </w:p>
    <w:p w14:paraId="3AB781EC" w14:textId="22A00475" w:rsidR="00255BD6" w:rsidRPr="00E47830" w:rsidRDefault="00D53AB2" w:rsidP="00C24B0B">
      <w:pPr>
        <w:contextualSpacing/>
        <w:jc w:val="both"/>
        <w:rPr>
          <w:sz w:val="24"/>
          <w:szCs w:val="24"/>
        </w:rPr>
      </w:pPr>
      <w:r w:rsidRPr="00E47830">
        <w:rPr>
          <w:sz w:val="24"/>
          <w:szCs w:val="24"/>
        </w:rPr>
        <w:t xml:space="preserve">Oltre a punire (nel secondo comma) </w:t>
      </w:r>
      <w:r w:rsidR="00182EA8">
        <w:rPr>
          <w:sz w:val="24"/>
          <w:szCs w:val="24"/>
        </w:rPr>
        <w:t>i comportamenti</w:t>
      </w:r>
      <w:r w:rsidRPr="00E47830">
        <w:rPr>
          <w:sz w:val="24"/>
          <w:szCs w:val="24"/>
        </w:rPr>
        <w:t xml:space="preserve"> che maggiormente esprimono il disvalore delittuoso (promuovere, dirigere, organizzare)</w:t>
      </w:r>
      <w:r w:rsidR="00182EA8">
        <w:rPr>
          <w:sz w:val="24"/>
          <w:szCs w:val="24"/>
        </w:rPr>
        <w:t>,</w:t>
      </w:r>
      <w:r w:rsidRPr="00E47830">
        <w:rPr>
          <w:sz w:val="24"/>
          <w:szCs w:val="24"/>
        </w:rPr>
        <w:t xml:space="preserve"> l’art. 416-bis, comma 1, c.p. </w:t>
      </w:r>
      <w:r w:rsidR="00255BD6" w:rsidRPr="00E47830">
        <w:rPr>
          <w:sz w:val="24"/>
          <w:szCs w:val="24"/>
        </w:rPr>
        <w:t>sanziona penalmente</w:t>
      </w:r>
      <w:r w:rsidRPr="00E47830">
        <w:rPr>
          <w:sz w:val="24"/>
          <w:szCs w:val="24"/>
        </w:rPr>
        <w:t xml:space="preserve"> </w:t>
      </w:r>
      <w:r w:rsidR="00182EA8">
        <w:rPr>
          <w:sz w:val="24"/>
          <w:szCs w:val="24"/>
        </w:rPr>
        <w:t xml:space="preserve">la condotta di </w:t>
      </w:r>
      <w:r w:rsidRPr="00E47830">
        <w:rPr>
          <w:sz w:val="24"/>
          <w:szCs w:val="24"/>
        </w:rPr>
        <w:t xml:space="preserve">chi </w:t>
      </w:r>
      <w:r w:rsidR="00C55968">
        <w:rPr>
          <w:sz w:val="24"/>
          <w:szCs w:val="24"/>
        </w:rPr>
        <w:t>«</w:t>
      </w:r>
      <w:r w:rsidRPr="00CA572F">
        <w:rPr>
          <w:i/>
          <w:sz w:val="24"/>
          <w:szCs w:val="24"/>
        </w:rPr>
        <w:t>fa parte</w:t>
      </w:r>
      <w:r w:rsidR="00C55968">
        <w:rPr>
          <w:sz w:val="24"/>
          <w:szCs w:val="24"/>
        </w:rPr>
        <w:t>»</w:t>
      </w:r>
      <w:r w:rsidRPr="00E47830">
        <w:rPr>
          <w:sz w:val="24"/>
          <w:szCs w:val="24"/>
        </w:rPr>
        <w:t xml:space="preserve"> dell’associazione. </w:t>
      </w:r>
    </w:p>
    <w:p w14:paraId="2D00018B" w14:textId="23EC6E75" w:rsidR="00E47830" w:rsidRDefault="00D53AB2" w:rsidP="00C24B0B">
      <w:pPr>
        <w:contextualSpacing/>
        <w:jc w:val="both"/>
        <w:rPr>
          <w:sz w:val="24"/>
          <w:szCs w:val="24"/>
        </w:rPr>
      </w:pPr>
      <w:r w:rsidRPr="00E47830">
        <w:rPr>
          <w:sz w:val="24"/>
          <w:szCs w:val="24"/>
        </w:rPr>
        <w:t xml:space="preserve">Si tratta di una perimetrazione normativa che distingue la risposta </w:t>
      </w:r>
      <w:r w:rsidR="00255BD6" w:rsidRPr="00E47830">
        <w:rPr>
          <w:sz w:val="24"/>
          <w:szCs w:val="24"/>
        </w:rPr>
        <w:t>sanzionatoria</w:t>
      </w:r>
      <w:r w:rsidRPr="00E47830">
        <w:rPr>
          <w:sz w:val="24"/>
          <w:szCs w:val="24"/>
        </w:rPr>
        <w:t xml:space="preserve"> in base ai ruoli rivestiti dagli associati.</w:t>
      </w:r>
      <w:r w:rsidR="00E93A53" w:rsidRPr="00E47830">
        <w:rPr>
          <w:sz w:val="24"/>
          <w:szCs w:val="24"/>
        </w:rPr>
        <w:t xml:space="preserve"> </w:t>
      </w:r>
    </w:p>
    <w:p w14:paraId="405637F9" w14:textId="77777777" w:rsidR="00CA3BFD" w:rsidRPr="00E47830" w:rsidRDefault="00CA3BFD" w:rsidP="00C24B0B">
      <w:pPr>
        <w:contextualSpacing/>
        <w:jc w:val="both"/>
        <w:rPr>
          <w:sz w:val="24"/>
          <w:szCs w:val="24"/>
        </w:rPr>
      </w:pPr>
    </w:p>
    <w:p w14:paraId="5AB1E70B" w14:textId="6D3E8BF0" w:rsidR="00ED51D5" w:rsidRDefault="00ED51D5" w:rsidP="00ED51D5">
      <w:pPr>
        <w:contextualSpacing/>
        <w:rPr>
          <w:b/>
          <w:smallCaps/>
        </w:rPr>
      </w:pPr>
    </w:p>
    <w:p w14:paraId="50CBF9BA" w14:textId="77777777" w:rsidR="00FB5B03" w:rsidRDefault="00F42F32" w:rsidP="00C24B0B">
      <w:pPr>
        <w:contextualSpacing/>
        <w:jc w:val="both"/>
        <w:rPr>
          <w:sz w:val="24"/>
          <w:szCs w:val="24"/>
        </w:rPr>
      </w:pPr>
      <w:r w:rsidRPr="00F42F32">
        <w:rPr>
          <w:sz w:val="24"/>
          <w:szCs w:val="24"/>
        </w:rPr>
        <w:t>2.</w:t>
      </w:r>
      <w:r w:rsidRPr="00F42F32">
        <w:rPr>
          <w:i/>
          <w:sz w:val="24"/>
          <w:szCs w:val="24"/>
        </w:rPr>
        <w:t xml:space="preserve"> Un fenomeno a delineazione progressiva: dall’assestamento alla rifinitura giurisprudenziale</w:t>
      </w:r>
      <w:r>
        <w:rPr>
          <w:sz w:val="24"/>
          <w:szCs w:val="24"/>
        </w:rPr>
        <w:t>.</w:t>
      </w:r>
      <w:r w:rsidRPr="00F42F32">
        <w:rPr>
          <w:sz w:val="24"/>
          <w:szCs w:val="24"/>
        </w:rPr>
        <w:t xml:space="preserve">  </w:t>
      </w:r>
      <w:r>
        <w:rPr>
          <w:sz w:val="24"/>
          <w:szCs w:val="24"/>
        </w:rPr>
        <w:t xml:space="preserve">      </w:t>
      </w:r>
    </w:p>
    <w:p w14:paraId="7D44FCBF" w14:textId="4D805F11" w:rsidR="00D53AB2" w:rsidRPr="00E47830" w:rsidRDefault="00E93A53" w:rsidP="00C24B0B">
      <w:pPr>
        <w:contextualSpacing/>
        <w:jc w:val="both"/>
        <w:rPr>
          <w:sz w:val="24"/>
          <w:szCs w:val="24"/>
        </w:rPr>
      </w:pPr>
      <w:r w:rsidRPr="00E47830">
        <w:rPr>
          <w:sz w:val="24"/>
          <w:szCs w:val="24"/>
        </w:rPr>
        <w:lastRenderedPageBreak/>
        <w:t>In via di prima approssimazione, risulta opportu</w:t>
      </w:r>
      <w:r w:rsidR="005D3DFC" w:rsidRPr="00E47830">
        <w:rPr>
          <w:sz w:val="24"/>
          <w:szCs w:val="24"/>
        </w:rPr>
        <w:t>no precisare come in dottrina non si ravvisino ostacoli alla legittimità del concorso esterno di tipo morale</w:t>
      </w:r>
      <w:r w:rsidR="00E77984">
        <w:rPr>
          <w:sz w:val="24"/>
          <w:szCs w:val="24"/>
        </w:rPr>
        <w:t>, nella forma dell’istigazione</w:t>
      </w:r>
      <w:r w:rsidR="00D07C3D" w:rsidRPr="005647F2">
        <w:rPr>
          <w:rStyle w:val="Rimandonotaapidipagina"/>
        </w:rPr>
        <w:footnoteReference w:id="13"/>
      </w:r>
      <w:r w:rsidR="005D3DFC" w:rsidRPr="00E47830">
        <w:rPr>
          <w:sz w:val="24"/>
          <w:szCs w:val="24"/>
        </w:rPr>
        <w:t xml:space="preserve">. </w:t>
      </w:r>
    </w:p>
    <w:p w14:paraId="5AA123A5" w14:textId="3288A00A" w:rsidR="00255BD6" w:rsidRPr="00E47830" w:rsidRDefault="005D3DFC" w:rsidP="00C24B0B">
      <w:pPr>
        <w:contextualSpacing/>
        <w:jc w:val="both"/>
        <w:rPr>
          <w:sz w:val="24"/>
          <w:szCs w:val="24"/>
        </w:rPr>
      </w:pPr>
      <w:r w:rsidRPr="00E47830">
        <w:rPr>
          <w:sz w:val="24"/>
          <w:szCs w:val="24"/>
        </w:rPr>
        <w:t xml:space="preserve">Per converso, </w:t>
      </w:r>
      <w:r w:rsidR="00255BD6" w:rsidRPr="00E47830">
        <w:rPr>
          <w:sz w:val="24"/>
          <w:szCs w:val="24"/>
        </w:rPr>
        <w:t xml:space="preserve">l’ammissibilità del concorso </w:t>
      </w:r>
      <w:r w:rsidRPr="00E47830">
        <w:rPr>
          <w:sz w:val="24"/>
          <w:szCs w:val="24"/>
        </w:rPr>
        <w:t xml:space="preserve">(eventuale) </w:t>
      </w:r>
      <w:r w:rsidR="006703FF">
        <w:rPr>
          <w:sz w:val="24"/>
          <w:szCs w:val="24"/>
        </w:rPr>
        <w:t xml:space="preserve">di tipo </w:t>
      </w:r>
      <w:r w:rsidRPr="00E47830">
        <w:rPr>
          <w:sz w:val="24"/>
          <w:szCs w:val="24"/>
        </w:rPr>
        <w:t>materiale nella</w:t>
      </w:r>
      <w:r w:rsidR="00255BD6" w:rsidRPr="00E47830">
        <w:rPr>
          <w:sz w:val="24"/>
          <w:szCs w:val="24"/>
        </w:rPr>
        <w:t xml:space="preserve"> fattispecie </w:t>
      </w:r>
      <w:r w:rsidRPr="00E47830">
        <w:rPr>
          <w:sz w:val="24"/>
          <w:szCs w:val="24"/>
        </w:rPr>
        <w:t>di cui all’art. 416-bis c.p. è stato a lungo contrastato</w:t>
      </w:r>
      <w:r w:rsidR="00255BD6" w:rsidRPr="00E47830">
        <w:rPr>
          <w:sz w:val="24"/>
          <w:szCs w:val="24"/>
        </w:rPr>
        <w:t xml:space="preserve"> da </w:t>
      </w:r>
      <w:r w:rsidR="006703FF">
        <w:rPr>
          <w:sz w:val="24"/>
          <w:szCs w:val="24"/>
        </w:rPr>
        <w:t>quanti</w:t>
      </w:r>
      <w:r w:rsidR="00255BD6" w:rsidRPr="00E47830">
        <w:rPr>
          <w:sz w:val="24"/>
          <w:szCs w:val="24"/>
        </w:rPr>
        <w:t xml:space="preserve"> riconos</w:t>
      </w:r>
      <w:r w:rsidR="006703FF">
        <w:rPr>
          <w:sz w:val="24"/>
          <w:szCs w:val="24"/>
        </w:rPr>
        <w:t>cono</w:t>
      </w:r>
      <w:r w:rsidR="00CA572F">
        <w:rPr>
          <w:sz w:val="24"/>
          <w:szCs w:val="24"/>
        </w:rPr>
        <w:t xml:space="preserve"> nella formulazione normativa</w:t>
      </w:r>
      <w:r w:rsidR="006703FF">
        <w:rPr>
          <w:sz w:val="24"/>
          <w:szCs w:val="24"/>
        </w:rPr>
        <w:t xml:space="preserve"> di cui al </w:t>
      </w:r>
      <w:r w:rsidR="002678D8">
        <w:rPr>
          <w:sz w:val="24"/>
          <w:szCs w:val="24"/>
        </w:rPr>
        <w:t xml:space="preserve">primo </w:t>
      </w:r>
      <w:r w:rsidR="006703FF">
        <w:rPr>
          <w:sz w:val="24"/>
          <w:szCs w:val="24"/>
        </w:rPr>
        <w:t>comma della disposizione</w:t>
      </w:r>
      <w:r w:rsidR="00CA572F">
        <w:rPr>
          <w:sz w:val="24"/>
          <w:szCs w:val="24"/>
        </w:rPr>
        <w:t xml:space="preserve"> un</w:t>
      </w:r>
      <w:r w:rsidR="00255BD6" w:rsidRPr="00E47830">
        <w:rPr>
          <w:sz w:val="24"/>
          <w:szCs w:val="24"/>
        </w:rPr>
        <w:t xml:space="preserve"> valore semantico </w:t>
      </w:r>
      <w:r w:rsidR="00CA572F">
        <w:rPr>
          <w:sz w:val="24"/>
          <w:szCs w:val="24"/>
        </w:rPr>
        <w:t>talmente</w:t>
      </w:r>
      <w:r w:rsidR="00255BD6" w:rsidRPr="00E47830">
        <w:rPr>
          <w:sz w:val="24"/>
          <w:szCs w:val="24"/>
        </w:rPr>
        <w:t xml:space="preserve"> este</w:t>
      </w:r>
      <w:r w:rsidR="00CA572F">
        <w:rPr>
          <w:sz w:val="24"/>
          <w:szCs w:val="24"/>
        </w:rPr>
        <w:t xml:space="preserve">so da integrare un </w:t>
      </w:r>
      <w:r w:rsidR="00255BD6" w:rsidRPr="00E47830">
        <w:rPr>
          <w:sz w:val="24"/>
          <w:szCs w:val="24"/>
        </w:rPr>
        <w:t xml:space="preserve">ostacolo </w:t>
      </w:r>
      <w:r w:rsidR="00CA572F">
        <w:rPr>
          <w:sz w:val="24"/>
          <w:szCs w:val="24"/>
        </w:rPr>
        <w:t xml:space="preserve">ermeneuticamente </w:t>
      </w:r>
      <w:r w:rsidR="00255BD6" w:rsidRPr="00E47830">
        <w:rPr>
          <w:sz w:val="24"/>
          <w:szCs w:val="24"/>
        </w:rPr>
        <w:t>insormontabile.</w:t>
      </w:r>
      <w:r w:rsidR="005E3352" w:rsidRPr="00E47830">
        <w:rPr>
          <w:sz w:val="24"/>
          <w:szCs w:val="24"/>
        </w:rPr>
        <w:t xml:space="preserve"> </w:t>
      </w:r>
    </w:p>
    <w:p w14:paraId="72E15F4F" w14:textId="75A417D5" w:rsidR="00737DA6" w:rsidRPr="00E47830" w:rsidRDefault="00255BD6" w:rsidP="00C24B0B">
      <w:pPr>
        <w:contextualSpacing/>
        <w:jc w:val="both"/>
        <w:rPr>
          <w:sz w:val="24"/>
          <w:szCs w:val="24"/>
        </w:rPr>
      </w:pPr>
      <w:r w:rsidRPr="00E47830">
        <w:rPr>
          <w:sz w:val="24"/>
          <w:szCs w:val="24"/>
        </w:rPr>
        <w:t xml:space="preserve">Secondo questa prospettiva, </w:t>
      </w:r>
      <w:r w:rsidR="00737DA6" w:rsidRPr="00E47830">
        <w:rPr>
          <w:sz w:val="24"/>
          <w:szCs w:val="24"/>
        </w:rPr>
        <w:t xml:space="preserve">il concorso nel reato di associazione mafiosa in nulla si distinguerebbe rispetto </w:t>
      </w:r>
      <w:r w:rsidR="00C55968">
        <w:rPr>
          <w:sz w:val="24"/>
          <w:szCs w:val="24"/>
        </w:rPr>
        <w:t>al «</w:t>
      </w:r>
      <w:r w:rsidR="00736C4F" w:rsidRPr="00E47830">
        <w:rPr>
          <w:i/>
          <w:sz w:val="24"/>
          <w:szCs w:val="24"/>
        </w:rPr>
        <w:t>far parte</w:t>
      </w:r>
      <w:r w:rsidR="00C55968">
        <w:rPr>
          <w:sz w:val="24"/>
          <w:szCs w:val="24"/>
        </w:rPr>
        <w:t>»</w:t>
      </w:r>
      <w:r w:rsidR="00736C4F" w:rsidRPr="00E47830">
        <w:rPr>
          <w:sz w:val="24"/>
          <w:szCs w:val="24"/>
        </w:rPr>
        <w:t xml:space="preserve"> del medesimo sodalizio criminoso.</w:t>
      </w:r>
      <w:r w:rsidR="00E153CD" w:rsidRPr="00E47830">
        <w:rPr>
          <w:sz w:val="24"/>
          <w:szCs w:val="24"/>
        </w:rPr>
        <w:t xml:space="preserve"> </w:t>
      </w:r>
    </w:p>
    <w:p w14:paraId="35428AF6" w14:textId="799A13D9" w:rsidR="00AC4680" w:rsidRDefault="00E153CD" w:rsidP="00C24B0B">
      <w:pPr>
        <w:contextualSpacing/>
        <w:jc w:val="both"/>
        <w:rPr>
          <w:sz w:val="24"/>
          <w:szCs w:val="24"/>
        </w:rPr>
      </w:pPr>
      <w:r w:rsidRPr="00E47830">
        <w:rPr>
          <w:sz w:val="24"/>
          <w:szCs w:val="24"/>
        </w:rPr>
        <w:t xml:space="preserve">Dunque, </w:t>
      </w:r>
      <w:r w:rsidR="000909E9">
        <w:rPr>
          <w:sz w:val="24"/>
          <w:szCs w:val="24"/>
        </w:rPr>
        <w:t>se concorre significa partecipare</w:t>
      </w:r>
      <w:r w:rsidR="000909E9" w:rsidRPr="003A093D">
        <w:rPr>
          <w:rStyle w:val="Rimandonotaapidipagina"/>
          <w:sz w:val="22"/>
          <w:szCs w:val="22"/>
        </w:rPr>
        <w:footnoteReference w:id="14"/>
      </w:r>
      <w:r w:rsidR="000909E9">
        <w:rPr>
          <w:sz w:val="24"/>
          <w:szCs w:val="24"/>
        </w:rPr>
        <w:t xml:space="preserve"> </w:t>
      </w:r>
      <w:r w:rsidRPr="00E47830">
        <w:rPr>
          <w:sz w:val="24"/>
          <w:szCs w:val="24"/>
        </w:rPr>
        <w:t>non potrebbe esserci concorso senza partecipazione, né p</w:t>
      </w:r>
      <w:r w:rsidR="00CA572F">
        <w:rPr>
          <w:sz w:val="24"/>
          <w:szCs w:val="24"/>
        </w:rPr>
        <w:t>artecipazione senza un</w:t>
      </w:r>
      <w:r w:rsidRPr="00E47830">
        <w:rPr>
          <w:sz w:val="24"/>
          <w:szCs w:val="24"/>
        </w:rPr>
        <w:t xml:space="preserve"> contributo</w:t>
      </w:r>
      <w:r w:rsidR="00CA572F">
        <w:rPr>
          <w:sz w:val="24"/>
          <w:szCs w:val="24"/>
        </w:rPr>
        <w:t xml:space="preserve"> </w:t>
      </w:r>
      <w:r w:rsidR="00BC03F3">
        <w:rPr>
          <w:sz w:val="24"/>
          <w:szCs w:val="24"/>
        </w:rPr>
        <w:t>effettivo</w:t>
      </w:r>
      <w:r w:rsidR="00AC4680">
        <w:rPr>
          <w:sz w:val="24"/>
          <w:szCs w:val="24"/>
        </w:rPr>
        <w:t xml:space="preserve"> ed efficiente.</w:t>
      </w:r>
      <w:r w:rsidR="00FF10C3">
        <w:rPr>
          <w:sz w:val="24"/>
          <w:szCs w:val="24"/>
        </w:rPr>
        <w:t xml:space="preserve"> </w:t>
      </w:r>
    </w:p>
    <w:p w14:paraId="4B1248E4" w14:textId="1BB2A17D" w:rsidR="00E153CD" w:rsidRDefault="00AC4680" w:rsidP="00C24B0B">
      <w:pPr>
        <w:contextualSpacing/>
        <w:jc w:val="both"/>
        <w:rPr>
          <w:sz w:val="24"/>
          <w:szCs w:val="24"/>
        </w:rPr>
      </w:pPr>
      <w:r>
        <w:rPr>
          <w:sz w:val="24"/>
          <w:szCs w:val="24"/>
        </w:rPr>
        <w:t>Quindi, in</w:t>
      </w:r>
      <w:r w:rsidR="00FF10C3">
        <w:rPr>
          <w:sz w:val="24"/>
          <w:szCs w:val="24"/>
        </w:rPr>
        <w:t xml:space="preserve"> quest’ultimo caso</w:t>
      </w:r>
      <w:r w:rsidR="00BC03F3">
        <w:rPr>
          <w:sz w:val="24"/>
          <w:szCs w:val="24"/>
        </w:rPr>
        <w:t xml:space="preserve"> </w:t>
      </w:r>
      <w:r>
        <w:rPr>
          <w:sz w:val="24"/>
          <w:szCs w:val="24"/>
        </w:rPr>
        <w:t>la condotta partecipativa sarebbe in grado di integrare</w:t>
      </w:r>
      <w:r w:rsidR="00CA572F">
        <w:rPr>
          <w:sz w:val="24"/>
          <w:szCs w:val="24"/>
        </w:rPr>
        <w:t xml:space="preserve"> </w:t>
      </w:r>
      <w:r>
        <w:rPr>
          <w:sz w:val="24"/>
          <w:szCs w:val="24"/>
        </w:rPr>
        <w:t>causalmente (e quindi di assorbire ed esaurire) qualsiasi contributo eziologicamente idoneo a configurare gli estremi della fattispecie di concorso</w:t>
      </w:r>
      <w:r w:rsidR="00E153CD" w:rsidRPr="00E47830">
        <w:rPr>
          <w:sz w:val="24"/>
          <w:szCs w:val="24"/>
        </w:rPr>
        <w:t xml:space="preserve">. </w:t>
      </w:r>
    </w:p>
    <w:p w14:paraId="2EE9EBE3" w14:textId="65F83152" w:rsidR="00353DE4" w:rsidRDefault="00353DE4" w:rsidP="00C24B0B">
      <w:pPr>
        <w:contextualSpacing/>
        <w:jc w:val="both"/>
        <w:rPr>
          <w:sz w:val="24"/>
          <w:szCs w:val="24"/>
        </w:rPr>
      </w:pPr>
      <w:r>
        <w:rPr>
          <w:sz w:val="24"/>
          <w:szCs w:val="24"/>
        </w:rPr>
        <w:t>A tal riprova militerebbe la previsione legislativa di fattispecie penali che, gravitando nell’orbita dell’associazione mafiosa, assorbirebbero ogni</w:t>
      </w:r>
      <w:r w:rsidR="00AB4D25">
        <w:rPr>
          <w:sz w:val="24"/>
          <w:szCs w:val="24"/>
        </w:rPr>
        <w:t xml:space="preserve"> forma di contributo</w:t>
      </w:r>
      <w:r>
        <w:rPr>
          <w:sz w:val="24"/>
          <w:szCs w:val="24"/>
        </w:rPr>
        <w:t xml:space="preserve"> penalmente rilevante </w:t>
      </w:r>
      <w:r w:rsidR="00AB4D25">
        <w:rPr>
          <w:sz w:val="24"/>
          <w:szCs w:val="24"/>
        </w:rPr>
        <w:t>diverso</w:t>
      </w:r>
      <w:r>
        <w:rPr>
          <w:sz w:val="24"/>
          <w:szCs w:val="24"/>
        </w:rPr>
        <w:t xml:space="preserve"> della</w:t>
      </w:r>
      <w:r w:rsidR="00AB4D25">
        <w:rPr>
          <w:sz w:val="24"/>
          <w:szCs w:val="24"/>
        </w:rPr>
        <w:t xml:space="preserve"> partecipazione</w:t>
      </w:r>
      <w:r w:rsidR="00AB4D25" w:rsidRPr="005647F2">
        <w:rPr>
          <w:rStyle w:val="Rimandonotaapidipagina"/>
        </w:rPr>
        <w:footnoteReference w:id="15"/>
      </w:r>
      <w:r w:rsidR="00AB4D25">
        <w:rPr>
          <w:sz w:val="24"/>
          <w:szCs w:val="24"/>
        </w:rPr>
        <w:t>.</w:t>
      </w:r>
    </w:p>
    <w:p w14:paraId="27043CE0" w14:textId="77777777" w:rsidR="009B6591" w:rsidRDefault="003F51A2" w:rsidP="00C24B0B">
      <w:pPr>
        <w:contextualSpacing/>
        <w:jc w:val="both"/>
        <w:rPr>
          <w:sz w:val="24"/>
          <w:szCs w:val="24"/>
        </w:rPr>
      </w:pPr>
      <w:r>
        <w:rPr>
          <w:sz w:val="24"/>
          <w:szCs w:val="24"/>
        </w:rPr>
        <w:t>Su</w:t>
      </w:r>
      <w:r w:rsidR="00A41129">
        <w:rPr>
          <w:sz w:val="24"/>
          <w:szCs w:val="24"/>
        </w:rPr>
        <w:t xml:space="preserve"> un piano marcatamente ermeneutico</w:t>
      </w:r>
      <w:r w:rsidR="00FA1207">
        <w:rPr>
          <w:sz w:val="24"/>
          <w:szCs w:val="24"/>
        </w:rPr>
        <w:t xml:space="preserve"> si apprezza</w:t>
      </w:r>
      <w:r w:rsidR="00A41129">
        <w:rPr>
          <w:sz w:val="24"/>
          <w:szCs w:val="24"/>
        </w:rPr>
        <w:t>, quindi,</w:t>
      </w:r>
      <w:r>
        <w:rPr>
          <w:sz w:val="24"/>
          <w:szCs w:val="24"/>
        </w:rPr>
        <w:t xml:space="preserve"> l’impostazione</w:t>
      </w:r>
      <w:r w:rsidR="005647F2">
        <w:rPr>
          <w:sz w:val="24"/>
          <w:szCs w:val="24"/>
        </w:rPr>
        <w:t xml:space="preserve"> di chiusura adottata dalla Corte di Cassazione</w:t>
      </w:r>
      <w:r w:rsidR="009B6591">
        <w:rPr>
          <w:sz w:val="24"/>
          <w:szCs w:val="24"/>
        </w:rPr>
        <w:t>.</w:t>
      </w:r>
    </w:p>
    <w:p w14:paraId="76131A8B" w14:textId="5C60B485" w:rsidR="00FA1207" w:rsidRDefault="009B6591" w:rsidP="00C24B0B">
      <w:pPr>
        <w:contextualSpacing/>
        <w:jc w:val="both"/>
        <w:rPr>
          <w:sz w:val="24"/>
          <w:szCs w:val="24"/>
        </w:rPr>
      </w:pPr>
      <w:r>
        <w:rPr>
          <w:sz w:val="24"/>
          <w:szCs w:val="24"/>
        </w:rPr>
        <w:t>La giurisprudenza di legittimità si è, quindi, espressa</w:t>
      </w:r>
      <w:r w:rsidR="005647F2">
        <w:rPr>
          <w:sz w:val="24"/>
          <w:szCs w:val="24"/>
        </w:rPr>
        <w:t xml:space="preserve"> con quella che costituisce la prima presa di posizione sul</w:t>
      </w:r>
      <w:r w:rsidR="00FA1207">
        <w:rPr>
          <w:sz w:val="24"/>
          <w:szCs w:val="24"/>
        </w:rPr>
        <w:t xml:space="preserve">la questione giuridica riguardante l’ammissibilità </w:t>
      </w:r>
      <w:r w:rsidR="005647F2">
        <w:rPr>
          <w:sz w:val="24"/>
          <w:szCs w:val="24"/>
        </w:rPr>
        <w:t xml:space="preserve">del concorso esterno </w:t>
      </w:r>
      <w:r w:rsidR="00A41129">
        <w:rPr>
          <w:sz w:val="24"/>
          <w:szCs w:val="24"/>
        </w:rPr>
        <w:t>in</w:t>
      </w:r>
      <w:r w:rsidR="005647F2">
        <w:rPr>
          <w:sz w:val="24"/>
          <w:szCs w:val="24"/>
        </w:rPr>
        <w:t xml:space="preserve"> associazione mafiosa</w:t>
      </w:r>
      <w:r w:rsidR="00FA1207" w:rsidRPr="006703FF">
        <w:rPr>
          <w:rStyle w:val="Rimandonotaapidipagina"/>
          <w:sz w:val="22"/>
          <w:szCs w:val="22"/>
        </w:rPr>
        <w:footnoteReference w:id="16"/>
      </w:r>
      <w:r>
        <w:rPr>
          <w:sz w:val="24"/>
          <w:szCs w:val="24"/>
        </w:rPr>
        <w:t xml:space="preserve"> </w:t>
      </w:r>
      <w:r w:rsidRPr="009B6591">
        <w:rPr>
          <w:sz w:val="24"/>
          <w:szCs w:val="24"/>
        </w:rPr>
        <w:t>(</w:t>
      </w:r>
      <w:r>
        <w:rPr>
          <w:sz w:val="24"/>
          <w:szCs w:val="24"/>
        </w:rPr>
        <w:t xml:space="preserve">figura </w:t>
      </w:r>
      <w:r w:rsidRPr="009B6591">
        <w:rPr>
          <w:sz w:val="24"/>
          <w:szCs w:val="24"/>
        </w:rPr>
        <w:t>che in passato era già stat</w:t>
      </w:r>
      <w:r>
        <w:rPr>
          <w:sz w:val="24"/>
          <w:szCs w:val="24"/>
        </w:rPr>
        <w:t>a</w:t>
      </w:r>
      <w:r w:rsidRPr="009B6591">
        <w:rPr>
          <w:sz w:val="24"/>
          <w:szCs w:val="24"/>
        </w:rPr>
        <w:t xml:space="preserve"> oggetto di elaborazioni, ma riferite a fattispecie associative differenti</w:t>
      </w:r>
      <w:r>
        <w:rPr>
          <w:sz w:val="24"/>
          <w:szCs w:val="24"/>
        </w:rPr>
        <w:t xml:space="preserve"> da quella di stampo mafioso</w:t>
      </w:r>
      <w:r w:rsidRPr="009B6591">
        <w:rPr>
          <w:sz w:val="24"/>
          <w:szCs w:val="24"/>
        </w:rPr>
        <w:t>)</w:t>
      </w:r>
      <w:r>
        <w:rPr>
          <w:sz w:val="24"/>
          <w:szCs w:val="24"/>
        </w:rPr>
        <w:t>.</w:t>
      </w:r>
      <w:r w:rsidRPr="009B6591">
        <w:rPr>
          <w:sz w:val="24"/>
          <w:szCs w:val="24"/>
        </w:rPr>
        <w:t xml:space="preserve"> </w:t>
      </w:r>
      <w:r w:rsidR="003F51A2">
        <w:rPr>
          <w:sz w:val="24"/>
          <w:szCs w:val="24"/>
        </w:rPr>
        <w:t xml:space="preserve"> </w:t>
      </w:r>
    </w:p>
    <w:p w14:paraId="4721AADD" w14:textId="404E87B9" w:rsidR="002229F5" w:rsidRDefault="00FA1207" w:rsidP="00C24B0B">
      <w:pPr>
        <w:contextualSpacing/>
        <w:jc w:val="both"/>
        <w:rPr>
          <w:sz w:val="24"/>
          <w:szCs w:val="24"/>
        </w:rPr>
      </w:pPr>
      <w:r>
        <w:rPr>
          <w:sz w:val="24"/>
          <w:szCs w:val="24"/>
        </w:rPr>
        <w:lastRenderedPageBreak/>
        <w:t xml:space="preserve">Tuttavia, </w:t>
      </w:r>
      <w:r w:rsidR="007939E4">
        <w:rPr>
          <w:sz w:val="24"/>
          <w:szCs w:val="24"/>
        </w:rPr>
        <w:t xml:space="preserve">nonostante </w:t>
      </w:r>
      <w:r>
        <w:rPr>
          <w:sz w:val="24"/>
          <w:szCs w:val="24"/>
        </w:rPr>
        <w:t xml:space="preserve">il </w:t>
      </w:r>
      <w:r w:rsidR="007939E4">
        <w:rPr>
          <w:sz w:val="24"/>
          <w:szCs w:val="24"/>
        </w:rPr>
        <w:t xml:space="preserve">suo </w:t>
      </w:r>
      <w:r>
        <w:rPr>
          <w:sz w:val="24"/>
          <w:szCs w:val="24"/>
        </w:rPr>
        <w:t>perpetuarsi</w:t>
      </w:r>
      <w:r w:rsidR="00FE460B" w:rsidRPr="000909E9">
        <w:rPr>
          <w:rStyle w:val="Rimandonotaapidipagina"/>
          <w:sz w:val="22"/>
          <w:szCs w:val="22"/>
        </w:rPr>
        <w:footnoteReference w:id="17"/>
      </w:r>
      <w:r w:rsidR="007939E4">
        <w:rPr>
          <w:sz w:val="24"/>
          <w:szCs w:val="24"/>
        </w:rPr>
        <w:t>,</w:t>
      </w:r>
      <w:r w:rsidRPr="000909E9">
        <w:rPr>
          <w:sz w:val="22"/>
          <w:szCs w:val="22"/>
        </w:rPr>
        <w:t xml:space="preserve"> </w:t>
      </w:r>
      <w:r>
        <w:rPr>
          <w:sz w:val="24"/>
          <w:szCs w:val="24"/>
        </w:rPr>
        <w:t xml:space="preserve">l’impostazione preclusiva </w:t>
      </w:r>
      <w:r w:rsidR="007939E4">
        <w:rPr>
          <w:sz w:val="24"/>
          <w:szCs w:val="24"/>
        </w:rPr>
        <w:t xml:space="preserve">non </w:t>
      </w:r>
      <w:r w:rsidR="00AE273A">
        <w:rPr>
          <w:sz w:val="24"/>
          <w:szCs w:val="24"/>
        </w:rPr>
        <w:t>ha raggiunto</w:t>
      </w:r>
      <w:r w:rsidR="00EA0160">
        <w:rPr>
          <w:sz w:val="24"/>
          <w:szCs w:val="24"/>
        </w:rPr>
        <w:t xml:space="preserve"> il crisma d</w:t>
      </w:r>
      <w:r w:rsidR="00A41129">
        <w:rPr>
          <w:sz w:val="24"/>
          <w:szCs w:val="24"/>
        </w:rPr>
        <w:t>el</w:t>
      </w:r>
      <w:r w:rsidR="002229F5">
        <w:rPr>
          <w:sz w:val="24"/>
          <w:szCs w:val="24"/>
        </w:rPr>
        <w:t xml:space="preserve"> consolidamento </w:t>
      </w:r>
      <w:r w:rsidR="00AE273A">
        <w:rPr>
          <w:sz w:val="24"/>
          <w:szCs w:val="24"/>
        </w:rPr>
        <w:t>giurisprudenziale</w:t>
      </w:r>
      <w:r w:rsidR="002229F5">
        <w:rPr>
          <w:sz w:val="24"/>
          <w:szCs w:val="24"/>
        </w:rPr>
        <w:t xml:space="preserve">. </w:t>
      </w:r>
    </w:p>
    <w:p w14:paraId="4C654BF7" w14:textId="77777777" w:rsidR="003A093D" w:rsidRDefault="002229F5" w:rsidP="00C24B0B">
      <w:pPr>
        <w:contextualSpacing/>
        <w:jc w:val="both"/>
        <w:rPr>
          <w:sz w:val="24"/>
          <w:szCs w:val="24"/>
        </w:rPr>
      </w:pPr>
      <w:r>
        <w:rPr>
          <w:sz w:val="24"/>
          <w:szCs w:val="24"/>
        </w:rPr>
        <w:t xml:space="preserve">In tal senso, le argomentazioni addotte a fondamento dell’inammissibilità del concorso esterno in associazione mafiosa non sono riuscite </w:t>
      </w:r>
      <w:r w:rsidR="00FA1207">
        <w:rPr>
          <w:sz w:val="24"/>
          <w:szCs w:val="24"/>
        </w:rPr>
        <w:t xml:space="preserve">ad </w:t>
      </w:r>
      <w:r w:rsidR="00736C4F" w:rsidRPr="00E47830">
        <w:rPr>
          <w:sz w:val="24"/>
          <w:szCs w:val="24"/>
        </w:rPr>
        <w:t>arginare la graduale affermazione dell’</w:t>
      </w:r>
      <w:r w:rsidR="00E153CD" w:rsidRPr="00E47830">
        <w:rPr>
          <w:sz w:val="24"/>
          <w:szCs w:val="24"/>
        </w:rPr>
        <w:t xml:space="preserve">avversa elaborazione </w:t>
      </w:r>
      <w:r w:rsidR="00D90BA9">
        <w:rPr>
          <w:sz w:val="24"/>
          <w:szCs w:val="24"/>
        </w:rPr>
        <w:t>interpretativa</w:t>
      </w:r>
      <w:r w:rsidR="00B66558" w:rsidRPr="000909E9">
        <w:rPr>
          <w:rStyle w:val="Rimandonotaapidipagina"/>
          <w:sz w:val="22"/>
          <w:szCs w:val="22"/>
        </w:rPr>
        <w:footnoteReference w:id="18"/>
      </w:r>
      <w:r w:rsidR="00D90BA9">
        <w:rPr>
          <w:sz w:val="24"/>
          <w:szCs w:val="24"/>
        </w:rPr>
        <w:t xml:space="preserve">. </w:t>
      </w:r>
    </w:p>
    <w:p w14:paraId="178341F3" w14:textId="66B51324" w:rsidR="00E153CD" w:rsidRPr="00E47830" w:rsidRDefault="00D90BA9" w:rsidP="00C24B0B">
      <w:pPr>
        <w:contextualSpacing/>
        <w:jc w:val="both"/>
        <w:rPr>
          <w:sz w:val="24"/>
          <w:szCs w:val="24"/>
        </w:rPr>
      </w:pPr>
      <w:r>
        <w:rPr>
          <w:sz w:val="24"/>
          <w:szCs w:val="24"/>
        </w:rPr>
        <w:t>L’</w:t>
      </w:r>
      <w:r w:rsidR="00A41129">
        <w:rPr>
          <w:sz w:val="24"/>
          <w:szCs w:val="24"/>
        </w:rPr>
        <w:t xml:space="preserve">inarrestabile </w:t>
      </w:r>
      <w:r>
        <w:rPr>
          <w:sz w:val="24"/>
          <w:szCs w:val="24"/>
        </w:rPr>
        <w:t>avanzamento dell’orientamento possibilista ha rinvenuto la sua più energica affermazione</w:t>
      </w:r>
      <w:r w:rsidR="00E153CD" w:rsidRPr="00E47830">
        <w:rPr>
          <w:sz w:val="24"/>
          <w:szCs w:val="24"/>
        </w:rPr>
        <w:t xml:space="preserve"> </w:t>
      </w:r>
      <w:r>
        <w:rPr>
          <w:sz w:val="24"/>
          <w:szCs w:val="24"/>
        </w:rPr>
        <w:t xml:space="preserve">nella nota conquista </w:t>
      </w:r>
      <w:r w:rsidR="00B66558">
        <w:rPr>
          <w:sz w:val="24"/>
          <w:szCs w:val="24"/>
        </w:rPr>
        <w:t>interpretativa</w:t>
      </w:r>
      <w:r>
        <w:rPr>
          <w:sz w:val="24"/>
          <w:szCs w:val="24"/>
        </w:rPr>
        <w:t xml:space="preserve"> intervenuta </w:t>
      </w:r>
      <w:r w:rsidR="00B66558">
        <w:rPr>
          <w:sz w:val="24"/>
          <w:szCs w:val="24"/>
        </w:rPr>
        <w:t>con</w:t>
      </w:r>
      <w:r w:rsidR="00E153CD" w:rsidRPr="00E47830">
        <w:rPr>
          <w:sz w:val="24"/>
          <w:szCs w:val="24"/>
        </w:rPr>
        <w:t xml:space="preserve"> </w:t>
      </w:r>
      <w:r w:rsidR="00C55968">
        <w:rPr>
          <w:sz w:val="24"/>
          <w:szCs w:val="24"/>
        </w:rPr>
        <w:t>la «</w:t>
      </w:r>
      <w:r w:rsidRPr="00430C70">
        <w:rPr>
          <w:i/>
          <w:sz w:val="24"/>
          <w:szCs w:val="24"/>
        </w:rPr>
        <w:t>sentenza Demitry</w:t>
      </w:r>
      <w:r w:rsidR="00C55968">
        <w:rPr>
          <w:sz w:val="24"/>
          <w:szCs w:val="24"/>
        </w:rPr>
        <w:t>»</w:t>
      </w:r>
      <w:r w:rsidRPr="000909E9">
        <w:rPr>
          <w:rStyle w:val="Rimandonotaapidipagina"/>
          <w:sz w:val="22"/>
          <w:szCs w:val="22"/>
        </w:rPr>
        <w:footnoteReference w:id="19"/>
      </w:r>
      <w:r w:rsidR="00E153CD" w:rsidRPr="000909E9">
        <w:rPr>
          <w:sz w:val="22"/>
          <w:szCs w:val="22"/>
        </w:rPr>
        <w:t>.</w:t>
      </w:r>
      <w:r w:rsidR="00E153CD" w:rsidRPr="00E47830">
        <w:rPr>
          <w:sz w:val="24"/>
          <w:szCs w:val="24"/>
        </w:rPr>
        <w:t xml:space="preserve">  </w:t>
      </w:r>
    </w:p>
    <w:p w14:paraId="2185C911" w14:textId="32CA2BE5" w:rsidR="00E153CD" w:rsidRPr="00E47830" w:rsidRDefault="00B66558" w:rsidP="00C24B0B">
      <w:pPr>
        <w:contextualSpacing/>
        <w:jc w:val="both"/>
        <w:rPr>
          <w:sz w:val="24"/>
          <w:szCs w:val="24"/>
        </w:rPr>
      </w:pPr>
      <w:r>
        <w:rPr>
          <w:sz w:val="24"/>
          <w:szCs w:val="24"/>
        </w:rPr>
        <w:t xml:space="preserve">La pronuncia rappresenta l’avamposto giurisprudenziale con il quale le Sezioni Unite hanno sancito </w:t>
      </w:r>
      <w:r w:rsidR="00AE273A">
        <w:rPr>
          <w:sz w:val="24"/>
          <w:szCs w:val="24"/>
        </w:rPr>
        <w:t>i</w:t>
      </w:r>
      <w:r>
        <w:rPr>
          <w:sz w:val="24"/>
          <w:szCs w:val="24"/>
        </w:rPr>
        <w:t xml:space="preserve">l principio della </w:t>
      </w:r>
      <w:r w:rsidR="00430C70">
        <w:rPr>
          <w:sz w:val="24"/>
          <w:szCs w:val="24"/>
        </w:rPr>
        <w:t xml:space="preserve">generale </w:t>
      </w:r>
      <w:r w:rsidR="00E153CD" w:rsidRPr="00E47830">
        <w:rPr>
          <w:sz w:val="24"/>
          <w:szCs w:val="24"/>
        </w:rPr>
        <w:t xml:space="preserve">compatibilità </w:t>
      </w:r>
      <w:r w:rsidR="00AE273A">
        <w:rPr>
          <w:sz w:val="24"/>
          <w:szCs w:val="24"/>
        </w:rPr>
        <w:t>del</w:t>
      </w:r>
      <w:r w:rsidR="00E153CD" w:rsidRPr="00E47830">
        <w:rPr>
          <w:sz w:val="24"/>
          <w:szCs w:val="24"/>
        </w:rPr>
        <w:t xml:space="preserve">l’istituto del concorso eventuale </w:t>
      </w:r>
      <w:r w:rsidR="00AE273A">
        <w:rPr>
          <w:sz w:val="24"/>
          <w:szCs w:val="24"/>
        </w:rPr>
        <w:t>con</w:t>
      </w:r>
      <w:r w:rsidR="00E153CD" w:rsidRPr="00E47830">
        <w:rPr>
          <w:sz w:val="24"/>
          <w:szCs w:val="24"/>
        </w:rPr>
        <w:t xml:space="preserve"> la fattispecie di cui all’</w:t>
      </w:r>
      <w:r w:rsidR="00C161F0">
        <w:rPr>
          <w:sz w:val="24"/>
          <w:szCs w:val="24"/>
        </w:rPr>
        <w:t xml:space="preserve">art. </w:t>
      </w:r>
      <w:r w:rsidR="004E50B5" w:rsidRPr="00E47830">
        <w:rPr>
          <w:sz w:val="24"/>
          <w:szCs w:val="24"/>
        </w:rPr>
        <w:t>416-bis</w:t>
      </w:r>
      <w:r>
        <w:rPr>
          <w:sz w:val="24"/>
          <w:szCs w:val="24"/>
        </w:rPr>
        <w:t xml:space="preserve"> c.p</w:t>
      </w:r>
      <w:r w:rsidR="00C161F0">
        <w:rPr>
          <w:sz w:val="24"/>
          <w:szCs w:val="24"/>
        </w:rPr>
        <w:t>.</w:t>
      </w:r>
      <w:r w:rsidR="00430C70" w:rsidRPr="000909E9">
        <w:rPr>
          <w:rStyle w:val="Rimandonotaapidipagina"/>
          <w:sz w:val="22"/>
          <w:szCs w:val="22"/>
        </w:rPr>
        <w:footnoteReference w:id="20"/>
      </w:r>
      <w:r w:rsidRPr="000909E9">
        <w:rPr>
          <w:sz w:val="22"/>
          <w:szCs w:val="22"/>
        </w:rPr>
        <w:t>.</w:t>
      </w:r>
      <w:r w:rsidR="00E153CD" w:rsidRPr="00E47830">
        <w:rPr>
          <w:sz w:val="24"/>
          <w:szCs w:val="24"/>
        </w:rPr>
        <w:t xml:space="preserve"> </w:t>
      </w:r>
    </w:p>
    <w:p w14:paraId="247F5716" w14:textId="204DCA93" w:rsidR="00736C4F" w:rsidRPr="00E47830" w:rsidRDefault="00430C70" w:rsidP="00C24B0B">
      <w:pPr>
        <w:contextualSpacing/>
        <w:jc w:val="both"/>
        <w:rPr>
          <w:sz w:val="24"/>
          <w:szCs w:val="24"/>
        </w:rPr>
      </w:pPr>
      <w:r>
        <w:rPr>
          <w:sz w:val="24"/>
          <w:szCs w:val="24"/>
        </w:rPr>
        <w:lastRenderedPageBreak/>
        <w:t>Nel</w:t>
      </w:r>
      <w:r w:rsidR="00C9508E">
        <w:rPr>
          <w:sz w:val="24"/>
          <w:szCs w:val="24"/>
        </w:rPr>
        <w:t xml:space="preserve"> riprendere i passi del</w:t>
      </w:r>
      <w:r w:rsidR="00E153CD" w:rsidRPr="00E47830">
        <w:rPr>
          <w:sz w:val="24"/>
          <w:szCs w:val="24"/>
        </w:rPr>
        <w:t xml:space="preserve">l’excursus giurisprudenziale, giova </w:t>
      </w:r>
      <w:r w:rsidR="00C9508E">
        <w:rPr>
          <w:sz w:val="24"/>
          <w:szCs w:val="24"/>
        </w:rPr>
        <w:t>considerare</w:t>
      </w:r>
      <w:r>
        <w:rPr>
          <w:sz w:val="24"/>
          <w:szCs w:val="24"/>
        </w:rPr>
        <w:t xml:space="preserve"> </w:t>
      </w:r>
      <w:r w:rsidR="00E153CD" w:rsidRPr="00E47830">
        <w:rPr>
          <w:sz w:val="24"/>
          <w:szCs w:val="24"/>
        </w:rPr>
        <w:t>come</w:t>
      </w:r>
      <w:r w:rsidR="00AE273A">
        <w:rPr>
          <w:sz w:val="24"/>
          <w:szCs w:val="24"/>
        </w:rPr>
        <w:t>,</w:t>
      </w:r>
      <w:r w:rsidR="00E153CD" w:rsidRPr="00E47830">
        <w:rPr>
          <w:sz w:val="24"/>
          <w:szCs w:val="24"/>
        </w:rPr>
        <w:t xml:space="preserve"> </w:t>
      </w:r>
      <w:r w:rsidR="003448ED" w:rsidRPr="00E47830">
        <w:rPr>
          <w:sz w:val="24"/>
          <w:szCs w:val="24"/>
        </w:rPr>
        <w:t>sul punto</w:t>
      </w:r>
      <w:r w:rsidR="00AE273A">
        <w:rPr>
          <w:sz w:val="24"/>
          <w:szCs w:val="24"/>
        </w:rPr>
        <w:t>,</w:t>
      </w:r>
      <w:r w:rsidR="003448ED" w:rsidRPr="00E47830">
        <w:rPr>
          <w:sz w:val="24"/>
          <w:szCs w:val="24"/>
        </w:rPr>
        <w:t xml:space="preserve"> siano progressivamente intervenuti diversi</w:t>
      </w:r>
      <w:r w:rsidR="00736C4F" w:rsidRPr="00E47830">
        <w:rPr>
          <w:sz w:val="24"/>
          <w:szCs w:val="24"/>
        </w:rPr>
        <w:t xml:space="preserve"> </w:t>
      </w:r>
      <w:r w:rsidR="00E307D8">
        <w:rPr>
          <w:sz w:val="24"/>
          <w:szCs w:val="24"/>
        </w:rPr>
        <w:t xml:space="preserve">ed incisivi </w:t>
      </w:r>
      <w:r w:rsidR="003448ED" w:rsidRPr="00E47830">
        <w:rPr>
          <w:sz w:val="24"/>
          <w:szCs w:val="24"/>
        </w:rPr>
        <w:t xml:space="preserve">pronunciamenti delle Sezioni Unite. </w:t>
      </w:r>
    </w:p>
    <w:p w14:paraId="443CAC87" w14:textId="3A405FCD" w:rsidR="003448ED" w:rsidRPr="00E47830" w:rsidRDefault="003448ED" w:rsidP="00C24B0B">
      <w:pPr>
        <w:contextualSpacing/>
        <w:jc w:val="both"/>
        <w:rPr>
          <w:sz w:val="24"/>
          <w:szCs w:val="24"/>
        </w:rPr>
      </w:pPr>
      <w:r w:rsidRPr="00E47830">
        <w:rPr>
          <w:sz w:val="24"/>
          <w:szCs w:val="24"/>
        </w:rPr>
        <w:t xml:space="preserve">Ciascuno di essi ha apportato un contributo </w:t>
      </w:r>
      <w:r w:rsidR="00736C4F" w:rsidRPr="00E47830">
        <w:rPr>
          <w:sz w:val="24"/>
          <w:szCs w:val="24"/>
        </w:rPr>
        <w:t>inteso</w:t>
      </w:r>
      <w:r w:rsidR="00AE273A">
        <w:rPr>
          <w:sz w:val="24"/>
          <w:szCs w:val="24"/>
        </w:rPr>
        <w:t xml:space="preserve"> a delineare nonché</w:t>
      </w:r>
      <w:r w:rsidRPr="00E47830">
        <w:rPr>
          <w:sz w:val="24"/>
          <w:szCs w:val="24"/>
        </w:rPr>
        <w:t xml:space="preserve"> scolpire</w:t>
      </w:r>
      <w:r w:rsidR="00736C4F" w:rsidRPr="00E47830">
        <w:rPr>
          <w:sz w:val="24"/>
          <w:szCs w:val="24"/>
        </w:rPr>
        <w:t>, volta per volta,</w:t>
      </w:r>
      <w:r w:rsidRPr="00E47830">
        <w:rPr>
          <w:sz w:val="24"/>
          <w:szCs w:val="24"/>
        </w:rPr>
        <w:t xml:space="preserve"> i t</w:t>
      </w:r>
      <w:r w:rsidR="00E307D8">
        <w:rPr>
          <w:sz w:val="24"/>
          <w:szCs w:val="24"/>
        </w:rPr>
        <w:t>ratti dogmatici della</w:t>
      </w:r>
      <w:r w:rsidR="00736C4F" w:rsidRPr="00E47830">
        <w:rPr>
          <w:sz w:val="24"/>
          <w:szCs w:val="24"/>
        </w:rPr>
        <w:t xml:space="preserve"> figura</w:t>
      </w:r>
      <w:r w:rsidR="00C9508E">
        <w:rPr>
          <w:sz w:val="24"/>
          <w:szCs w:val="24"/>
        </w:rPr>
        <w:t>, tanto da insinuare il dubbio</w:t>
      </w:r>
      <w:r w:rsidR="00E307D8">
        <w:rPr>
          <w:sz w:val="24"/>
          <w:szCs w:val="24"/>
        </w:rPr>
        <w:t xml:space="preserve"> </w:t>
      </w:r>
      <w:r w:rsidR="00C9508E">
        <w:rPr>
          <w:sz w:val="24"/>
          <w:szCs w:val="24"/>
        </w:rPr>
        <w:t>che essa abbia subito una “conformazione” di carattere</w:t>
      </w:r>
      <w:r w:rsidRPr="00E47830">
        <w:rPr>
          <w:sz w:val="24"/>
          <w:szCs w:val="24"/>
        </w:rPr>
        <w:t xml:space="preserve"> pretorio</w:t>
      </w:r>
      <w:r w:rsidR="00C9508E">
        <w:rPr>
          <w:rStyle w:val="Rimandonotaapidipagina"/>
          <w:sz w:val="24"/>
          <w:szCs w:val="24"/>
        </w:rPr>
        <w:footnoteReference w:id="21"/>
      </w:r>
      <w:r w:rsidRPr="00E47830">
        <w:rPr>
          <w:sz w:val="24"/>
          <w:szCs w:val="24"/>
        </w:rPr>
        <w:t xml:space="preserve">. </w:t>
      </w:r>
    </w:p>
    <w:p w14:paraId="66B38019" w14:textId="77777777" w:rsidR="009A64B5" w:rsidRPr="00E47830" w:rsidRDefault="003448ED" w:rsidP="00C24B0B">
      <w:pPr>
        <w:contextualSpacing/>
        <w:jc w:val="both"/>
        <w:rPr>
          <w:sz w:val="24"/>
          <w:szCs w:val="24"/>
        </w:rPr>
      </w:pPr>
      <w:r w:rsidRPr="00E47830">
        <w:rPr>
          <w:sz w:val="24"/>
          <w:szCs w:val="24"/>
        </w:rPr>
        <w:t xml:space="preserve">Il primo intervento nomofilattico si è preoccupato di </w:t>
      </w:r>
      <w:r w:rsidR="009A64B5" w:rsidRPr="00E47830">
        <w:rPr>
          <w:sz w:val="24"/>
          <w:szCs w:val="24"/>
        </w:rPr>
        <w:t xml:space="preserve">riconoscere ed </w:t>
      </w:r>
      <w:r w:rsidRPr="00E47830">
        <w:rPr>
          <w:sz w:val="24"/>
          <w:szCs w:val="24"/>
        </w:rPr>
        <w:t>assicurare</w:t>
      </w:r>
      <w:r w:rsidR="00E153CD" w:rsidRPr="00E47830">
        <w:rPr>
          <w:sz w:val="24"/>
          <w:szCs w:val="24"/>
        </w:rPr>
        <w:t xml:space="preserve"> </w:t>
      </w:r>
      <w:r w:rsidR="009A64B5" w:rsidRPr="00E47830">
        <w:rPr>
          <w:sz w:val="24"/>
          <w:szCs w:val="24"/>
        </w:rPr>
        <w:t xml:space="preserve">al principio di tipicità </w:t>
      </w:r>
      <w:r w:rsidR="00E153CD" w:rsidRPr="00E47830">
        <w:rPr>
          <w:sz w:val="24"/>
          <w:szCs w:val="24"/>
        </w:rPr>
        <w:t>la sinergia</w:t>
      </w:r>
      <w:r w:rsidR="004E50B5" w:rsidRPr="00E47830">
        <w:rPr>
          <w:sz w:val="24"/>
          <w:szCs w:val="24"/>
        </w:rPr>
        <w:t xml:space="preserve"> normativa </w:t>
      </w:r>
      <w:r w:rsidR="009A64B5" w:rsidRPr="00E47830">
        <w:rPr>
          <w:sz w:val="24"/>
          <w:szCs w:val="24"/>
        </w:rPr>
        <w:t xml:space="preserve">tra </w:t>
      </w:r>
      <w:r w:rsidR="004E50B5" w:rsidRPr="00E47830">
        <w:rPr>
          <w:sz w:val="24"/>
          <w:szCs w:val="24"/>
        </w:rPr>
        <w:t>gli artt. 110 c.p. e 416-bis c.p</w:t>
      </w:r>
      <w:r w:rsidR="004E50B5" w:rsidRPr="00E47830">
        <w:rPr>
          <w:i/>
          <w:sz w:val="24"/>
          <w:szCs w:val="24"/>
        </w:rPr>
        <w:t>.</w:t>
      </w:r>
      <w:r w:rsidR="004E50B5" w:rsidRPr="00E47830">
        <w:rPr>
          <w:sz w:val="24"/>
          <w:szCs w:val="24"/>
        </w:rPr>
        <w:t xml:space="preserve"> </w:t>
      </w:r>
    </w:p>
    <w:p w14:paraId="1A28F326" w14:textId="0FFF6D8C" w:rsidR="00D84787" w:rsidRDefault="00E105A5" w:rsidP="00C24B0B">
      <w:pPr>
        <w:contextualSpacing/>
        <w:jc w:val="both"/>
        <w:rPr>
          <w:sz w:val="24"/>
          <w:szCs w:val="24"/>
        </w:rPr>
      </w:pPr>
      <w:r w:rsidRPr="00E47830">
        <w:rPr>
          <w:sz w:val="24"/>
          <w:szCs w:val="24"/>
        </w:rPr>
        <w:t xml:space="preserve">La </w:t>
      </w:r>
      <w:r w:rsidR="00C55968">
        <w:rPr>
          <w:sz w:val="24"/>
          <w:szCs w:val="24"/>
        </w:rPr>
        <w:t>«</w:t>
      </w:r>
      <w:r w:rsidRPr="00E47830">
        <w:rPr>
          <w:i/>
          <w:sz w:val="24"/>
          <w:szCs w:val="24"/>
        </w:rPr>
        <w:t>sentenza Demitry</w:t>
      </w:r>
      <w:r w:rsidR="00C55968">
        <w:rPr>
          <w:sz w:val="24"/>
          <w:szCs w:val="24"/>
        </w:rPr>
        <w:t>»</w:t>
      </w:r>
      <w:r w:rsidRPr="00E47830">
        <w:rPr>
          <w:sz w:val="24"/>
          <w:szCs w:val="24"/>
        </w:rPr>
        <w:t xml:space="preserve"> ha infatti </w:t>
      </w:r>
      <w:r w:rsidR="003D6657" w:rsidRPr="00E47830">
        <w:rPr>
          <w:sz w:val="24"/>
          <w:szCs w:val="24"/>
        </w:rPr>
        <w:t>ammesso</w:t>
      </w:r>
      <w:r w:rsidRPr="00E47830">
        <w:rPr>
          <w:sz w:val="24"/>
          <w:szCs w:val="24"/>
        </w:rPr>
        <w:t xml:space="preserve"> l’operatività dell’istituto concorsuale </w:t>
      </w:r>
      <w:r w:rsidR="003D6657" w:rsidRPr="00E47830">
        <w:rPr>
          <w:sz w:val="24"/>
          <w:szCs w:val="24"/>
        </w:rPr>
        <w:t>con riferimento</w:t>
      </w:r>
      <w:r w:rsidR="009A64B5" w:rsidRPr="00E47830">
        <w:rPr>
          <w:sz w:val="24"/>
          <w:szCs w:val="24"/>
        </w:rPr>
        <w:t xml:space="preserve"> alla fattispecie associativa </w:t>
      </w:r>
      <w:r w:rsidR="00C161F0">
        <w:rPr>
          <w:sz w:val="24"/>
          <w:szCs w:val="24"/>
        </w:rPr>
        <w:t>di tipo mafioso</w:t>
      </w:r>
      <w:r w:rsidR="00C161F0" w:rsidRPr="00C161F0">
        <w:rPr>
          <w:rStyle w:val="Rimandonotaapidipagina"/>
          <w:sz w:val="22"/>
          <w:szCs w:val="22"/>
        </w:rPr>
        <w:footnoteReference w:id="22"/>
      </w:r>
      <w:r w:rsidR="003D6657" w:rsidRPr="00E47830">
        <w:rPr>
          <w:sz w:val="24"/>
          <w:szCs w:val="24"/>
        </w:rPr>
        <w:t xml:space="preserve">, raccordandolo </w:t>
      </w:r>
      <w:r w:rsidR="00E307D8">
        <w:rPr>
          <w:sz w:val="24"/>
          <w:szCs w:val="24"/>
        </w:rPr>
        <w:t>ad un</w:t>
      </w:r>
      <w:r w:rsidR="00D84787">
        <w:rPr>
          <w:sz w:val="24"/>
          <w:szCs w:val="24"/>
        </w:rPr>
        <w:t>a</w:t>
      </w:r>
      <w:r w:rsidRPr="00E47830">
        <w:rPr>
          <w:sz w:val="24"/>
          <w:szCs w:val="24"/>
        </w:rPr>
        <w:t xml:space="preserve"> </w:t>
      </w:r>
      <w:r w:rsidR="004E50B5" w:rsidRPr="00E47830">
        <w:rPr>
          <w:sz w:val="24"/>
          <w:szCs w:val="24"/>
        </w:rPr>
        <w:t xml:space="preserve">situazione </w:t>
      </w:r>
      <w:r w:rsidR="00D84787">
        <w:rPr>
          <w:sz w:val="24"/>
          <w:szCs w:val="24"/>
        </w:rPr>
        <w:t xml:space="preserve">in cui la fisiologia associativa attraversa uno stato di </w:t>
      </w:r>
      <w:r w:rsidRPr="00E47830">
        <w:rPr>
          <w:sz w:val="24"/>
          <w:szCs w:val="24"/>
        </w:rPr>
        <w:t>fibrillazione</w:t>
      </w:r>
      <w:r w:rsidR="00E77984" w:rsidRPr="00E77984">
        <w:rPr>
          <w:sz w:val="24"/>
          <w:szCs w:val="24"/>
        </w:rPr>
        <w:t xml:space="preserve"> tale da comprometterne la sopravvivenza</w:t>
      </w:r>
      <w:r w:rsidR="00CC7863" w:rsidRPr="000909E9">
        <w:rPr>
          <w:rStyle w:val="Rimandonotaapidipagina"/>
          <w:sz w:val="22"/>
          <w:szCs w:val="22"/>
        </w:rPr>
        <w:footnoteReference w:id="23"/>
      </w:r>
      <w:r w:rsidR="00E77984" w:rsidRPr="000909E9">
        <w:rPr>
          <w:sz w:val="22"/>
          <w:szCs w:val="22"/>
        </w:rPr>
        <w:t>.</w:t>
      </w:r>
      <w:r w:rsidR="00D84787">
        <w:rPr>
          <w:sz w:val="24"/>
          <w:szCs w:val="24"/>
        </w:rPr>
        <w:t xml:space="preserve"> </w:t>
      </w:r>
    </w:p>
    <w:p w14:paraId="321043FA" w14:textId="75A67842" w:rsidR="003353B7" w:rsidRDefault="00D84787" w:rsidP="00C24B0B">
      <w:pPr>
        <w:contextualSpacing/>
        <w:jc w:val="both"/>
        <w:rPr>
          <w:sz w:val="24"/>
          <w:szCs w:val="24"/>
        </w:rPr>
      </w:pPr>
      <w:r>
        <w:rPr>
          <w:sz w:val="24"/>
          <w:szCs w:val="24"/>
        </w:rPr>
        <w:t xml:space="preserve">In tale prospettiva argomentativa, l’apporto concorsuale è stato inteso come un antidoto </w:t>
      </w:r>
      <w:r w:rsidR="00E77984">
        <w:rPr>
          <w:sz w:val="24"/>
          <w:szCs w:val="24"/>
        </w:rPr>
        <w:t>(</w:t>
      </w:r>
      <w:r>
        <w:rPr>
          <w:sz w:val="24"/>
          <w:szCs w:val="24"/>
        </w:rPr>
        <w:t>precario e provvisorio</w:t>
      </w:r>
      <w:r w:rsidR="00E77984">
        <w:rPr>
          <w:sz w:val="24"/>
          <w:szCs w:val="24"/>
        </w:rPr>
        <w:t>)</w:t>
      </w:r>
      <w:r w:rsidR="00C161F0">
        <w:rPr>
          <w:sz w:val="24"/>
          <w:szCs w:val="24"/>
        </w:rPr>
        <w:t xml:space="preserve"> alla fase patologica</w:t>
      </w:r>
      <w:r w:rsidR="00AE273A">
        <w:rPr>
          <w:sz w:val="24"/>
          <w:szCs w:val="24"/>
        </w:rPr>
        <w:t xml:space="preserve"> della consorteria mafiosa</w:t>
      </w:r>
      <w:r w:rsidR="00C161F0">
        <w:rPr>
          <w:sz w:val="24"/>
          <w:szCs w:val="24"/>
        </w:rPr>
        <w:t>, volto,</w:t>
      </w:r>
      <w:r>
        <w:rPr>
          <w:sz w:val="24"/>
          <w:szCs w:val="24"/>
        </w:rPr>
        <w:t xml:space="preserve"> come tale, a tamponare il dissesto associativo</w:t>
      </w:r>
      <w:r w:rsidR="00C161F0">
        <w:rPr>
          <w:sz w:val="24"/>
          <w:szCs w:val="24"/>
        </w:rPr>
        <w:t>.</w:t>
      </w:r>
      <w:r>
        <w:rPr>
          <w:sz w:val="24"/>
          <w:szCs w:val="24"/>
        </w:rPr>
        <w:t xml:space="preserve"> </w:t>
      </w:r>
    </w:p>
    <w:p w14:paraId="0F461CBF" w14:textId="38CF56EF" w:rsidR="004E50B5" w:rsidRDefault="003353B7" w:rsidP="00C24B0B">
      <w:pPr>
        <w:contextualSpacing/>
        <w:jc w:val="both"/>
        <w:rPr>
          <w:sz w:val="24"/>
          <w:szCs w:val="24"/>
        </w:rPr>
      </w:pPr>
      <w:r>
        <w:rPr>
          <w:sz w:val="24"/>
          <w:szCs w:val="24"/>
        </w:rPr>
        <w:t xml:space="preserve">Nella logica adottata dalla Suprema Corte il ricorso </w:t>
      </w:r>
      <w:r w:rsidR="00D84787">
        <w:rPr>
          <w:sz w:val="24"/>
          <w:szCs w:val="24"/>
        </w:rPr>
        <w:t xml:space="preserve">alla prestazione </w:t>
      </w:r>
      <w:r>
        <w:rPr>
          <w:sz w:val="24"/>
          <w:szCs w:val="24"/>
        </w:rPr>
        <w:t>dell’</w:t>
      </w:r>
      <w:r w:rsidR="00D84787">
        <w:rPr>
          <w:sz w:val="24"/>
          <w:szCs w:val="24"/>
        </w:rPr>
        <w:t>estraneo</w:t>
      </w:r>
      <w:r w:rsidRPr="003353B7">
        <w:rPr>
          <w:rStyle w:val="Rimandonotaapidipagina"/>
          <w:sz w:val="21"/>
          <w:szCs w:val="21"/>
        </w:rPr>
        <w:footnoteReference w:id="24"/>
      </w:r>
      <w:r>
        <w:rPr>
          <w:sz w:val="24"/>
          <w:szCs w:val="24"/>
        </w:rPr>
        <w:t xml:space="preserve"> assurge ad espediente dirimente di una situazione da scongiurare </w:t>
      </w:r>
      <w:r w:rsidR="00C9508E">
        <w:rPr>
          <w:sz w:val="24"/>
          <w:szCs w:val="24"/>
        </w:rPr>
        <w:t xml:space="preserve">ad ogni costo, </w:t>
      </w:r>
      <w:r>
        <w:rPr>
          <w:sz w:val="24"/>
          <w:szCs w:val="24"/>
        </w:rPr>
        <w:t>attraverso il ricorso a scelte di “</w:t>
      </w:r>
      <w:r w:rsidRPr="003353B7">
        <w:rPr>
          <w:i/>
          <w:sz w:val="24"/>
          <w:szCs w:val="24"/>
        </w:rPr>
        <w:t>ultima ratio</w:t>
      </w:r>
      <w:r>
        <w:rPr>
          <w:sz w:val="24"/>
          <w:szCs w:val="24"/>
        </w:rPr>
        <w:t>”, contingenti ed infungibili.</w:t>
      </w:r>
      <w:r w:rsidR="00D84787">
        <w:rPr>
          <w:sz w:val="24"/>
          <w:szCs w:val="24"/>
        </w:rPr>
        <w:t xml:space="preserve"> </w:t>
      </w:r>
    </w:p>
    <w:p w14:paraId="5F062705" w14:textId="002B9206" w:rsidR="009E2ADA" w:rsidRDefault="009E2ADA" w:rsidP="00C24B0B">
      <w:pPr>
        <w:contextualSpacing/>
        <w:jc w:val="both"/>
        <w:rPr>
          <w:sz w:val="24"/>
          <w:szCs w:val="24"/>
        </w:rPr>
      </w:pPr>
      <w:r>
        <w:rPr>
          <w:sz w:val="24"/>
          <w:szCs w:val="24"/>
        </w:rPr>
        <w:t xml:space="preserve">Pertanto, su un piano marcatamente soggettivo, il concorrente eventuale agisce con dolo generico, in una prospettiva di consapevolezza e volontà della </w:t>
      </w:r>
      <w:r w:rsidR="00180977">
        <w:rPr>
          <w:sz w:val="24"/>
          <w:szCs w:val="24"/>
        </w:rPr>
        <w:t xml:space="preserve">propria </w:t>
      </w:r>
      <w:r>
        <w:rPr>
          <w:sz w:val="24"/>
          <w:szCs w:val="24"/>
        </w:rPr>
        <w:t>condotta atipica.</w:t>
      </w:r>
    </w:p>
    <w:p w14:paraId="5E0B4410" w14:textId="4ADAAD4B" w:rsidR="009E2ADA" w:rsidRDefault="009E2ADA" w:rsidP="00C24B0B">
      <w:pPr>
        <w:contextualSpacing/>
        <w:jc w:val="both"/>
        <w:rPr>
          <w:sz w:val="24"/>
          <w:szCs w:val="24"/>
        </w:rPr>
      </w:pPr>
      <w:r>
        <w:rPr>
          <w:sz w:val="24"/>
          <w:szCs w:val="24"/>
        </w:rPr>
        <w:t>In termini generali, l’extraneus sa di agevolare l’associazione (elemento positivo del dolo generico) ma è privo della volontà di esserne parte (elemento negativo del dolo specifico</w:t>
      </w:r>
      <w:r w:rsidRPr="000909E9">
        <w:rPr>
          <w:rStyle w:val="Rimandonotaapidipagina"/>
          <w:sz w:val="22"/>
          <w:szCs w:val="22"/>
        </w:rPr>
        <w:footnoteReference w:id="25"/>
      </w:r>
      <w:r>
        <w:rPr>
          <w:sz w:val="24"/>
          <w:szCs w:val="24"/>
        </w:rPr>
        <w:t xml:space="preserve">). </w:t>
      </w:r>
    </w:p>
    <w:p w14:paraId="304FD567" w14:textId="26BB2431" w:rsidR="009E2ADA" w:rsidRPr="00E47830" w:rsidRDefault="009E2ADA" w:rsidP="00C24B0B">
      <w:pPr>
        <w:contextualSpacing/>
        <w:jc w:val="both"/>
        <w:rPr>
          <w:sz w:val="24"/>
          <w:szCs w:val="24"/>
        </w:rPr>
      </w:pPr>
      <w:r>
        <w:rPr>
          <w:sz w:val="24"/>
          <w:szCs w:val="24"/>
        </w:rPr>
        <w:lastRenderedPageBreak/>
        <w:t xml:space="preserve">In tal senso, il concorrente esterno </w:t>
      </w:r>
      <w:r w:rsidR="00AE56BB">
        <w:rPr>
          <w:sz w:val="24"/>
          <w:szCs w:val="24"/>
        </w:rPr>
        <w:t>«</w:t>
      </w:r>
      <w:r w:rsidRPr="009E2ADA">
        <w:rPr>
          <w:i/>
          <w:sz w:val="24"/>
          <w:szCs w:val="24"/>
        </w:rPr>
        <w:t>può disinteressarsi della strategia complessiva di quest'ultima, degli obiettivi che la stessa si propone di conseguire</w:t>
      </w:r>
      <w:r w:rsidR="00AE56BB">
        <w:rPr>
          <w:sz w:val="24"/>
          <w:szCs w:val="24"/>
        </w:rPr>
        <w:t>»</w:t>
      </w:r>
      <w:r>
        <w:rPr>
          <w:sz w:val="24"/>
          <w:szCs w:val="24"/>
        </w:rPr>
        <w:t>.</w:t>
      </w:r>
    </w:p>
    <w:p w14:paraId="2315FCA8" w14:textId="4407F8B0" w:rsidR="00B837A6" w:rsidRDefault="007B53B0" w:rsidP="00C24B0B">
      <w:pPr>
        <w:contextualSpacing/>
        <w:jc w:val="both"/>
        <w:rPr>
          <w:sz w:val="24"/>
          <w:szCs w:val="24"/>
        </w:rPr>
      </w:pPr>
      <w:r>
        <w:rPr>
          <w:sz w:val="24"/>
          <w:szCs w:val="24"/>
        </w:rPr>
        <w:t>In una prospettiva evolutiva, l</w:t>
      </w:r>
      <w:r w:rsidR="003448ED" w:rsidRPr="00E47830">
        <w:rPr>
          <w:sz w:val="24"/>
          <w:szCs w:val="24"/>
        </w:rPr>
        <w:t xml:space="preserve">a </w:t>
      </w:r>
      <w:r w:rsidR="00AE56BB">
        <w:rPr>
          <w:sz w:val="24"/>
          <w:szCs w:val="24"/>
        </w:rPr>
        <w:t>«</w:t>
      </w:r>
      <w:r>
        <w:rPr>
          <w:i/>
          <w:sz w:val="24"/>
          <w:szCs w:val="24"/>
        </w:rPr>
        <w:t xml:space="preserve">sentenza </w:t>
      </w:r>
      <w:r w:rsidRPr="005861F1">
        <w:rPr>
          <w:i/>
          <w:sz w:val="24"/>
          <w:szCs w:val="24"/>
        </w:rPr>
        <w:t>Carnevale</w:t>
      </w:r>
      <w:r w:rsidR="00AE56BB">
        <w:rPr>
          <w:sz w:val="24"/>
          <w:szCs w:val="24"/>
        </w:rPr>
        <w:t>»</w:t>
      </w:r>
      <w:r w:rsidRPr="00C161F0">
        <w:rPr>
          <w:rStyle w:val="Rimandonotaapidipagina"/>
          <w:sz w:val="22"/>
          <w:szCs w:val="22"/>
        </w:rPr>
        <w:footnoteReference w:id="26"/>
      </w:r>
      <w:r>
        <w:rPr>
          <w:sz w:val="24"/>
          <w:szCs w:val="24"/>
        </w:rPr>
        <w:t xml:space="preserve"> </w:t>
      </w:r>
      <w:r w:rsidR="00E105A5" w:rsidRPr="007B53B0">
        <w:rPr>
          <w:sz w:val="24"/>
          <w:szCs w:val="24"/>
        </w:rPr>
        <w:t>ha</w:t>
      </w:r>
      <w:r w:rsidR="00E105A5" w:rsidRPr="00E47830">
        <w:rPr>
          <w:sz w:val="24"/>
          <w:szCs w:val="24"/>
        </w:rPr>
        <w:t xml:space="preserve"> avuto modo di</w:t>
      </w:r>
      <w:r w:rsidR="001F64BF" w:rsidRPr="00E47830">
        <w:rPr>
          <w:sz w:val="24"/>
          <w:szCs w:val="24"/>
        </w:rPr>
        <w:t xml:space="preserve"> precisare il raggio di azione della fattispecie concorsuale</w:t>
      </w:r>
      <w:r w:rsidR="00B837A6">
        <w:rPr>
          <w:sz w:val="24"/>
          <w:szCs w:val="24"/>
        </w:rPr>
        <w:t>.</w:t>
      </w:r>
    </w:p>
    <w:p w14:paraId="0FC980D0" w14:textId="5292FB48" w:rsidR="001F64BF" w:rsidRPr="00E47830" w:rsidRDefault="00B837A6" w:rsidP="00C24B0B">
      <w:pPr>
        <w:contextualSpacing/>
        <w:jc w:val="both"/>
        <w:rPr>
          <w:sz w:val="24"/>
          <w:szCs w:val="24"/>
        </w:rPr>
      </w:pPr>
      <w:r>
        <w:rPr>
          <w:sz w:val="24"/>
          <w:szCs w:val="24"/>
        </w:rPr>
        <w:t>In tale prospettiva di indagine, la Suprema Corte ha approfondito l’analisi del</w:t>
      </w:r>
      <w:r w:rsidR="001F64BF" w:rsidRPr="00E47830">
        <w:rPr>
          <w:sz w:val="24"/>
          <w:szCs w:val="24"/>
        </w:rPr>
        <w:t xml:space="preserve"> </w:t>
      </w:r>
      <w:r w:rsidR="00636E51">
        <w:rPr>
          <w:sz w:val="24"/>
          <w:szCs w:val="24"/>
        </w:rPr>
        <w:t xml:space="preserve">profilo soggettivo </w:t>
      </w:r>
      <w:r>
        <w:rPr>
          <w:sz w:val="24"/>
          <w:szCs w:val="24"/>
        </w:rPr>
        <w:t>inerente alla figura delittuosa,</w:t>
      </w:r>
      <w:r w:rsidR="00636E51">
        <w:rPr>
          <w:sz w:val="24"/>
          <w:szCs w:val="24"/>
        </w:rPr>
        <w:t xml:space="preserve"> valorizzandone la compenetrazione con l’elemento oggettivo</w:t>
      </w:r>
      <w:r>
        <w:rPr>
          <w:sz w:val="24"/>
          <w:szCs w:val="24"/>
        </w:rPr>
        <w:t xml:space="preserve"> del reato</w:t>
      </w:r>
      <w:r w:rsidR="003D6657" w:rsidRPr="00E47830">
        <w:rPr>
          <w:sz w:val="24"/>
          <w:szCs w:val="24"/>
        </w:rPr>
        <w:t xml:space="preserve">. </w:t>
      </w:r>
    </w:p>
    <w:p w14:paraId="7886A6FD" w14:textId="428A68E0" w:rsidR="00B837A6" w:rsidRDefault="003D6657" w:rsidP="00C24B0B">
      <w:pPr>
        <w:contextualSpacing/>
        <w:jc w:val="both"/>
        <w:rPr>
          <w:sz w:val="24"/>
          <w:szCs w:val="24"/>
        </w:rPr>
      </w:pPr>
      <w:r w:rsidRPr="00E47830">
        <w:rPr>
          <w:sz w:val="24"/>
          <w:szCs w:val="24"/>
        </w:rPr>
        <w:t xml:space="preserve">In </w:t>
      </w:r>
      <w:r w:rsidR="00636E51">
        <w:rPr>
          <w:sz w:val="24"/>
          <w:szCs w:val="24"/>
        </w:rPr>
        <w:t>una simile evenienza,</w:t>
      </w:r>
      <w:r w:rsidRPr="00E47830">
        <w:rPr>
          <w:sz w:val="24"/>
          <w:szCs w:val="24"/>
        </w:rPr>
        <w:t xml:space="preserve"> </w:t>
      </w:r>
      <w:r w:rsidR="00636E51">
        <w:rPr>
          <w:sz w:val="24"/>
          <w:szCs w:val="24"/>
        </w:rPr>
        <w:t>le Sezioni Unite</w:t>
      </w:r>
      <w:r w:rsidRPr="00E47830">
        <w:rPr>
          <w:sz w:val="24"/>
          <w:szCs w:val="24"/>
        </w:rPr>
        <w:t xml:space="preserve"> </w:t>
      </w:r>
      <w:r w:rsidR="001F64BF" w:rsidRPr="00E47830">
        <w:rPr>
          <w:sz w:val="24"/>
          <w:szCs w:val="24"/>
        </w:rPr>
        <w:t>ha</w:t>
      </w:r>
      <w:r w:rsidR="00636E51">
        <w:rPr>
          <w:sz w:val="24"/>
          <w:szCs w:val="24"/>
        </w:rPr>
        <w:t>nno</w:t>
      </w:r>
      <w:r w:rsidR="001F64BF" w:rsidRPr="00E47830">
        <w:rPr>
          <w:sz w:val="24"/>
          <w:szCs w:val="24"/>
        </w:rPr>
        <w:t xml:space="preserve"> </w:t>
      </w:r>
      <w:r w:rsidR="00636E51">
        <w:rPr>
          <w:sz w:val="24"/>
          <w:szCs w:val="24"/>
        </w:rPr>
        <w:t xml:space="preserve">delineato </w:t>
      </w:r>
      <w:r w:rsidR="00F251D9">
        <w:rPr>
          <w:sz w:val="24"/>
          <w:szCs w:val="24"/>
        </w:rPr>
        <w:t>i connotati</w:t>
      </w:r>
      <w:r w:rsidR="008E778F">
        <w:rPr>
          <w:sz w:val="24"/>
          <w:szCs w:val="24"/>
        </w:rPr>
        <w:t xml:space="preserve"> ed i tratti </w:t>
      </w:r>
      <w:r w:rsidR="00F251D9">
        <w:rPr>
          <w:sz w:val="24"/>
          <w:szCs w:val="24"/>
        </w:rPr>
        <w:t>fisionomici</w:t>
      </w:r>
      <w:r w:rsidR="00636E51">
        <w:rPr>
          <w:sz w:val="24"/>
          <w:szCs w:val="24"/>
        </w:rPr>
        <w:t xml:space="preserve"> del </w:t>
      </w:r>
      <w:r w:rsidR="00E105A5" w:rsidRPr="00E47830">
        <w:rPr>
          <w:sz w:val="24"/>
          <w:szCs w:val="24"/>
        </w:rPr>
        <w:t xml:space="preserve">concorrente </w:t>
      </w:r>
      <w:r w:rsidR="00EE491E">
        <w:rPr>
          <w:sz w:val="24"/>
          <w:szCs w:val="24"/>
        </w:rPr>
        <w:t>eventuale</w:t>
      </w:r>
      <w:r w:rsidR="00654CE0" w:rsidRPr="000909E9">
        <w:rPr>
          <w:rStyle w:val="Rimandonotaapidipagina"/>
          <w:sz w:val="22"/>
          <w:szCs w:val="22"/>
        </w:rPr>
        <w:footnoteReference w:id="27"/>
      </w:r>
      <w:r w:rsidR="00B837A6">
        <w:rPr>
          <w:sz w:val="24"/>
          <w:szCs w:val="24"/>
        </w:rPr>
        <w:t>.</w:t>
      </w:r>
    </w:p>
    <w:p w14:paraId="28FB56FB" w14:textId="4D69D7D0" w:rsidR="00B837A6" w:rsidRDefault="00B837A6" w:rsidP="00C24B0B">
      <w:pPr>
        <w:contextualSpacing/>
        <w:jc w:val="both"/>
        <w:rPr>
          <w:sz w:val="24"/>
          <w:szCs w:val="24"/>
        </w:rPr>
      </w:pPr>
      <w:r>
        <w:rPr>
          <w:sz w:val="24"/>
          <w:szCs w:val="24"/>
        </w:rPr>
        <w:t>In particolare, la Corte ha evidenziato</w:t>
      </w:r>
      <w:r w:rsidR="00EE491E">
        <w:rPr>
          <w:sz w:val="24"/>
          <w:szCs w:val="24"/>
        </w:rPr>
        <w:t xml:space="preserve"> la non perfetta</w:t>
      </w:r>
      <w:r w:rsidR="00C161F0">
        <w:rPr>
          <w:sz w:val="24"/>
          <w:szCs w:val="24"/>
        </w:rPr>
        <w:t xml:space="preserve"> </w:t>
      </w:r>
      <w:r w:rsidR="00AE56BB">
        <w:rPr>
          <w:sz w:val="24"/>
          <w:szCs w:val="24"/>
        </w:rPr>
        <w:t>«</w:t>
      </w:r>
      <w:r w:rsidR="00EE491E" w:rsidRPr="00EE491E">
        <w:rPr>
          <w:i/>
          <w:sz w:val="24"/>
          <w:szCs w:val="24"/>
        </w:rPr>
        <w:t>sovrapponibilità</w:t>
      </w:r>
      <w:r w:rsidR="00AE56BB">
        <w:rPr>
          <w:sz w:val="24"/>
          <w:szCs w:val="24"/>
        </w:rPr>
        <w:t>»</w:t>
      </w:r>
      <w:r w:rsidR="00EE491E">
        <w:rPr>
          <w:sz w:val="24"/>
          <w:szCs w:val="24"/>
        </w:rPr>
        <w:t xml:space="preserve"> </w:t>
      </w:r>
      <w:r>
        <w:rPr>
          <w:sz w:val="24"/>
          <w:szCs w:val="24"/>
        </w:rPr>
        <w:t>tra la figura del</w:t>
      </w:r>
      <w:r w:rsidR="00F251D9">
        <w:rPr>
          <w:sz w:val="24"/>
          <w:szCs w:val="24"/>
        </w:rPr>
        <w:t>l’extraneus</w:t>
      </w:r>
      <w:r>
        <w:rPr>
          <w:sz w:val="24"/>
          <w:szCs w:val="24"/>
        </w:rPr>
        <w:t xml:space="preserve"> e quella</w:t>
      </w:r>
      <w:r w:rsidR="00EE491E">
        <w:rPr>
          <w:sz w:val="24"/>
          <w:szCs w:val="24"/>
        </w:rPr>
        <w:t xml:space="preserve"> del partecipe</w:t>
      </w:r>
      <w:r w:rsidR="00065EB0" w:rsidRPr="000909E9">
        <w:rPr>
          <w:rStyle w:val="Rimandonotaapidipagina"/>
          <w:sz w:val="22"/>
          <w:szCs w:val="22"/>
        </w:rPr>
        <w:footnoteReference w:id="28"/>
      </w:r>
      <w:r>
        <w:rPr>
          <w:sz w:val="24"/>
          <w:szCs w:val="24"/>
        </w:rPr>
        <w:t>.</w:t>
      </w:r>
    </w:p>
    <w:p w14:paraId="084FAE0A" w14:textId="166FD537" w:rsidR="00636E51" w:rsidRDefault="00B837A6" w:rsidP="00C24B0B">
      <w:pPr>
        <w:contextualSpacing/>
        <w:jc w:val="both"/>
        <w:rPr>
          <w:sz w:val="24"/>
          <w:szCs w:val="24"/>
        </w:rPr>
      </w:pPr>
      <w:r>
        <w:rPr>
          <w:sz w:val="24"/>
          <w:szCs w:val="24"/>
        </w:rPr>
        <w:t>La differenza rileverebbe non soltanto sul piano</w:t>
      </w:r>
      <w:r w:rsidR="00EE491E">
        <w:rPr>
          <w:sz w:val="24"/>
          <w:szCs w:val="24"/>
        </w:rPr>
        <w:t xml:space="preserve"> </w:t>
      </w:r>
      <w:r>
        <w:rPr>
          <w:sz w:val="24"/>
          <w:szCs w:val="24"/>
        </w:rPr>
        <w:t>materiale della</w:t>
      </w:r>
      <w:r w:rsidR="00EE491E">
        <w:rPr>
          <w:sz w:val="24"/>
          <w:szCs w:val="24"/>
        </w:rPr>
        <w:t xml:space="preserve"> condotta</w:t>
      </w:r>
      <w:r w:rsidR="006E0AE8" w:rsidRPr="00B837A6">
        <w:rPr>
          <w:rStyle w:val="Rimandonotaapidipagina"/>
          <w:sz w:val="22"/>
          <w:szCs w:val="22"/>
        </w:rPr>
        <w:footnoteReference w:id="29"/>
      </w:r>
      <w:r w:rsidR="00EE491E">
        <w:rPr>
          <w:sz w:val="24"/>
          <w:szCs w:val="24"/>
        </w:rPr>
        <w:t xml:space="preserve"> </w:t>
      </w:r>
      <w:r>
        <w:rPr>
          <w:sz w:val="24"/>
          <w:szCs w:val="24"/>
        </w:rPr>
        <w:t>ma anche sotto un profilo marcatamente</w:t>
      </w:r>
      <w:r w:rsidR="00EE491E">
        <w:rPr>
          <w:sz w:val="24"/>
          <w:szCs w:val="24"/>
        </w:rPr>
        <w:t xml:space="preserve"> psicologico</w:t>
      </w:r>
      <w:r w:rsidR="00D65DFB" w:rsidRPr="000909E9">
        <w:rPr>
          <w:rStyle w:val="Rimandonotaapidipagina"/>
          <w:sz w:val="22"/>
          <w:szCs w:val="22"/>
        </w:rPr>
        <w:footnoteReference w:id="30"/>
      </w:r>
      <w:r w:rsidR="00636E51">
        <w:rPr>
          <w:sz w:val="24"/>
          <w:szCs w:val="24"/>
        </w:rPr>
        <w:t>.</w:t>
      </w:r>
    </w:p>
    <w:p w14:paraId="405F7298" w14:textId="5B8EF321" w:rsidR="001F64BF" w:rsidRDefault="00636E51" w:rsidP="00C24B0B">
      <w:pPr>
        <w:contextualSpacing/>
        <w:jc w:val="both"/>
        <w:rPr>
          <w:sz w:val="24"/>
          <w:szCs w:val="24"/>
        </w:rPr>
      </w:pPr>
      <w:r>
        <w:rPr>
          <w:sz w:val="24"/>
          <w:szCs w:val="24"/>
        </w:rPr>
        <w:t xml:space="preserve">In tal senso, </w:t>
      </w:r>
      <w:r w:rsidR="00F251D9">
        <w:rPr>
          <w:sz w:val="24"/>
          <w:szCs w:val="24"/>
        </w:rPr>
        <w:t>concorrente esterno</w:t>
      </w:r>
      <w:r w:rsidR="001D5884">
        <w:rPr>
          <w:sz w:val="24"/>
          <w:szCs w:val="24"/>
        </w:rPr>
        <w:t xml:space="preserve"> è</w:t>
      </w:r>
      <w:r>
        <w:rPr>
          <w:sz w:val="24"/>
          <w:szCs w:val="24"/>
        </w:rPr>
        <w:t xml:space="preserve"> </w:t>
      </w:r>
      <w:r w:rsidR="00F251D9">
        <w:rPr>
          <w:sz w:val="24"/>
          <w:szCs w:val="24"/>
        </w:rPr>
        <w:t>chi</w:t>
      </w:r>
      <w:r w:rsidR="00A7245E">
        <w:rPr>
          <w:sz w:val="24"/>
          <w:szCs w:val="24"/>
        </w:rPr>
        <w:t>, privo d</w:t>
      </w:r>
      <w:r w:rsidR="00F251D9">
        <w:rPr>
          <w:sz w:val="24"/>
          <w:szCs w:val="24"/>
        </w:rPr>
        <w:t>i</w:t>
      </w:r>
      <w:r w:rsidR="00A7245E">
        <w:rPr>
          <w:sz w:val="24"/>
          <w:szCs w:val="24"/>
        </w:rPr>
        <w:t xml:space="preserve"> </w:t>
      </w:r>
      <w:r w:rsidR="00AE56BB">
        <w:rPr>
          <w:sz w:val="24"/>
          <w:szCs w:val="24"/>
        </w:rPr>
        <w:t>«</w:t>
      </w:r>
      <w:r w:rsidR="0045242B" w:rsidRPr="00A7245E">
        <w:rPr>
          <w:i/>
          <w:sz w:val="24"/>
          <w:szCs w:val="24"/>
        </w:rPr>
        <w:t>affectio societatis</w:t>
      </w:r>
      <w:r w:rsidR="00A7245E" w:rsidRPr="00A7245E">
        <w:rPr>
          <w:i/>
          <w:sz w:val="24"/>
          <w:szCs w:val="24"/>
        </w:rPr>
        <w:t xml:space="preserve"> scelerum</w:t>
      </w:r>
      <w:r w:rsidR="00AE56BB">
        <w:rPr>
          <w:sz w:val="24"/>
          <w:szCs w:val="24"/>
        </w:rPr>
        <w:t>»</w:t>
      </w:r>
      <w:r w:rsidR="0045242B">
        <w:rPr>
          <w:sz w:val="24"/>
          <w:szCs w:val="24"/>
        </w:rPr>
        <w:t xml:space="preserve"> e</w:t>
      </w:r>
      <w:r w:rsidR="00B837A6">
        <w:rPr>
          <w:sz w:val="24"/>
          <w:szCs w:val="24"/>
        </w:rPr>
        <w:t>,</w:t>
      </w:r>
      <w:r w:rsidR="0045242B">
        <w:rPr>
          <w:sz w:val="24"/>
          <w:szCs w:val="24"/>
        </w:rPr>
        <w:t xml:space="preserve"> pur non strutturalmente inserito nella compagine </w:t>
      </w:r>
      <w:r w:rsidR="00B837A6">
        <w:rPr>
          <w:sz w:val="24"/>
          <w:szCs w:val="24"/>
        </w:rPr>
        <w:t>associativa</w:t>
      </w:r>
      <w:r w:rsidR="0045242B">
        <w:rPr>
          <w:sz w:val="24"/>
          <w:szCs w:val="24"/>
        </w:rPr>
        <w:t>,</w:t>
      </w:r>
      <w:r w:rsidR="00E105A5" w:rsidRPr="00E47830">
        <w:rPr>
          <w:sz w:val="24"/>
          <w:szCs w:val="24"/>
        </w:rPr>
        <w:t xml:space="preserve"> </w:t>
      </w:r>
      <w:r w:rsidR="0045242B">
        <w:rPr>
          <w:sz w:val="24"/>
          <w:szCs w:val="24"/>
        </w:rPr>
        <w:t>ponga</w:t>
      </w:r>
      <w:r w:rsidR="00E105A5" w:rsidRPr="00E47830">
        <w:rPr>
          <w:sz w:val="24"/>
          <w:szCs w:val="24"/>
        </w:rPr>
        <w:t xml:space="preserve"> in essere un contributo </w:t>
      </w:r>
      <w:r w:rsidR="00AE56BB">
        <w:rPr>
          <w:sz w:val="24"/>
          <w:szCs w:val="24"/>
        </w:rPr>
        <w:t>«</w:t>
      </w:r>
      <w:r w:rsidR="003D6657" w:rsidRPr="00B837A6">
        <w:rPr>
          <w:i/>
          <w:sz w:val="24"/>
          <w:szCs w:val="24"/>
        </w:rPr>
        <w:t xml:space="preserve">concreto, </w:t>
      </w:r>
      <w:r w:rsidR="00E105A5" w:rsidRPr="00B837A6">
        <w:rPr>
          <w:i/>
          <w:sz w:val="24"/>
          <w:szCs w:val="24"/>
        </w:rPr>
        <w:t xml:space="preserve">volontario, specifico e </w:t>
      </w:r>
      <w:r w:rsidR="003D6657" w:rsidRPr="00B837A6">
        <w:rPr>
          <w:i/>
          <w:sz w:val="24"/>
          <w:szCs w:val="24"/>
        </w:rPr>
        <w:t>consapevole</w:t>
      </w:r>
      <w:r w:rsidR="00AE56BB">
        <w:rPr>
          <w:sz w:val="24"/>
          <w:szCs w:val="24"/>
        </w:rPr>
        <w:t>»</w:t>
      </w:r>
      <w:r w:rsidR="001F64BF" w:rsidRPr="00E47830">
        <w:rPr>
          <w:sz w:val="24"/>
          <w:szCs w:val="24"/>
        </w:rPr>
        <w:t xml:space="preserve"> a pres</w:t>
      </w:r>
      <w:r w:rsidR="0045242B">
        <w:rPr>
          <w:sz w:val="24"/>
          <w:szCs w:val="24"/>
        </w:rPr>
        <w:t>cindere dallo stato in cui versi</w:t>
      </w:r>
      <w:r w:rsidR="001F64BF" w:rsidRPr="00E47830">
        <w:rPr>
          <w:sz w:val="24"/>
          <w:szCs w:val="24"/>
        </w:rPr>
        <w:t xml:space="preserve"> l’</w:t>
      </w:r>
      <w:r w:rsidR="00B837A6">
        <w:rPr>
          <w:sz w:val="24"/>
          <w:szCs w:val="24"/>
        </w:rPr>
        <w:t>organizzazione criminale</w:t>
      </w:r>
      <w:r w:rsidR="001F64BF" w:rsidRPr="00E47830">
        <w:rPr>
          <w:sz w:val="24"/>
          <w:szCs w:val="24"/>
        </w:rPr>
        <w:t xml:space="preserve">. </w:t>
      </w:r>
    </w:p>
    <w:p w14:paraId="563F34B7" w14:textId="77777777" w:rsidR="00AE273A" w:rsidRDefault="00AE273A" w:rsidP="00C24B0B">
      <w:pPr>
        <w:contextualSpacing/>
        <w:jc w:val="both"/>
        <w:rPr>
          <w:sz w:val="24"/>
          <w:szCs w:val="24"/>
        </w:rPr>
      </w:pPr>
      <w:r>
        <w:rPr>
          <w:sz w:val="24"/>
          <w:szCs w:val="24"/>
        </w:rPr>
        <w:t>Ciò posto</w:t>
      </w:r>
      <w:r w:rsidR="00B837A6">
        <w:rPr>
          <w:sz w:val="24"/>
          <w:szCs w:val="24"/>
        </w:rPr>
        <w:t xml:space="preserve">, giova riflettere sulle premesse dell’argomentazione giuridica. </w:t>
      </w:r>
    </w:p>
    <w:p w14:paraId="375BABC1" w14:textId="72995FAE" w:rsidR="00B837A6" w:rsidRDefault="00AE273A" w:rsidP="00C24B0B">
      <w:pPr>
        <w:contextualSpacing/>
        <w:jc w:val="both"/>
        <w:rPr>
          <w:sz w:val="24"/>
          <w:szCs w:val="24"/>
        </w:rPr>
      </w:pPr>
      <w:r>
        <w:rPr>
          <w:sz w:val="24"/>
          <w:szCs w:val="24"/>
        </w:rPr>
        <w:t>La</w:t>
      </w:r>
      <w:r w:rsidR="00B837A6">
        <w:rPr>
          <w:sz w:val="24"/>
          <w:szCs w:val="24"/>
        </w:rPr>
        <w:t xml:space="preserve"> prospettiva ermeneutica </w:t>
      </w:r>
      <w:r>
        <w:rPr>
          <w:sz w:val="24"/>
          <w:szCs w:val="24"/>
        </w:rPr>
        <w:t>delineata impone di</w:t>
      </w:r>
      <w:r w:rsidR="00B837A6">
        <w:rPr>
          <w:sz w:val="24"/>
          <w:szCs w:val="24"/>
        </w:rPr>
        <w:t xml:space="preserve"> </w:t>
      </w:r>
      <w:r w:rsidR="00F251D9">
        <w:rPr>
          <w:sz w:val="24"/>
          <w:szCs w:val="24"/>
        </w:rPr>
        <w:t>verificare in cosa consiste lo stringente legame che raccorda</w:t>
      </w:r>
      <w:r w:rsidR="00B837A6">
        <w:rPr>
          <w:sz w:val="24"/>
          <w:szCs w:val="24"/>
        </w:rPr>
        <w:t xml:space="preserve"> la</w:t>
      </w:r>
      <w:r w:rsidR="00E32A74">
        <w:rPr>
          <w:sz w:val="24"/>
          <w:szCs w:val="24"/>
        </w:rPr>
        <w:t xml:space="preserve"> qualifica di concorrente eventuale nel reato associativo </w:t>
      </w:r>
      <w:r w:rsidR="00B837A6">
        <w:rPr>
          <w:sz w:val="24"/>
          <w:szCs w:val="24"/>
        </w:rPr>
        <w:t xml:space="preserve">di tipo mafioso </w:t>
      </w:r>
      <w:r w:rsidR="00E32A74">
        <w:rPr>
          <w:sz w:val="24"/>
          <w:szCs w:val="24"/>
        </w:rPr>
        <w:t xml:space="preserve">alla commissione di una condotta atipica. </w:t>
      </w:r>
    </w:p>
    <w:p w14:paraId="09E0F2A9" w14:textId="0D89D792" w:rsidR="00F251D9" w:rsidRDefault="00A826C0" w:rsidP="00C24B0B">
      <w:pPr>
        <w:contextualSpacing/>
        <w:jc w:val="both"/>
        <w:rPr>
          <w:sz w:val="24"/>
          <w:szCs w:val="24"/>
        </w:rPr>
      </w:pPr>
      <w:r>
        <w:rPr>
          <w:sz w:val="24"/>
          <w:szCs w:val="24"/>
        </w:rPr>
        <w:t>S un piano assiomatico</w:t>
      </w:r>
      <w:r w:rsidR="00B837A6">
        <w:rPr>
          <w:sz w:val="24"/>
          <w:szCs w:val="24"/>
        </w:rPr>
        <w:t>, infatti,</w:t>
      </w:r>
      <w:r w:rsidR="00E32A74">
        <w:rPr>
          <w:sz w:val="24"/>
          <w:szCs w:val="24"/>
        </w:rPr>
        <w:t xml:space="preserve"> </w:t>
      </w:r>
      <w:r w:rsidR="00F251D9">
        <w:rPr>
          <w:sz w:val="24"/>
          <w:szCs w:val="24"/>
        </w:rPr>
        <w:t xml:space="preserve">il rapporto tra condotta e concorso si </w:t>
      </w:r>
      <w:r>
        <w:rPr>
          <w:sz w:val="24"/>
          <w:szCs w:val="24"/>
        </w:rPr>
        <w:t>estrinseca attraverso una doppia dimensione, oggettiva e soggettiva, che subisce l’influenza assiologica dei principi di</w:t>
      </w:r>
      <w:r w:rsidR="00F251D9">
        <w:rPr>
          <w:sz w:val="24"/>
          <w:szCs w:val="24"/>
        </w:rPr>
        <w:t xml:space="preserve"> tipicità e </w:t>
      </w:r>
      <w:r>
        <w:rPr>
          <w:sz w:val="24"/>
          <w:szCs w:val="24"/>
        </w:rPr>
        <w:t xml:space="preserve">di </w:t>
      </w:r>
      <w:r w:rsidR="00F251D9">
        <w:rPr>
          <w:sz w:val="24"/>
          <w:szCs w:val="24"/>
        </w:rPr>
        <w:t>personalità della responsabilità penale</w:t>
      </w:r>
      <w:r>
        <w:rPr>
          <w:sz w:val="24"/>
          <w:szCs w:val="24"/>
        </w:rPr>
        <w:t>.</w:t>
      </w:r>
    </w:p>
    <w:p w14:paraId="715F8D30" w14:textId="049AB6E8" w:rsidR="00000A5E" w:rsidRDefault="00A826C0" w:rsidP="00C24B0B">
      <w:pPr>
        <w:contextualSpacing/>
        <w:jc w:val="both"/>
        <w:rPr>
          <w:sz w:val="24"/>
          <w:szCs w:val="24"/>
        </w:rPr>
      </w:pPr>
      <w:r>
        <w:rPr>
          <w:sz w:val="24"/>
          <w:szCs w:val="24"/>
        </w:rPr>
        <w:lastRenderedPageBreak/>
        <w:t xml:space="preserve">Su un piano applicativo, </w:t>
      </w:r>
      <w:r w:rsidR="00E32A74">
        <w:rPr>
          <w:sz w:val="24"/>
          <w:szCs w:val="24"/>
        </w:rPr>
        <w:t xml:space="preserve">è proprio </w:t>
      </w:r>
      <w:r w:rsidR="00B837A6">
        <w:rPr>
          <w:sz w:val="24"/>
          <w:szCs w:val="24"/>
        </w:rPr>
        <w:t>il</w:t>
      </w:r>
      <w:r w:rsidR="00E32A74">
        <w:rPr>
          <w:sz w:val="24"/>
          <w:szCs w:val="24"/>
        </w:rPr>
        <w:t xml:space="preserve"> contegno atipico a costituire il “corpus” sul quale si innesta “l’animus” del soggetto agente. </w:t>
      </w:r>
    </w:p>
    <w:p w14:paraId="54047B3D" w14:textId="77777777" w:rsidR="000F75FB" w:rsidRDefault="00000A5E" w:rsidP="00C24B0B">
      <w:pPr>
        <w:contextualSpacing/>
        <w:jc w:val="both"/>
        <w:rPr>
          <w:sz w:val="24"/>
          <w:szCs w:val="24"/>
        </w:rPr>
      </w:pPr>
      <w:r>
        <w:rPr>
          <w:sz w:val="24"/>
          <w:szCs w:val="24"/>
        </w:rPr>
        <w:t>La componente psicologica del reato</w:t>
      </w:r>
      <w:r w:rsidR="00E32A74">
        <w:rPr>
          <w:sz w:val="24"/>
          <w:szCs w:val="24"/>
        </w:rPr>
        <w:t xml:space="preserve"> </w:t>
      </w:r>
      <w:r w:rsidR="002F30F7">
        <w:rPr>
          <w:sz w:val="24"/>
          <w:szCs w:val="24"/>
        </w:rPr>
        <w:t>deve combaciare con il comportamento sul quale essa si incardina</w:t>
      </w:r>
      <w:r w:rsidR="000F75FB">
        <w:rPr>
          <w:sz w:val="24"/>
          <w:szCs w:val="24"/>
        </w:rPr>
        <w:t>.</w:t>
      </w:r>
    </w:p>
    <w:p w14:paraId="41D67C76" w14:textId="62061FC8" w:rsidR="00E32A74" w:rsidRDefault="000F75FB" w:rsidP="00C24B0B">
      <w:pPr>
        <w:contextualSpacing/>
        <w:jc w:val="both"/>
        <w:rPr>
          <w:sz w:val="24"/>
          <w:szCs w:val="24"/>
        </w:rPr>
      </w:pPr>
      <w:r>
        <w:rPr>
          <w:sz w:val="24"/>
          <w:szCs w:val="24"/>
        </w:rPr>
        <w:t xml:space="preserve">In quest’ottica ermeneutica l’elemento oggettivo del reato si combina con quello psicologico che si conforma </w:t>
      </w:r>
      <w:r w:rsidR="00E32A74">
        <w:rPr>
          <w:sz w:val="24"/>
          <w:szCs w:val="24"/>
        </w:rPr>
        <w:t xml:space="preserve">secondo i profili conoscitivi </w:t>
      </w:r>
      <w:r>
        <w:rPr>
          <w:sz w:val="24"/>
          <w:szCs w:val="24"/>
        </w:rPr>
        <w:t xml:space="preserve">dei </w:t>
      </w:r>
      <w:r w:rsidR="00E32A74">
        <w:rPr>
          <w:sz w:val="24"/>
          <w:szCs w:val="24"/>
        </w:rPr>
        <w:t>tratti materiali</w:t>
      </w:r>
      <w:r>
        <w:rPr>
          <w:sz w:val="24"/>
          <w:szCs w:val="24"/>
        </w:rPr>
        <w:t xml:space="preserve"> del reato</w:t>
      </w:r>
      <w:r w:rsidR="00E32A74">
        <w:rPr>
          <w:sz w:val="24"/>
          <w:szCs w:val="24"/>
        </w:rPr>
        <w:t xml:space="preserve"> (che sono</w:t>
      </w:r>
      <w:r>
        <w:rPr>
          <w:sz w:val="24"/>
          <w:szCs w:val="24"/>
        </w:rPr>
        <w:t>,</w:t>
      </w:r>
      <w:r w:rsidR="00E32A74">
        <w:rPr>
          <w:sz w:val="24"/>
          <w:szCs w:val="24"/>
        </w:rPr>
        <w:t xml:space="preserve"> </w:t>
      </w:r>
      <w:r>
        <w:rPr>
          <w:sz w:val="24"/>
          <w:szCs w:val="24"/>
        </w:rPr>
        <w:t xml:space="preserve">almeno in parte, </w:t>
      </w:r>
      <w:r w:rsidR="00E32A74">
        <w:rPr>
          <w:sz w:val="24"/>
          <w:szCs w:val="24"/>
        </w:rPr>
        <w:t>diversi</w:t>
      </w:r>
      <w:r>
        <w:rPr>
          <w:sz w:val="24"/>
          <w:szCs w:val="24"/>
        </w:rPr>
        <w:t>, in quanto atipici,</w:t>
      </w:r>
      <w:r w:rsidR="00E32A74">
        <w:rPr>
          <w:sz w:val="24"/>
          <w:szCs w:val="24"/>
        </w:rPr>
        <w:t xml:space="preserve"> da quelli prescritti dall’art. 416-bis c.p.). </w:t>
      </w:r>
    </w:p>
    <w:p w14:paraId="69539152" w14:textId="0839D208" w:rsidR="000F75FB" w:rsidRDefault="000F75FB" w:rsidP="00C24B0B">
      <w:pPr>
        <w:contextualSpacing/>
        <w:jc w:val="both"/>
        <w:rPr>
          <w:sz w:val="24"/>
          <w:szCs w:val="24"/>
        </w:rPr>
      </w:pPr>
      <w:r>
        <w:rPr>
          <w:sz w:val="24"/>
          <w:szCs w:val="24"/>
        </w:rPr>
        <w:t xml:space="preserve">Giunti a questo punto della disamina </w:t>
      </w:r>
      <w:r w:rsidR="00AE273A">
        <w:rPr>
          <w:sz w:val="24"/>
          <w:szCs w:val="24"/>
        </w:rPr>
        <w:t>giurisprudenziale</w:t>
      </w:r>
      <w:r w:rsidR="001D5884">
        <w:rPr>
          <w:sz w:val="24"/>
          <w:szCs w:val="24"/>
        </w:rPr>
        <w:t xml:space="preserve">, </w:t>
      </w:r>
      <w:r>
        <w:rPr>
          <w:sz w:val="24"/>
          <w:szCs w:val="24"/>
        </w:rPr>
        <w:t xml:space="preserve">risulta opportuno operare un passaggio ulteriore. </w:t>
      </w:r>
    </w:p>
    <w:p w14:paraId="48822704" w14:textId="4187043D" w:rsidR="000F75FB" w:rsidRDefault="000F75FB" w:rsidP="00C24B0B">
      <w:pPr>
        <w:contextualSpacing/>
        <w:jc w:val="both"/>
        <w:rPr>
          <w:sz w:val="24"/>
          <w:szCs w:val="24"/>
        </w:rPr>
      </w:pPr>
      <w:r>
        <w:rPr>
          <w:sz w:val="24"/>
          <w:szCs w:val="24"/>
        </w:rPr>
        <w:t>L</w:t>
      </w:r>
      <w:r w:rsidR="00AE273A">
        <w:rPr>
          <w:sz w:val="24"/>
          <w:szCs w:val="24"/>
        </w:rPr>
        <w:t>e pronunce intervenute sulla questione</w:t>
      </w:r>
      <w:r>
        <w:rPr>
          <w:sz w:val="24"/>
          <w:szCs w:val="24"/>
        </w:rPr>
        <w:t>, nel tentativo di individuare un netto confine tra le figure tipiche ed atipiche in gioco</w:t>
      </w:r>
      <w:r w:rsidR="00AE273A">
        <w:rPr>
          <w:sz w:val="24"/>
          <w:szCs w:val="24"/>
        </w:rPr>
        <w:t>,</w:t>
      </w:r>
      <w:r>
        <w:rPr>
          <w:sz w:val="24"/>
          <w:szCs w:val="24"/>
        </w:rPr>
        <w:t xml:space="preserve"> ha</w:t>
      </w:r>
      <w:r w:rsidR="00AE273A">
        <w:rPr>
          <w:sz w:val="24"/>
          <w:szCs w:val="24"/>
        </w:rPr>
        <w:t>nno</w:t>
      </w:r>
      <w:r>
        <w:rPr>
          <w:sz w:val="24"/>
          <w:szCs w:val="24"/>
        </w:rPr>
        <w:t xml:space="preserve"> dovuto rispondere a numerosi interrogativi.</w:t>
      </w:r>
    </w:p>
    <w:p w14:paraId="587FB736" w14:textId="77777777" w:rsidR="00A826C0" w:rsidRDefault="000F75FB" w:rsidP="00C24B0B">
      <w:pPr>
        <w:contextualSpacing/>
        <w:jc w:val="both"/>
        <w:rPr>
          <w:sz w:val="24"/>
          <w:szCs w:val="24"/>
        </w:rPr>
      </w:pPr>
      <w:r>
        <w:rPr>
          <w:sz w:val="24"/>
          <w:szCs w:val="24"/>
        </w:rPr>
        <w:t>Tra questi, una questione particolare si pone se si prende come angolo di prospettiva quella dell’</w:t>
      </w:r>
      <w:r w:rsidR="00334887">
        <w:rPr>
          <w:sz w:val="24"/>
          <w:szCs w:val="24"/>
        </w:rPr>
        <w:t>elemento soggettivo che anima l’</w:t>
      </w:r>
      <w:r>
        <w:rPr>
          <w:sz w:val="24"/>
          <w:szCs w:val="24"/>
        </w:rPr>
        <w:t>extraneus</w:t>
      </w:r>
      <w:r w:rsidR="00A826C0">
        <w:rPr>
          <w:sz w:val="24"/>
          <w:szCs w:val="24"/>
        </w:rPr>
        <w:t>.</w:t>
      </w:r>
    </w:p>
    <w:p w14:paraId="17DAD576" w14:textId="0BEABE4D" w:rsidR="000F75FB" w:rsidRDefault="00A826C0" w:rsidP="00C24B0B">
      <w:pPr>
        <w:contextualSpacing/>
        <w:jc w:val="both"/>
        <w:rPr>
          <w:sz w:val="24"/>
          <w:szCs w:val="24"/>
        </w:rPr>
      </w:pPr>
      <w:r>
        <w:rPr>
          <w:sz w:val="24"/>
          <w:szCs w:val="24"/>
        </w:rPr>
        <w:t>In particolare, la figura del concorrente esterno va posta in correlazione con la fattispecie che appare ad esso più affine, ossia quella del “facente parte” di cui all’art. 416-bis, co. 1, c.p.</w:t>
      </w:r>
      <w:r w:rsidR="000F75FB">
        <w:rPr>
          <w:sz w:val="24"/>
          <w:szCs w:val="24"/>
        </w:rPr>
        <w:t xml:space="preserve"> </w:t>
      </w:r>
    </w:p>
    <w:p w14:paraId="597EBA74" w14:textId="77777777" w:rsidR="00A513FC" w:rsidRDefault="00A513FC" w:rsidP="00C24B0B">
      <w:pPr>
        <w:contextualSpacing/>
        <w:jc w:val="both"/>
        <w:rPr>
          <w:sz w:val="24"/>
          <w:szCs w:val="24"/>
        </w:rPr>
      </w:pPr>
      <w:r>
        <w:rPr>
          <w:sz w:val="24"/>
          <w:szCs w:val="24"/>
        </w:rPr>
        <w:t>La premessa di fondo è che</w:t>
      </w:r>
      <w:r w:rsidR="00A826C0">
        <w:rPr>
          <w:sz w:val="24"/>
          <w:szCs w:val="24"/>
        </w:rPr>
        <w:t xml:space="preserve"> </w:t>
      </w:r>
      <w:r>
        <w:rPr>
          <w:sz w:val="24"/>
          <w:szCs w:val="24"/>
        </w:rPr>
        <w:t xml:space="preserve">il peculiare </w:t>
      </w:r>
      <w:r w:rsidR="00A826C0">
        <w:rPr>
          <w:sz w:val="24"/>
          <w:szCs w:val="24"/>
        </w:rPr>
        <w:t xml:space="preserve">elemento soggettivo </w:t>
      </w:r>
      <w:r>
        <w:rPr>
          <w:sz w:val="24"/>
          <w:szCs w:val="24"/>
        </w:rPr>
        <w:t xml:space="preserve">che anima l’extraneus </w:t>
      </w:r>
      <w:r w:rsidR="00A826C0">
        <w:rPr>
          <w:sz w:val="24"/>
          <w:szCs w:val="24"/>
        </w:rPr>
        <w:t>integra un tratto caratterizzante e discretivo della fattispecie</w:t>
      </w:r>
      <w:r>
        <w:rPr>
          <w:sz w:val="24"/>
          <w:szCs w:val="24"/>
        </w:rPr>
        <w:t>.</w:t>
      </w:r>
    </w:p>
    <w:p w14:paraId="10611258" w14:textId="4A8EA8C5" w:rsidR="001D5884" w:rsidRPr="00E47830" w:rsidRDefault="00A513FC" w:rsidP="00C24B0B">
      <w:pPr>
        <w:contextualSpacing/>
        <w:jc w:val="both"/>
        <w:rPr>
          <w:sz w:val="24"/>
          <w:szCs w:val="24"/>
        </w:rPr>
      </w:pPr>
      <w:r>
        <w:rPr>
          <w:sz w:val="24"/>
          <w:szCs w:val="24"/>
        </w:rPr>
        <w:t>Dunque,</w:t>
      </w:r>
      <w:r w:rsidR="00A826C0">
        <w:rPr>
          <w:sz w:val="24"/>
          <w:szCs w:val="24"/>
        </w:rPr>
        <w:t xml:space="preserve"> a</w:t>
      </w:r>
      <w:r w:rsidR="000F75FB">
        <w:rPr>
          <w:sz w:val="24"/>
          <w:szCs w:val="24"/>
        </w:rPr>
        <w:t xml:space="preserve">ppare senz’altro </w:t>
      </w:r>
      <w:r w:rsidR="00334887">
        <w:rPr>
          <w:sz w:val="24"/>
          <w:szCs w:val="24"/>
        </w:rPr>
        <w:t>utile</w:t>
      </w:r>
      <w:r w:rsidR="000F75FB">
        <w:rPr>
          <w:sz w:val="24"/>
          <w:szCs w:val="24"/>
        </w:rPr>
        <w:t xml:space="preserve">, </w:t>
      </w:r>
      <w:r w:rsidR="001D5884">
        <w:rPr>
          <w:sz w:val="24"/>
          <w:szCs w:val="24"/>
        </w:rPr>
        <w:t xml:space="preserve">chiedersi fino a che punto l’adesione psicologica </w:t>
      </w:r>
      <w:r>
        <w:rPr>
          <w:sz w:val="24"/>
          <w:szCs w:val="24"/>
        </w:rPr>
        <w:t>al disegno delittuoso di cui all’art. 416-bis c.p.</w:t>
      </w:r>
      <w:r w:rsidR="001D5884">
        <w:rPr>
          <w:sz w:val="24"/>
          <w:szCs w:val="24"/>
        </w:rPr>
        <w:t xml:space="preserve"> </w:t>
      </w:r>
      <w:r>
        <w:rPr>
          <w:sz w:val="24"/>
          <w:szCs w:val="24"/>
        </w:rPr>
        <w:t xml:space="preserve">possa spingersi </w:t>
      </w:r>
      <w:r w:rsidR="001D5884">
        <w:rPr>
          <w:sz w:val="24"/>
          <w:szCs w:val="24"/>
        </w:rPr>
        <w:t>senza che esso (ammesso che vi siano i presupposti materia</w:t>
      </w:r>
      <w:r w:rsidR="000F75FB">
        <w:rPr>
          <w:sz w:val="24"/>
          <w:szCs w:val="24"/>
        </w:rPr>
        <w:t>l</w:t>
      </w:r>
      <w:r w:rsidR="001D5884">
        <w:rPr>
          <w:sz w:val="24"/>
          <w:szCs w:val="24"/>
        </w:rPr>
        <w:t>i) tracimi nella figura (tipica) del partecipe</w:t>
      </w:r>
      <w:r w:rsidRPr="00053B35">
        <w:rPr>
          <w:rStyle w:val="Rimandonotaapidipagina"/>
          <w:sz w:val="22"/>
          <w:szCs w:val="22"/>
        </w:rPr>
        <w:footnoteReference w:id="31"/>
      </w:r>
      <w:r w:rsidR="00A826C0">
        <w:rPr>
          <w:sz w:val="24"/>
          <w:szCs w:val="24"/>
        </w:rPr>
        <w:t>.</w:t>
      </w:r>
    </w:p>
    <w:p w14:paraId="16346522" w14:textId="56229B4A" w:rsidR="00334887" w:rsidRDefault="00334887" w:rsidP="00C24B0B">
      <w:pPr>
        <w:contextualSpacing/>
        <w:jc w:val="both"/>
        <w:rPr>
          <w:sz w:val="24"/>
          <w:szCs w:val="24"/>
        </w:rPr>
      </w:pPr>
      <w:r>
        <w:rPr>
          <w:sz w:val="24"/>
          <w:szCs w:val="24"/>
        </w:rPr>
        <w:t>Per rispondere all’interrogativo la Suprema Corte ha dovuto superare</w:t>
      </w:r>
      <w:r w:rsidR="002F30F7">
        <w:rPr>
          <w:sz w:val="24"/>
          <w:szCs w:val="24"/>
        </w:rPr>
        <w:t xml:space="preserve"> la più riduttiva enunciazio</w:t>
      </w:r>
      <w:r w:rsidR="00AE56BB">
        <w:rPr>
          <w:sz w:val="24"/>
          <w:szCs w:val="24"/>
        </w:rPr>
        <w:t>ne di principio adottata dalla «</w:t>
      </w:r>
      <w:r w:rsidR="002F30F7" w:rsidRPr="005861F1">
        <w:rPr>
          <w:i/>
          <w:sz w:val="24"/>
          <w:szCs w:val="24"/>
        </w:rPr>
        <w:t>sentenza</w:t>
      </w:r>
      <w:r w:rsidR="00AE56BB">
        <w:rPr>
          <w:sz w:val="24"/>
          <w:szCs w:val="24"/>
        </w:rPr>
        <w:t xml:space="preserve"> Demitry»</w:t>
      </w:r>
      <w:r w:rsidR="002F30F7" w:rsidRPr="00334887">
        <w:rPr>
          <w:rStyle w:val="Rimandonotaapidipagina"/>
          <w:sz w:val="22"/>
          <w:szCs w:val="22"/>
        </w:rPr>
        <w:footnoteReference w:id="32"/>
      </w:r>
      <w:r>
        <w:rPr>
          <w:sz w:val="24"/>
          <w:szCs w:val="24"/>
        </w:rPr>
        <w:t>.</w:t>
      </w:r>
      <w:r w:rsidR="002F30F7">
        <w:rPr>
          <w:sz w:val="24"/>
          <w:szCs w:val="24"/>
        </w:rPr>
        <w:t xml:space="preserve"> </w:t>
      </w:r>
    </w:p>
    <w:p w14:paraId="58D26F44" w14:textId="25D7D00E" w:rsidR="00D37A3F" w:rsidRDefault="00936495" w:rsidP="00D37A3F">
      <w:pPr>
        <w:contextualSpacing/>
        <w:jc w:val="both"/>
        <w:rPr>
          <w:sz w:val="24"/>
          <w:szCs w:val="24"/>
        </w:rPr>
      </w:pPr>
      <w:r>
        <w:rPr>
          <w:sz w:val="24"/>
          <w:szCs w:val="24"/>
        </w:rPr>
        <w:t>La «</w:t>
      </w:r>
      <w:r w:rsidR="00334887" w:rsidRPr="00334887">
        <w:rPr>
          <w:i/>
          <w:sz w:val="24"/>
          <w:szCs w:val="24"/>
        </w:rPr>
        <w:t>sentenza Carnevale</w:t>
      </w:r>
      <w:r>
        <w:rPr>
          <w:sz w:val="24"/>
          <w:szCs w:val="24"/>
        </w:rPr>
        <w:t>»</w:t>
      </w:r>
      <w:r w:rsidR="00334887">
        <w:rPr>
          <w:sz w:val="24"/>
          <w:szCs w:val="24"/>
        </w:rPr>
        <w:t xml:space="preserve"> focalizza la sua attenzione</w:t>
      </w:r>
      <w:r w:rsidR="002F30F7">
        <w:rPr>
          <w:sz w:val="24"/>
          <w:szCs w:val="24"/>
        </w:rPr>
        <w:t xml:space="preserve"> su quell’elemento significativo essenziale che costituisce il nucl</w:t>
      </w:r>
      <w:r w:rsidR="00053B35">
        <w:rPr>
          <w:sz w:val="24"/>
          <w:szCs w:val="24"/>
        </w:rPr>
        <w:t>eo comune delle due fattispecie: la loro compenetrazione nella integrazione</w:t>
      </w:r>
      <w:r w:rsidR="00B249B3">
        <w:rPr>
          <w:sz w:val="24"/>
          <w:szCs w:val="24"/>
        </w:rPr>
        <w:t xml:space="preserve"> </w:t>
      </w:r>
      <w:r w:rsidR="00D37A3F">
        <w:rPr>
          <w:sz w:val="24"/>
          <w:szCs w:val="24"/>
        </w:rPr>
        <w:t>del</w:t>
      </w:r>
      <w:r w:rsidR="00D37A3F" w:rsidRPr="00D37A3F">
        <w:rPr>
          <w:sz w:val="24"/>
          <w:szCs w:val="24"/>
        </w:rPr>
        <w:t>l'evento</w:t>
      </w:r>
      <w:r w:rsidR="00D37A3F">
        <w:rPr>
          <w:sz w:val="24"/>
          <w:szCs w:val="24"/>
        </w:rPr>
        <w:t xml:space="preserve"> tipico</w:t>
      </w:r>
      <w:r w:rsidR="00334887">
        <w:rPr>
          <w:sz w:val="24"/>
          <w:szCs w:val="24"/>
        </w:rPr>
        <w:t>,</w:t>
      </w:r>
      <w:r w:rsidR="00D37A3F">
        <w:rPr>
          <w:sz w:val="24"/>
          <w:szCs w:val="24"/>
        </w:rPr>
        <w:t xml:space="preserve"> descritto dalla fattispecie incriminatrice. </w:t>
      </w:r>
    </w:p>
    <w:p w14:paraId="2CC2E83A" w14:textId="10762231" w:rsidR="00D37A3F" w:rsidRDefault="00D37A3F" w:rsidP="00D37A3F">
      <w:pPr>
        <w:contextualSpacing/>
        <w:jc w:val="both"/>
        <w:rPr>
          <w:sz w:val="24"/>
          <w:szCs w:val="24"/>
        </w:rPr>
      </w:pPr>
      <w:r>
        <w:rPr>
          <w:sz w:val="24"/>
          <w:szCs w:val="24"/>
        </w:rPr>
        <w:t>In quest’ottica, dunque, esso consiste nel</w:t>
      </w:r>
      <w:r w:rsidRPr="00D37A3F">
        <w:rPr>
          <w:sz w:val="24"/>
          <w:szCs w:val="24"/>
        </w:rPr>
        <w:t xml:space="preserve">la </w:t>
      </w:r>
      <w:bookmarkStart w:id="14" w:name="_Hlk494467284"/>
      <w:r w:rsidR="00AE56BB">
        <w:rPr>
          <w:sz w:val="24"/>
          <w:szCs w:val="24"/>
        </w:rPr>
        <w:t>«</w:t>
      </w:r>
      <w:r w:rsidRPr="00D37A3F">
        <w:rPr>
          <w:i/>
          <w:sz w:val="24"/>
          <w:szCs w:val="24"/>
        </w:rPr>
        <w:t>sussistenza ed operatività del sodalizio, siccome idoneo a violare l'ordine pubblico ovvero gli altri beni giuridici tutelati dalle particolari</w:t>
      </w:r>
      <w:bookmarkEnd w:id="14"/>
      <w:r w:rsidR="00A6347C">
        <w:rPr>
          <w:i/>
          <w:sz w:val="24"/>
          <w:szCs w:val="24"/>
        </w:rPr>
        <w:t xml:space="preserve"> </w:t>
      </w:r>
      <w:r w:rsidR="00A6347C" w:rsidRPr="00A6347C">
        <w:rPr>
          <w:i/>
          <w:sz w:val="24"/>
          <w:szCs w:val="24"/>
        </w:rPr>
        <w:t>previsioni legislative, la cui attuazione avviene attraverso la realizzazione del programma criminoso</w:t>
      </w:r>
      <w:r w:rsidR="00AE56BB">
        <w:rPr>
          <w:sz w:val="24"/>
          <w:szCs w:val="24"/>
        </w:rPr>
        <w:t>»</w:t>
      </w:r>
      <w:r>
        <w:rPr>
          <w:sz w:val="24"/>
          <w:szCs w:val="24"/>
        </w:rPr>
        <w:t xml:space="preserve">.  </w:t>
      </w:r>
    </w:p>
    <w:p w14:paraId="0BAF0E73" w14:textId="77777777" w:rsidR="00E951A3" w:rsidRDefault="00E951A3" w:rsidP="00D37A3F">
      <w:pPr>
        <w:contextualSpacing/>
        <w:jc w:val="both"/>
        <w:rPr>
          <w:sz w:val="24"/>
          <w:szCs w:val="24"/>
        </w:rPr>
      </w:pPr>
      <w:r>
        <w:rPr>
          <w:sz w:val="24"/>
          <w:szCs w:val="24"/>
        </w:rPr>
        <w:t>Dunque</w:t>
      </w:r>
      <w:r w:rsidR="00D37A3F">
        <w:rPr>
          <w:sz w:val="24"/>
          <w:szCs w:val="24"/>
        </w:rPr>
        <w:t>,</w:t>
      </w:r>
      <w:r>
        <w:rPr>
          <w:sz w:val="24"/>
          <w:szCs w:val="24"/>
        </w:rPr>
        <w:t xml:space="preserve"> le Sezioni Unite</w:t>
      </w:r>
      <w:r w:rsidR="00D37A3F">
        <w:rPr>
          <w:sz w:val="24"/>
          <w:szCs w:val="24"/>
        </w:rPr>
        <w:t xml:space="preserve"> </w:t>
      </w:r>
      <w:r>
        <w:rPr>
          <w:sz w:val="24"/>
          <w:szCs w:val="24"/>
        </w:rPr>
        <w:t>riflettono sul rapporto di causalità che lega il più vasto fenomeno di compenetrazione criminosa</w:t>
      </w:r>
      <w:r w:rsidR="00D37A3F">
        <w:rPr>
          <w:sz w:val="24"/>
          <w:szCs w:val="24"/>
        </w:rPr>
        <w:t xml:space="preserve"> </w:t>
      </w:r>
      <w:r>
        <w:rPr>
          <w:sz w:val="24"/>
          <w:szCs w:val="24"/>
        </w:rPr>
        <w:t xml:space="preserve">alla realizzazione dell’evento delittuoso. </w:t>
      </w:r>
    </w:p>
    <w:p w14:paraId="1FE944A6" w14:textId="22311E71" w:rsidR="00D37A3F" w:rsidRDefault="00E951A3" w:rsidP="00D37A3F">
      <w:pPr>
        <w:contextualSpacing/>
        <w:jc w:val="both"/>
        <w:rPr>
          <w:sz w:val="24"/>
          <w:szCs w:val="24"/>
        </w:rPr>
      </w:pPr>
      <w:r>
        <w:rPr>
          <w:sz w:val="24"/>
          <w:szCs w:val="24"/>
        </w:rPr>
        <w:lastRenderedPageBreak/>
        <w:t>In quest’ottica, il</w:t>
      </w:r>
      <w:r w:rsidR="00D37A3F">
        <w:rPr>
          <w:sz w:val="24"/>
          <w:szCs w:val="24"/>
        </w:rPr>
        <w:t xml:space="preserve"> concorrente eventuale non è colui che agisce nella </w:t>
      </w:r>
      <w:r w:rsidR="00956630">
        <w:rPr>
          <w:sz w:val="24"/>
          <w:szCs w:val="24"/>
        </w:rPr>
        <w:t xml:space="preserve">sola </w:t>
      </w:r>
      <w:r w:rsidR="00D37A3F">
        <w:rPr>
          <w:sz w:val="24"/>
          <w:szCs w:val="24"/>
        </w:rPr>
        <w:t>consapevolezza che altri soggetti (associati) stiano ponendo in essere un programma conforme a quello perseguito ai sensi dell’art. 416-bis c.p.</w:t>
      </w:r>
      <w:r w:rsidR="00D37A3F" w:rsidRPr="00D37A3F">
        <w:rPr>
          <w:sz w:val="24"/>
          <w:szCs w:val="24"/>
        </w:rPr>
        <w:t xml:space="preserve"> </w:t>
      </w:r>
    </w:p>
    <w:p w14:paraId="19DEC491" w14:textId="3DA4EC3D" w:rsidR="00956630" w:rsidRPr="002736EF" w:rsidRDefault="00956630" w:rsidP="00D37A3F">
      <w:pPr>
        <w:contextualSpacing/>
        <w:jc w:val="both"/>
        <w:rPr>
          <w:sz w:val="24"/>
          <w:szCs w:val="24"/>
        </w:rPr>
      </w:pPr>
      <w:r>
        <w:rPr>
          <w:sz w:val="24"/>
          <w:szCs w:val="24"/>
        </w:rPr>
        <w:t xml:space="preserve">L’extraneus è chi, ancorchè </w:t>
      </w:r>
      <w:r w:rsidR="00334887">
        <w:rPr>
          <w:sz w:val="24"/>
          <w:szCs w:val="24"/>
        </w:rPr>
        <w:t>al di fuori dei ranghi</w:t>
      </w:r>
      <w:r>
        <w:rPr>
          <w:sz w:val="24"/>
          <w:szCs w:val="24"/>
        </w:rPr>
        <w:t xml:space="preserve"> </w:t>
      </w:r>
      <w:r w:rsidR="00334887">
        <w:rPr>
          <w:sz w:val="24"/>
          <w:szCs w:val="24"/>
        </w:rPr>
        <w:t>dell’</w:t>
      </w:r>
      <w:r>
        <w:rPr>
          <w:sz w:val="24"/>
          <w:szCs w:val="24"/>
        </w:rPr>
        <w:t>associazione</w:t>
      </w:r>
      <w:r w:rsidRPr="00956630">
        <w:rPr>
          <w:sz w:val="24"/>
          <w:szCs w:val="24"/>
        </w:rPr>
        <w:t xml:space="preserve">, </w:t>
      </w:r>
      <w:r w:rsidR="002736EF">
        <w:rPr>
          <w:sz w:val="24"/>
          <w:szCs w:val="24"/>
        </w:rPr>
        <w:t xml:space="preserve">ponga in essere, con dolo diretto un contributo </w:t>
      </w:r>
      <w:r w:rsidRPr="002736EF">
        <w:rPr>
          <w:sz w:val="24"/>
          <w:szCs w:val="24"/>
        </w:rPr>
        <w:t xml:space="preserve">che </w:t>
      </w:r>
      <w:r w:rsidR="00AE56BB">
        <w:rPr>
          <w:i/>
          <w:sz w:val="24"/>
          <w:szCs w:val="24"/>
        </w:rPr>
        <w:t>«sa»</w:t>
      </w:r>
      <w:r w:rsidRPr="00956630">
        <w:rPr>
          <w:i/>
          <w:sz w:val="24"/>
          <w:szCs w:val="24"/>
        </w:rPr>
        <w:t xml:space="preserve"> </w:t>
      </w:r>
      <w:proofErr w:type="gramStart"/>
      <w:r w:rsidR="00334887">
        <w:rPr>
          <w:sz w:val="24"/>
          <w:szCs w:val="24"/>
        </w:rPr>
        <w:t xml:space="preserve">e </w:t>
      </w:r>
      <w:r w:rsidR="00AE56BB">
        <w:rPr>
          <w:i/>
          <w:sz w:val="24"/>
          <w:szCs w:val="24"/>
        </w:rPr>
        <w:t>«</w:t>
      </w:r>
      <w:proofErr w:type="gramEnd"/>
      <w:r w:rsidR="00AE56BB">
        <w:rPr>
          <w:i/>
          <w:sz w:val="24"/>
          <w:szCs w:val="24"/>
        </w:rPr>
        <w:t>vuole»</w:t>
      </w:r>
      <w:r w:rsidRPr="00956630">
        <w:rPr>
          <w:i/>
          <w:sz w:val="24"/>
          <w:szCs w:val="24"/>
        </w:rPr>
        <w:t xml:space="preserve"> </w:t>
      </w:r>
      <w:r w:rsidR="002736EF">
        <w:rPr>
          <w:sz w:val="24"/>
          <w:szCs w:val="24"/>
        </w:rPr>
        <w:t>che sia volto a realizzare</w:t>
      </w:r>
      <w:r w:rsidRPr="00956630">
        <w:rPr>
          <w:i/>
          <w:sz w:val="24"/>
          <w:szCs w:val="24"/>
        </w:rPr>
        <w:t xml:space="preserve"> </w:t>
      </w:r>
      <w:r w:rsidR="002736EF" w:rsidRPr="002736EF">
        <w:rPr>
          <w:sz w:val="24"/>
          <w:szCs w:val="24"/>
        </w:rPr>
        <w:t>il</w:t>
      </w:r>
      <w:r w:rsidRPr="002736EF">
        <w:rPr>
          <w:sz w:val="24"/>
          <w:szCs w:val="24"/>
        </w:rPr>
        <w:t xml:space="preserve"> programma criminoso </w:t>
      </w:r>
      <w:r w:rsidR="00334887">
        <w:rPr>
          <w:sz w:val="24"/>
          <w:szCs w:val="24"/>
        </w:rPr>
        <w:t>che regge i</w:t>
      </w:r>
      <w:r w:rsidRPr="002736EF">
        <w:rPr>
          <w:sz w:val="24"/>
          <w:szCs w:val="24"/>
        </w:rPr>
        <w:t>l sodalizio</w:t>
      </w:r>
      <w:r w:rsidR="002736EF" w:rsidRPr="00334887">
        <w:rPr>
          <w:rStyle w:val="Rimandonotaapidipagina"/>
          <w:sz w:val="22"/>
          <w:szCs w:val="22"/>
        </w:rPr>
        <w:footnoteReference w:id="33"/>
      </w:r>
      <w:r w:rsidRPr="002736EF">
        <w:rPr>
          <w:sz w:val="24"/>
          <w:szCs w:val="24"/>
        </w:rPr>
        <w:t>.</w:t>
      </w:r>
    </w:p>
    <w:p w14:paraId="1CFA42C6" w14:textId="4488AAE3" w:rsidR="002736EF" w:rsidRDefault="00E951A3" w:rsidP="00C24B0B">
      <w:pPr>
        <w:contextualSpacing/>
        <w:jc w:val="both"/>
        <w:rPr>
          <w:sz w:val="24"/>
          <w:szCs w:val="24"/>
        </w:rPr>
      </w:pPr>
      <w:r>
        <w:rPr>
          <w:sz w:val="24"/>
          <w:szCs w:val="24"/>
        </w:rPr>
        <w:t>Sulla base di una simile e complessiva ricostruzione ermeneutica</w:t>
      </w:r>
      <w:r w:rsidR="002736EF">
        <w:rPr>
          <w:sz w:val="24"/>
          <w:szCs w:val="24"/>
        </w:rPr>
        <w:t>,</w:t>
      </w:r>
      <w:r w:rsidR="001F64BF" w:rsidRPr="00E47830">
        <w:rPr>
          <w:sz w:val="24"/>
          <w:szCs w:val="24"/>
        </w:rPr>
        <w:t xml:space="preserve"> </w:t>
      </w:r>
      <w:r w:rsidR="00636E51">
        <w:rPr>
          <w:sz w:val="24"/>
          <w:szCs w:val="24"/>
        </w:rPr>
        <w:t xml:space="preserve">l’organizzazione </w:t>
      </w:r>
      <w:r>
        <w:rPr>
          <w:sz w:val="24"/>
          <w:szCs w:val="24"/>
        </w:rPr>
        <w:t>di stampo mafioso</w:t>
      </w:r>
      <w:r w:rsidR="001F64BF" w:rsidRPr="00E47830">
        <w:rPr>
          <w:sz w:val="24"/>
          <w:szCs w:val="24"/>
        </w:rPr>
        <w:t xml:space="preserve"> </w:t>
      </w:r>
      <w:r w:rsidR="00636E51">
        <w:rPr>
          <w:sz w:val="24"/>
          <w:szCs w:val="24"/>
        </w:rPr>
        <w:t>può fare affidamento su prestazioni esterne</w:t>
      </w:r>
      <w:r w:rsidR="008E778F">
        <w:rPr>
          <w:sz w:val="24"/>
          <w:szCs w:val="24"/>
        </w:rPr>
        <w:t xml:space="preserve">. </w:t>
      </w:r>
    </w:p>
    <w:p w14:paraId="7270EF35" w14:textId="5E21E5B8" w:rsidR="00CE7634" w:rsidRDefault="00E951A3" w:rsidP="00C24B0B">
      <w:pPr>
        <w:contextualSpacing/>
        <w:jc w:val="both"/>
        <w:rPr>
          <w:sz w:val="24"/>
          <w:szCs w:val="24"/>
        </w:rPr>
      </w:pPr>
      <w:r>
        <w:rPr>
          <w:sz w:val="24"/>
          <w:szCs w:val="24"/>
        </w:rPr>
        <w:t>Tuttavia</w:t>
      </w:r>
      <w:r w:rsidR="008E778F">
        <w:rPr>
          <w:sz w:val="24"/>
          <w:szCs w:val="24"/>
        </w:rPr>
        <w:t xml:space="preserve">, queste ultime non </w:t>
      </w:r>
      <w:r w:rsidR="00CE7634">
        <w:rPr>
          <w:sz w:val="24"/>
          <w:szCs w:val="24"/>
        </w:rPr>
        <w:t xml:space="preserve">vanno intese nel senso </w:t>
      </w:r>
      <w:r w:rsidR="00AE56BB">
        <w:rPr>
          <w:sz w:val="24"/>
          <w:szCs w:val="24"/>
        </w:rPr>
        <w:t>restrittivamente accolto dalla «</w:t>
      </w:r>
      <w:r w:rsidR="00CE7634" w:rsidRPr="00334887">
        <w:rPr>
          <w:i/>
          <w:sz w:val="24"/>
          <w:szCs w:val="24"/>
        </w:rPr>
        <w:t>sentenza Demitry</w:t>
      </w:r>
      <w:r w:rsidR="00AE56BB">
        <w:rPr>
          <w:sz w:val="24"/>
          <w:szCs w:val="24"/>
        </w:rPr>
        <w:t>»</w:t>
      </w:r>
      <w:r w:rsidR="00CE7634">
        <w:rPr>
          <w:sz w:val="24"/>
          <w:szCs w:val="24"/>
        </w:rPr>
        <w:t xml:space="preserve">. </w:t>
      </w:r>
    </w:p>
    <w:p w14:paraId="269A123A" w14:textId="6C08AE43" w:rsidR="00CE7634" w:rsidRDefault="00CE7634" w:rsidP="00C24B0B">
      <w:pPr>
        <w:contextualSpacing/>
        <w:jc w:val="both"/>
        <w:rPr>
          <w:sz w:val="24"/>
          <w:szCs w:val="24"/>
        </w:rPr>
      </w:pPr>
      <w:r>
        <w:rPr>
          <w:sz w:val="24"/>
          <w:szCs w:val="24"/>
        </w:rPr>
        <w:t xml:space="preserve">Il contributo dell’extraneus non si connoterebbe, dunque, come </w:t>
      </w:r>
      <w:r w:rsidR="00AE56BB">
        <w:rPr>
          <w:sz w:val="24"/>
          <w:szCs w:val="24"/>
        </w:rPr>
        <w:t>“</w:t>
      </w:r>
      <w:r w:rsidR="008E778F" w:rsidRPr="00334887">
        <w:rPr>
          <w:i/>
          <w:sz w:val="24"/>
          <w:szCs w:val="24"/>
        </w:rPr>
        <w:t>extrema ratio</w:t>
      </w:r>
      <w:r w:rsidR="00334887">
        <w:rPr>
          <w:sz w:val="24"/>
          <w:szCs w:val="24"/>
        </w:rPr>
        <w:t>”</w:t>
      </w:r>
      <w:r>
        <w:rPr>
          <w:sz w:val="24"/>
          <w:szCs w:val="24"/>
        </w:rPr>
        <w:t>, “ultima infungibile spiaggia”</w:t>
      </w:r>
      <w:r w:rsidR="008E778F">
        <w:rPr>
          <w:sz w:val="24"/>
          <w:szCs w:val="24"/>
        </w:rPr>
        <w:t xml:space="preserve"> </w:t>
      </w:r>
      <w:r>
        <w:rPr>
          <w:sz w:val="24"/>
          <w:szCs w:val="24"/>
        </w:rPr>
        <w:t xml:space="preserve">alla quale affidarsi per ragioni imposte </w:t>
      </w:r>
      <w:r w:rsidR="008E778F">
        <w:rPr>
          <w:sz w:val="24"/>
          <w:szCs w:val="24"/>
        </w:rPr>
        <w:t>dallo spirito di sopravv</w:t>
      </w:r>
      <w:r>
        <w:rPr>
          <w:sz w:val="24"/>
          <w:szCs w:val="24"/>
        </w:rPr>
        <w:t xml:space="preserve">ivenza </w:t>
      </w:r>
      <w:r w:rsidR="00E951A3">
        <w:rPr>
          <w:sz w:val="24"/>
          <w:szCs w:val="24"/>
        </w:rPr>
        <w:t>dell’associazione</w:t>
      </w:r>
      <w:r>
        <w:rPr>
          <w:sz w:val="24"/>
          <w:szCs w:val="24"/>
        </w:rPr>
        <w:t>.</w:t>
      </w:r>
    </w:p>
    <w:p w14:paraId="28BC128D" w14:textId="4A8C6A19" w:rsidR="00E105A5" w:rsidRDefault="00CE7634" w:rsidP="00C24B0B">
      <w:pPr>
        <w:contextualSpacing/>
        <w:jc w:val="both"/>
        <w:rPr>
          <w:sz w:val="24"/>
          <w:szCs w:val="24"/>
        </w:rPr>
      </w:pPr>
      <w:r>
        <w:rPr>
          <w:sz w:val="24"/>
          <w:szCs w:val="24"/>
        </w:rPr>
        <w:t>La prestazione esterna va intesa come</w:t>
      </w:r>
      <w:r w:rsidR="001F64BF" w:rsidRPr="00E47830">
        <w:rPr>
          <w:sz w:val="24"/>
          <w:szCs w:val="24"/>
        </w:rPr>
        <w:t xml:space="preserve"> </w:t>
      </w:r>
      <w:r>
        <w:rPr>
          <w:sz w:val="24"/>
          <w:szCs w:val="24"/>
        </w:rPr>
        <w:t>apporto, non necessariamente infungibile, erogabile</w:t>
      </w:r>
      <w:r w:rsidR="008E778F">
        <w:rPr>
          <w:sz w:val="24"/>
          <w:szCs w:val="24"/>
        </w:rPr>
        <w:t xml:space="preserve"> </w:t>
      </w:r>
      <w:r w:rsidR="001F64BF" w:rsidRPr="00E47830">
        <w:rPr>
          <w:sz w:val="24"/>
          <w:szCs w:val="24"/>
        </w:rPr>
        <w:t xml:space="preserve">anche in una chiara logica di sostentamento o, addirittura, di potenziamento </w:t>
      </w:r>
      <w:r w:rsidR="000663E8">
        <w:rPr>
          <w:sz w:val="24"/>
          <w:szCs w:val="24"/>
        </w:rPr>
        <w:t xml:space="preserve">dell’organizzazione, </w:t>
      </w:r>
      <w:r w:rsidR="001F64BF" w:rsidRPr="00E47830">
        <w:rPr>
          <w:sz w:val="24"/>
          <w:szCs w:val="24"/>
        </w:rPr>
        <w:t>del</w:t>
      </w:r>
      <w:r w:rsidR="000663E8">
        <w:rPr>
          <w:sz w:val="24"/>
          <w:szCs w:val="24"/>
        </w:rPr>
        <w:t>le sue capacità di</w:t>
      </w:r>
      <w:r w:rsidR="001F64BF" w:rsidRPr="00E47830">
        <w:rPr>
          <w:sz w:val="24"/>
          <w:szCs w:val="24"/>
        </w:rPr>
        <w:t xml:space="preserve"> </w:t>
      </w:r>
      <w:r w:rsidR="000663E8">
        <w:rPr>
          <w:sz w:val="24"/>
          <w:szCs w:val="24"/>
        </w:rPr>
        <w:t>intimidazione e</w:t>
      </w:r>
      <w:r w:rsidR="00F82F43" w:rsidRPr="00E47830">
        <w:rPr>
          <w:sz w:val="24"/>
          <w:szCs w:val="24"/>
        </w:rPr>
        <w:t xml:space="preserve"> del </w:t>
      </w:r>
      <w:r w:rsidR="000663E8">
        <w:rPr>
          <w:sz w:val="24"/>
          <w:szCs w:val="24"/>
        </w:rPr>
        <w:t xml:space="preserve">suo </w:t>
      </w:r>
      <w:r w:rsidR="00F82F43" w:rsidRPr="00E47830">
        <w:rPr>
          <w:sz w:val="24"/>
          <w:szCs w:val="24"/>
        </w:rPr>
        <w:t>giro d</w:t>
      </w:r>
      <w:r w:rsidR="000663E8">
        <w:rPr>
          <w:sz w:val="24"/>
          <w:szCs w:val="24"/>
        </w:rPr>
        <w:t>’</w:t>
      </w:r>
      <w:r w:rsidR="00F82F43" w:rsidRPr="00E47830">
        <w:rPr>
          <w:sz w:val="24"/>
          <w:szCs w:val="24"/>
        </w:rPr>
        <w:t>affari</w:t>
      </w:r>
      <w:r w:rsidRPr="000663E8">
        <w:rPr>
          <w:rStyle w:val="Rimandonotaapidipagina"/>
          <w:sz w:val="22"/>
          <w:szCs w:val="22"/>
        </w:rPr>
        <w:footnoteReference w:id="34"/>
      </w:r>
      <w:r w:rsidR="001F64BF" w:rsidRPr="00E47830">
        <w:rPr>
          <w:sz w:val="24"/>
          <w:szCs w:val="24"/>
        </w:rPr>
        <w:t>.</w:t>
      </w:r>
    </w:p>
    <w:p w14:paraId="1D7F7954" w14:textId="2A54B9E1" w:rsidR="00E171EE" w:rsidRDefault="008E778F" w:rsidP="00C24B0B">
      <w:pPr>
        <w:contextualSpacing/>
        <w:jc w:val="both"/>
        <w:rPr>
          <w:sz w:val="24"/>
          <w:szCs w:val="24"/>
        </w:rPr>
      </w:pPr>
      <w:r>
        <w:rPr>
          <w:sz w:val="24"/>
          <w:szCs w:val="24"/>
        </w:rPr>
        <w:t>Peraltro</w:t>
      </w:r>
      <w:r w:rsidR="0045242B">
        <w:rPr>
          <w:sz w:val="24"/>
          <w:szCs w:val="24"/>
        </w:rPr>
        <w:t xml:space="preserve">, la Suprema Corte </w:t>
      </w:r>
      <w:r>
        <w:rPr>
          <w:sz w:val="24"/>
          <w:szCs w:val="24"/>
        </w:rPr>
        <w:t>ha precisato</w:t>
      </w:r>
      <w:r w:rsidR="0045242B">
        <w:rPr>
          <w:sz w:val="24"/>
          <w:szCs w:val="24"/>
        </w:rPr>
        <w:t xml:space="preserve"> come l’accertamento del reato si fondi sull’imprescindibile presupposto dell</w:t>
      </w:r>
      <w:r w:rsidR="0045242B" w:rsidRPr="0045242B">
        <w:rPr>
          <w:sz w:val="24"/>
          <w:szCs w:val="24"/>
        </w:rPr>
        <w:t>'effettiva rilevanza causale</w:t>
      </w:r>
      <w:r w:rsidR="0045242B">
        <w:rPr>
          <w:sz w:val="24"/>
          <w:szCs w:val="24"/>
        </w:rPr>
        <w:t xml:space="preserve"> del</w:t>
      </w:r>
      <w:r w:rsidR="00E171EE">
        <w:rPr>
          <w:sz w:val="24"/>
          <w:szCs w:val="24"/>
        </w:rPr>
        <w:t xml:space="preserve">la condotta concorsuale. </w:t>
      </w:r>
    </w:p>
    <w:p w14:paraId="10BB48C0" w14:textId="3159B6D7" w:rsidR="009978F7" w:rsidRDefault="009978F7" w:rsidP="00C24B0B">
      <w:pPr>
        <w:contextualSpacing/>
        <w:jc w:val="both"/>
        <w:rPr>
          <w:sz w:val="24"/>
          <w:szCs w:val="24"/>
        </w:rPr>
      </w:pPr>
      <w:r>
        <w:rPr>
          <w:sz w:val="24"/>
          <w:szCs w:val="24"/>
        </w:rPr>
        <w:t>In questa cornice ricostruttiva, dunque, c</w:t>
      </w:r>
      <w:r w:rsidRPr="009978F7">
        <w:rPr>
          <w:sz w:val="24"/>
          <w:szCs w:val="24"/>
        </w:rPr>
        <w:t xml:space="preserve">iò che </w:t>
      </w:r>
      <w:r>
        <w:rPr>
          <w:sz w:val="24"/>
          <w:szCs w:val="24"/>
        </w:rPr>
        <w:t>realmente rileva ai fini della integrazione</w:t>
      </w:r>
      <w:r w:rsidR="00AE56BB">
        <w:rPr>
          <w:sz w:val="24"/>
          <w:szCs w:val="24"/>
        </w:rPr>
        <w:t xml:space="preserve"> della fattispecie concorsuale «</w:t>
      </w:r>
      <w:r w:rsidRPr="009978F7">
        <w:rPr>
          <w:i/>
          <w:sz w:val="24"/>
          <w:szCs w:val="24"/>
        </w:rPr>
        <w:t>non è la mera disponibilità dell'esterno a conferire il contributo richiestogli dall'associazione, bensì l'effett</w:t>
      </w:r>
      <w:r>
        <w:rPr>
          <w:i/>
          <w:sz w:val="24"/>
          <w:szCs w:val="24"/>
        </w:rPr>
        <w:t>ività di tale contributo, e cioè</w:t>
      </w:r>
      <w:r w:rsidRPr="009978F7">
        <w:rPr>
          <w:i/>
          <w:sz w:val="24"/>
          <w:szCs w:val="24"/>
        </w:rPr>
        <w:t xml:space="preserve"> che a seguito di un impulso proveniente dall'ente criminale il soggetto si è di fatto attivato nel senso indicatogli</w:t>
      </w:r>
      <w:r w:rsidR="00AE56BB">
        <w:rPr>
          <w:sz w:val="24"/>
          <w:szCs w:val="24"/>
        </w:rPr>
        <w:t>»</w:t>
      </w:r>
      <w:r>
        <w:rPr>
          <w:sz w:val="24"/>
          <w:szCs w:val="24"/>
        </w:rPr>
        <w:t>.</w:t>
      </w:r>
    </w:p>
    <w:p w14:paraId="6FA65EB4" w14:textId="77C1EE7B" w:rsidR="00EC63B9" w:rsidRDefault="00EC63B9" w:rsidP="00C24B0B">
      <w:pPr>
        <w:contextualSpacing/>
        <w:jc w:val="both"/>
        <w:rPr>
          <w:sz w:val="24"/>
          <w:szCs w:val="24"/>
        </w:rPr>
      </w:pPr>
      <w:r>
        <w:rPr>
          <w:sz w:val="24"/>
          <w:szCs w:val="24"/>
        </w:rPr>
        <w:t>In una prospettiva di continuità</w:t>
      </w:r>
      <w:r w:rsidR="00035400">
        <w:rPr>
          <w:sz w:val="24"/>
          <w:szCs w:val="24"/>
        </w:rPr>
        <w:t xml:space="preserve"> dogmatica e con un maggiore sforzo interpretativo sui profili probatori,</w:t>
      </w:r>
      <w:r>
        <w:rPr>
          <w:sz w:val="24"/>
          <w:szCs w:val="24"/>
        </w:rPr>
        <w:t xml:space="preserve"> nel 2005 le Sezioni Unite</w:t>
      </w:r>
      <w:r w:rsidR="00277744">
        <w:rPr>
          <w:rStyle w:val="Rimandonotaapidipagina"/>
          <w:sz w:val="24"/>
          <w:szCs w:val="24"/>
        </w:rPr>
        <w:footnoteReference w:id="35"/>
      </w:r>
      <w:r>
        <w:rPr>
          <w:sz w:val="24"/>
          <w:szCs w:val="24"/>
        </w:rPr>
        <w:t xml:space="preserve"> sono </w:t>
      </w:r>
      <w:r w:rsidR="00035400">
        <w:rPr>
          <w:sz w:val="24"/>
          <w:szCs w:val="24"/>
        </w:rPr>
        <w:t xml:space="preserve">nuovamente </w:t>
      </w:r>
      <w:r>
        <w:rPr>
          <w:sz w:val="24"/>
          <w:szCs w:val="24"/>
        </w:rPr>
        <w:t>intervenute sul</w:t>
      </w:r>
      <w:r w:rsidR="00035400">
        <w:rPr>
          <w:sz w:val="24"/>
          <w:szCs w:val="24"/>
        </w:rPr>
        <w:t>la vicenda giuridica della ammissibilità del concorso esterno in associazione mafiosa con</w:t>
      </w:r>
      <w:r>
        <w:rPr>
          <w:sz w:val="24"/>
          <w:szCs w:val="24"/>
        </w:rPr>
        <w:t xml:space="preserve"> la </w:t>
      </w:r>
      <w:r w:rsidR="00334887">
        <w:rPr>
          <w:sz w:val="24"/>
          <w:szCs w:val="24"/>
        </w:rPr>
        <w:t xml:space="preserve">nota </w:t>
      </w:r>
      <w:r w:rsidR="00AE56BB">
        <w:rPr>
          <w:sz w:val="24"/>
          <w:szCs w:val="24"/>
        </w:rPr>
        <w:t>«</w:t>
      </w:r>
      <w:r w:rsidRPr="005861F1">
        <w:rPr>
          <w:i/>
          <w:sz w:val="24"/>
          <w:szCs w:val="24"/>
        </w:rPr>
        <w:t>sentenza</w:t>
      </w:r>
      <w:r>
        <w:rPr>
          <w:sz w:val="24"/>
          <w:szCs w:val="24"/>
        </w:rPr>
        <w:t xml:space="preserve"> </w:t>
      </w:r>
      <w:r w:rsidR="00E105A5" w:rsidRPr="005861F1">
        <w:rPr>
          <w:i/>
          <w:sz w:val="24"/>
          <w:szCs w:val="24"/>
        </w:rPr>
        <w:t>Mannino</w:t>
      </w:r>
      <w:r w:rsidR="00AE56BB">
        <w:rPr>
          <w:sz w:val="24"/>
          <w:szCs w:val="24"/>
        </w:rPr>
        <w:t>»</w:t>
      </w:r>
      <w:r w:rsidR="007B53B0" w:rsidRPr="00334887">
        <w:rPr>
          <w:rStyle w:val="Rimandonotaapidipagina"/>
          <w:sz w:val="22"/>
          <w:szCs w:val="22"/>
        </w:rPr>
        <w:footnoteReference w:id="36"/>
      </w:r>
      <w:r w:rsidR="007B53B0">
        <w:rPr>
          <w:sz w:val="24"/>
          <w:szCs w:val="24"/>
        </w:rPr>
        <w:t>.</w:t>
      </w:r>
      <w:r w:rsidRPr="00EC63B9">
        <w:t xml:space="preserve"> </w:t>
      </w:r>
    </w:p>
    <w:p w14:paraId="2EC5E3DD" w14:textId="07C60CF8" w:rsidR="00035400" w:rsidRDefault="00035400" w:rsidP="00C24B0B">
      <w:pPr>
        <w:contextualSpacing/>
        <w:jc w:val="both"/>
        <w:rPr>
          <w:sz w:val="24"/>
          <w:szCs w:val="24"/>
        </w:rPr>
      </w:pPr>
      <w:r>
        <w:rPr>
          <w:sz w:val="24"/>
          <w:szCs w:val="24"/>
        </w:rPr>
        <w:lastRenderedPageBreak/>
        <w:t>La</w:t>
      </w:r>
      <w:r w:rsidR="007B53B0">
        <w:rPr>
          <w:sz w:val="24"/>
          <w:szCs w:val="24"/>
        </w:rPr>
        <w:t xml:space="preserve"> pronuncia </w:t>
      </w:r>
      <w:r>
        <w:rPr>
          <w:sz w:val="24"/>
          <w:szCs w:val="24"/>
        </w:rPr>
        <w:t xml:space="preserve">consegna all’interprete una argomentazione chiara e lineare in cui </w:t>
      </w:r>
      <w:r w:rsidR="004019DE">
        <w:rPr>
          <w:sz w:val="24"/>
          <w:szCs w:val="24"/>
        </w:rPr>
        <w:t>viene</w:t>
      </w:r>
      <w:r w:rsidR="007B53B0">
        <w:rPr>
          <w:sz w:val="24"/>
          <w:szCs w:val="24"/>
        </w:rPr>
        <w:t xml:space="preserve"> </w:t>
      </w:r>
      <w:r>
        <w:rPr>
          <w:sz w:val="24"/>
          <w:szCs w:val="24"/>
        </w:rPr>
        <w:t>ribadito il generale principio dell’ammissibilità del fenomeno, non senza qualche precisazione.</w:t>
      </w:r>
    </w:p>
    <w:p w14:paraId="52C0A23F" w14:textId="769159AE" w:rsidR="00035400" w:rsidRDefault="00883A3C" w:rsidP="00C24B0B">
      <w:pPr>
        <w:contextualSpacing/>
        <w:jc w:val="both"/>
        <w:rPr>
          <w:sz w:val="24"/>
          <w:szCs w:val="24"/>
        </w:rPr>
      </w:pPr>
      <w:r>
        <w:rPr>
          <w:sz w:val="24"/>
          <w:szCs w:val="24"/>
        </w:rPr>
        <w:t>In una chiara ottica ricostruttiva, infatti, le</w:t>
      </w:r>
      <w:r w:rsidR="00035400">
        <w:rPr>
          <w:sz w:val="24"/>
          <w:szCs w:val="24"/>
        </w:rPr>
        <w:t xml:space="preserve"> Sezioni Unite hanno, </w:t>
      </w:r>
      <w:r w:rsidR="007B53B0">
        <w:rPr>
          <w:sz w:val="24"/>
          <w:szCs w:val="24"/>
        </w:rPr>
        <w:t>ulteriormente</w:t>
      </w:r>
      <w:r w:rsidR="00EC63B9">
        <w:rPr>
          <w:sz w:val="24"/>
          <w:szCs w:val="24"/>
        </w:rPr>
        <w:t xml:space="preserve"> </w:t>
      </w:r>
      <w:r w:rsidR="000663E8">
        <w:rPr>
          <w:sz w:val="24"/>
          <w:szCs w:val="24"/>
        </w:rPr>
        <w:t>affinato il processo di profilazione giuridica</w:t>
      </w:r>
      <w:r w:rsidR="007B53B0">
        <w:rPr>
          <w:sz w:val="24"/>
          <w:szCs w:val="24"/>
        </w:rPr>
        <w:t xml:space="preserve"> </w:t>
      </w:r>
      <w:r w:rsidR="00035400">
        <w:rPr>
          <w:sz w:val="24"/>
          <w:szCs w:val="24"/>
        </w:rPr>
        <w:t xml:space="preserve">dei protagonisti della vicenda delittuosa. </w:t>
      </w:r>
    </w:p>
    <w:p w14:paraId="52208330" w14:textId="1ACD7561" w:rsidR="003D6657" w:rsidRDefault="00883A3C" w:rsidP="00C24B0B">
      <w:pPr>
        <w:contextualSpacing/>
        <w:jc w:val="both"/>
        <w:rPr>
          <w:sz w:val="24"/>
          <w:szCs w:val="24"/>
        </w:rPr>
      </w:pPr>
      <w:r>
        <w:rPr>
          <w:sz w:val="24"/>
          <w:szCs w:val="24"/>
        </w:rPr>
        <w:t>Con riguardo alla natura della condotta del “facente parte”</w:t>
      </w:r>
      <w:r w:rsidR="007B53B0">
        <w:rPr>
          <w:sz w:val="24"/>
          <w:szCs w:val="24"/>
        </w:rPr>
        <w:t xml:space="preserve">, </w:t>
      </w:r>
      <w:r w:rsidR="00035400">
        <w:rPr>
          <w:sz w:val="24"/>
          <w:szCs w:val="24"/>
        </w:rPr>
        <w:t>il Supremo Consesso</w:t>
      </w:r>
      <w:r w:rsidR="007B53B0">
        <w:rPr>
          <w:sz w:val="24"/>
          <w:szCs w:val="24"/>
        </w:rPr>
        <w:t xml:space="preserve"> </w:t>
      </w:r>
      <w:r>
        <w:rPr>
          <w:sz w:val="24"/>
          <w:szCs w:val="24"/>
        </w:rPr>
        <w:t>ne ha constatato</w:t>
      </w:r>
      <w:r w:rsidR="00726716">
        <w:rPr>
          <w:sz w:val="24"/>
          <w:szCs w:val="24"/>
        </w:rPr>
        <w:t xml:space="preserve"> la consistenza</w:t>
      </w:r>
      <w:r w:rsidR="007B53B0">
        <w:rPr>
          <w:sz w:val="24"/>
          <w:szCs w:val="24"/>
        </w:rPr>
        <w:t xml:space="preserve"> “dinamica” (e non statica)</w:t>
      </w:r>
      <w:r w:rsidR="007B53B0" w:rsidRPr="00726716">
        <w:rPr>
          <w:rStyle w:val="Rimandonotaapidipagina"/>
        </w:rPr>
        <w:footnoteReference w:id="37"/>
      </w:r>
      <w:r w:rsidR="00035400">
        <w:rPr>
          <w:sz w:val="24"/>
          <w:szCs w:val="24"/>
        </w:rPr>
        <w:t>.</w:t>
      </w:r>
      <w:r w:rsidR="00E47830" w:rsidRPr="00E47830">
        <w:rPr>
          <w:sz w:val="24"/>
          <w:szCs w:val="24"/>
        </w:rPr>
        <w:t xml:space="preserve"> </w:t>
      </w:r>
    </w:p>
    <w:p w14:paraId="3BAF2AD4" w14:textId="286C02A2" w:rsidR="000663E8" w:rsidRDefault="00726716" w:rsidP="00C24B0B">
      <w:pPr>
        <w:contextualSpacing/>
        <w:jc w:val="both"/>
        <w:rPr>
          <w:sz w:val="24"/>
          <w:szCs w:val="24"/>
        </w:rPr>
      </w:pPr>
      <w:r>
        <w:rPr>
          <w:sz w:val="24"/>
          <w:szCs w:val="24"/>
        </w:rPr>
        <w:t xml:space="preserve">Sul piano probatorio, </w:t>
      </w:r>
      <w:r w:rsidR="00883A3C">
        <w:rPr>
          <w:sz w:val="24"/>
          <w:szCs w:val="24"/>
        </w:rPr>
        <w:t>in particolare</w:t>
      </w:r>
      <w:r>
        <w:rPr>
          <w:sz w:val="24"/>
          <w:szCs w:val="24"/>
        </w:rPr>
        <w:t xml:space="preserve">, </w:t>
      </w:r>
      <w:r w:rsidR="000663E8">
        <w:rPr>
          <w:sz w:val="24"/>
          <w:szCs w:val="24"/>
        </w:rPr>
        <w:t xml:space="preserve">le Sezioni Unite </w:t>
      </w:r>
      <w:r w:rsidR="00883A3C">
        <w:rPr>
          <w:sz w:val="24"/>
          <w:szCs w:val="24"/>
        </w:rPr>
        <w:t xml:space="preserve">hanno ribadito l’affidamento </w:t>
      </w:r>
      <w:r w:rsidR="000663E8">
        <w:rPr>
          <w:sz w:val="24"/>
          <w:szCs w:val="24"/>
        </w:rPr>
        <w:t xml:space="preserve">alla regola cardine che in questa sede è deputata a </w:t>
      </w:r>
      <w:r w:rsidR="00AD5C1C">
        <w:rPr>
          <w:sz w:val="24"/>
          <w:szCs w:val="24"/>
        </w:rPr>
        <w:t>governare</w:t>
      </w:r>
      <w:r w:rsidR="000663E8">
        <w:rPr>
          <w:sz w:val="24"/>
          <w:szCs w:val="24"/>
        </w:rPr>
        <w:t xml:space="preserve"> </w:t>
      </w:r>
      <w:r w:rsidR="00AD5C1C">
        <w:rPr>
          <w:sz w:val="24"/>
          <w:szCs w:val="24"/>
        </w:rPr>
        <w:t xml:space="preserve">lo snodo probatorio: l’id quod plerumque </w:t>
      </w:r>
      <w:proofErr w:type="spellStart"/>
      <w:r w:rsidR="00AD5C1C">
        <w:rPr>
          <w:sz w:val="24"/>
          <w:szCs w:val="24"/>
        </w:rPr>
        <w:t>accidit</w:t>
      </w:r>
      <w:proofErr w:type="spellEnd"/>
      <w:r w:rsidR="00AD5C1C">
        <w:rPr>
          <w:sz w:val="24"/>
          <w:szCs w:val="24"/>
        </w:rPr>
        <w:t>.</w:t>
      </w:r>
    </w:p>
    <w:p w14:paraId="746B839D" w14:textId="70C6F1CC" w:rsidR="004019DE" w:rsidRDefault="00AD5C1C" w:rsidP="00C24B0B">
      <w:pPr>
        <w:contextualSpacing/>
        <w:jc w:val="both"/>
        <w:rPr>
          <w:sz w:val="24"/>
          <w:szCs w:val="24"/>
        </w:rPr>
      </w:pPr>
      <w:r>
        <w:rPr>
          <w:sz w:val="24"/>
          <w:szCs w:val="24"/>
        </w:rPr>
        <w:t>L</w:t>
      </w:r>
      <w:r w:rsidR="00726716">
        <w:rPr>
          <w:sz w:val="24"/>
          <w:szCs w:val="24"/>
        </w:rPr>
        <w:t>’interprete è chiamato a qualificare la con</w:t>
      </w:r>
      <w:r w:rsidR="00AE56BB">
        <w:rPr>
          <w:sz w:val="24"/>
          <w:szCs w:val="24"/>
        </w:rPr>
        <w:t>dotta del soggetto agente «</w:t>
      </w:r>
      <w:r w:rsidR="00726716" w:rsidRPr="00726716">
        <w:rPr>
          <w:i/>
          <w:sz w:val="24"/>
          <w:szCs w:val="24"/>
        </w:rPr>
        <w:t>sulla base di attendibili regole di esperienza</w:t>
      </w:r>
      <w:r w:rsidR="00AE56BB">
        <w:rPr>
          <w:sz w:val="24"/>
          <w:szCs w:val="24"/>
        </w:rPr>
        <w:t>»</w:t>
      </w:r>
      <w:r w:rsidR="00726716">
        <w:rPr>
          <w:sz w:val="24"/>
          <w:szCs w:val="24"/>
        </w:rPr>
        <w:t xml:space="preserve"> desunte </w:t>
      </w:r>
      <w:r w:rsidR="004019DE">
        <w:rPr>
          <w:sz w:val="24"/>
          <w:szCs w:val="24"/>
        </w:rPr>
        <w:t>dal costante manifestarsi del</w:t>
      </w:r>
      <w:r w:rsidR="00465A35">
        <w:rPr>
          <w:sz w:val="24"/>
          <w:szCs w:val="24"/>
        </w:rPr>
        <w:t xml:space="preserve"> fenomeno mafioso</w:t>
      </w:r>
      <w:r w:rsidR="004019DE">
        <w:rPr>
          <w:sz w:val="24"/>
          <w:szCs w:val="24"/>
        </w:rPr>
        <w:t xml:space="preserve">. </w:t>
      </w:r>
    </w:p>
    <w:p w14:paraId="5E560E7F" w14:textId="7898912A" w:rsidR="00883A3C" w:rsidRDefault="004019DE" w:rsidP="00C24B0B">
      <w:pPr>
        <w:contextualSpacing/>
        <w:jc w:val="both"/>
        <w:rPr>
          <w:sz w:val="24"/>
          <w:szCs w:val="24"/>
        </w:rPr>
      </w:pPr>
      <w:r>
        <w:rPr>
          <w:sz w:val="24"/>
          <w:szCs w:val="24"/>
        </w:rPr>
        <w:t xml:space="preserve">In </w:t>
      </w:r>
      <w:r w:rsidR="00883A3C">
        <w:rPr>
          <w:sz w:val="24"/>
          <w:szCs w:val="24"/>
        </w:rPr>
        <w:t>termini generali</w:t>
      </w:r>
      <w:r w:rsidR="00AD5C1C">
        <w:rPr>
          <w:sz w:val="24"/>
          <w:szCs w:val="24"/>
        </w:rPr>
        <w:t>,</w:t>
      </w:r>
      <w:r w:rsidR="00883A3C">
        <w:rPr>
          <w:sz w:val="24"/>
          <w:szCs w:val="24"/>
        </w:rPr>
        <w:t xml:space="preserve"> quindi,</w:t>
      </w:r>
      <w:r w:rsidR="00AD5C1C">
        <w:rPr>
          <w:sz w:val="24"/>
          <w:szCs w:val="24"/>
        </w:rPr>
        <w:t xml:space="preserve"> la Corte ricava uno strumento, particolarmente prezioso ai fini</w:t>
      </w:r>
      <w:r w:rsidR="00883A3C">
        <w:rPr>
          <w:sz w:val="24"/>
          <w:szCs w:val="24"/>
        </w:rPr>
        <w:t>,</w:t>
      </w:r>
      <w:r w:rsidR="00AD5C1C">
        <w:rPr>
          <w:sz w:val="24"/>
          <w:szCs w:val="24"/>
        </w:rPr>
        <w:t xml:space="preserve"> </w:t>
      </w:r>
      <w:r w:rsidR="00883A3C">
        <w:rPr>
          <w:sz w:val="24"/>
          <w:szCs w:val="24"/>
        </w:rPr>
        <w:t xml:space="preserve">non solo </w:t>
      </w:r>
      <w:r w:rsidR="00AD5C1C">
        <w:rPr>
          <w:sz w:val="24"/>
          <w:szCs w:val="24"/>
        </w:rPr>
        <w:t>del giudizio di sussunzione</w:t>
      </w:r>
      <w:r w:rsidR="00883A3C">
        <w:rPr>
          <w:sz w:val="24"/>
          <w:szCs w:val="24"/>
        </w:rPr>
        <w:t xml:space="preserve"> ma anche del processo di ricostruzione ermeneutica delle figure delittuose coinvolte.</w:t>
      </w:r>
    </w:p>
    <w:p w14:paraId="1BC595BB" w14:textId="476F6427" w:rsidR="00726716" w:rsidRDefault="00883A3C" w:rsidP="00C24B0B">
      <w:pPr>
        <w:contextualSpacing/>
        <w:jc w:val="both"/>
        <w:rPr>
          <w:sz w:val="24"/>
          <w:szCs w:val="24"/>
        </w:rPr>
      </w:pPr>
      <w:r>
        <w:rPr>
          <w:sz w:val="24"/>
          <w:szCs w:val="24"/>
        </w:rPr>
        <w:t>Si tratta di una regola probatoria</w:t>
      </w:r>
      <w:r w:rsidR="00AD5C1C">
        <w:rPr>
          <w:sz w:val="24"/>
          <w:szCs w:val="24"/>
        </w:rPr>
        <w:t xml:space="preserve"> dal quale</w:t>
      </w:r>
      <w:r w:rsidR="004019DE">
        <w:rPr>
          <w:sz w:val="24"/>
          <w:szCs w:val="24"/>
        </w:rPr>
        <w:t xml:space="preserve"> </w:t>
      </w:r>
      <w:r w:rsidR="00465A35">
        <w:rPr>
          <w:sz w:val="24"/>
          <w:szCs w:val="24"/>
        </w:rPr>
        <w:t xml:space="preserve">logicamente inferire </w:t>
      </w:r>
      <w:r w:rsidR="00726716" w:rsidRPr="00465A35">
        <w:rPr>
          <w:sz w:val="24"/>
          <w:szCs w:val="24"/>
        </w:rPr>
        <w:t xml:space="preserve">il nucleo essenziale </w:t>
      </w:r>
      <w:r w:rsidR="00AD5C1C">
        <w:rPr>
          <w:sz w:val="24"/>
          <w:szCs w:val="24"/>
        </w:rPr>
        <w:t xml:space="preserve">e i tratti caratteristici delle condotte tipiche </w:t>
      </w:r>
      <w:r>
        <w:rPr>
          <w:sz w:val="24"/>
          <w:szCs w:val="24"/>
        </w:rPr>
        <w:t>(</w:t>
      </w:r>
      <w:r w:rsidR="00AD5C1C">
        <w:rPr>
          <w:sz w:val="24"/>
          <w:szCs w:val="24"/>
        </w:rPr>
        <w:t>e</w:t>
      </w:r>
      <w:r>
        <w:rPr>
          <w:sz w:val="24"/>
          <w:szCs w:val="24"/>
        </w:rPr>
        <w:t xml:space="preserve">, per </w:t>
      </w:r>
      <w:r w:rsidR="00AE56BB">
        <w:rPr>
          <w:sz w:val="24"/>
          <w:szCs w:val="24"/>
        </w:rPr>
        <w:t>“</w:t>
      </w:r>
      <w:r w:rsidRPr="00AE56BB">
        <w:rPr>
          <w:i/>
          <w:sz w:val="24"/>
          <w:szCs w:val="24"/>
        </w:rPr>
        <w:t>argumentum a contrario</w:t>
      </w:r>
      <w:r w:rsidR="00AE56BB">
        <w:rPr>
          <w:sz w:val="24"/>
          <w:szCs w:val="24"/>
        </w:rPr>
        <w:t>”</w:t>
      </w:r>
      <w:r>
        <w:rPr>
          <w:sz w:val="24"/>
          <w:szCs w:val="24"/>
        </w:rPr>
        <w:t>,</w:t>
      </w:r>
      <w:r w:rsidR="00AD5C1C">
        <w:rPr>
          <w:sz w:val="24"/>
          <w:szCs w:val="24"/>
        </w:rPr>
        <w:t xml:space="preserve"> atipiche</w:t>
      </w:r>
      <w:r>
        <w:rPr>
          <w:sz w:val="24"/>
          <w:szCs w:val="24"/>
        </w:rPr>
        <w:t>)</w:t>
      </w:r>
      <w:r w:rsidR="00AD5C1C">
        <w:rPr>
          <w:sz w:val="24"/>
          <w:szCs w:val="24"/>
        </w:rPr>
        <w:t xml:space="preserve"> che gravitano attorno alla fattispecie di cui all’art. 416-bis c.p.</w:t>
      </w:r>
    </w:p>
    <w:p w14:paraId="23951F92" w14:textId="0FA3BFBE" w:rsidR="004019DE" w:rsidRDefault="00883A3C" w:rsidP="00C24B0B">
      <w:pPr>
        <w:contextualSpacing/>
        <w:jc w:val="both"/>
        <w:rPr>
          <w:sz w:val="24"/>
          <w:szCs w:val="24"/>
        </w:rPr>
      </w:pPr>
      <w:r>
        <w:rPr>
          <w:sz w:val="24"/>
          <w:szCs w:val="24"/>
        </w:rPr>
        <w:t>Con riguardo alla figura dell’extraneus</w:t>
      </w:r>
      <w:r w:rsidR="00465A35">
        <w:rPr>
          <w:sz w:val="24"/>
          <w:szCs w:val="24"/>
        </w:rPr>
        <w:t xml:space="preserve">, </w:t>
      </w:r>
      <w:r w:rsidR="00C3758A" w:rsidRPr="00C3758A">
        <w:rPr>
          <w:sz w:val="24"/>
          <w:szCs w:val="24"/>
        </w:rPr>
        <w:t>ripercorr</w:t>
      </w:r>
      <w:r w:rsidR="00C3758A">
        <w:rPr>
          <w:sz w:val="24"/>
          <w:szCs w:val="24"/>
        </w:rPr>
        <w:t>endo</w:t>
      </w:r>
      <w:r w:rsidR="00C3758A" w:rsidRPr="00C3758A">
        <w:rPr>
          <w:sz w:val="24"/>
          <w:szCs w:val="24"/>
        </w:rPr>
        <w:t xml:space="preserve"> i </w:t>
      </w:r>
      <w:r>
        <w:rPr>
          <w:sz w:val="24"/>
          <w:szCs w:val="24"/>
        </w:rPr>
        <w:t xml:space="preserve">tradizionali </w:t>
      </w:r>
      <w:r w:rsidR="00C3758A" w:rsidRPr="00C3758A">
        <w:rPr>
          <w:sz w:val="24"/>
          <w:szCs w:val="24"/>
        </w:rPr>
        <w:t xml:space="preserve">canoni </w:t>
      </w:r>
      <w:r>
        <w:rPr>
          <w:sz w:val="24"/>
          <w:szCs w:val="24"/>
        </w:rPr>
        <w:t>interpretativi</w:t>
      </w:r>
      <w:r w:rsidR="00C3758A" w:rsidRPr="00C3758A">
        <w:rPr>
          <w:sz w:val="24"/>
          <w:szCs w:val="24"/>
        </w:rPr>
        <w:t xml:space="preserve"> </w:t>
      </w:r>
      <w:r>
        <w:rPr>
          <w:sz w:val="24"/>
          <w:szCs w:val="24"/>
        </w:rPr>
        <w:t>già ripercorsi dalle</w:t>
      </w:r>
      <w:r w:rsidR="00C3758A" w:rsidRPr="00C3758A">
        <w:rPr>
          <w:sz w:val="24"/>
          <w:szCs w:val="24"/>
        </w:rPr>
        <w:t xml:space="preserve"> precedenti elaborazioni giurisprudenziali</w:t>
      </w:r>
      <w:r w:rsidR="00C3758A">
        <w:rPr>
          <w:sz w:val="24"/>
          <w:szCs w:val="24"/>
        </w:rPr>
        <w:t xml:space="preserve">, la Suprema Corte </w:t>
      </w:r>
      <w:r>
        <w:rPr>
          <w:sz w:val="24"/>
          <w:szCs w:val="24"/>
        </w:rPr>
        <w:t xml:space="preserve">ha </w:t>
      </w:r>
      <w:r w:rsidR="00C3758A">
        <w:rPr>
          <w:sz w:val="24"/>
          <w:szCs w:val="24"/>
        </w:rPr>
        <w:t>defini</w:t>
      </w:r>
      <w:r>
        <w:rPr>
          <w:sz w:val="24"/>
          <w:szCs w:val="24"/>
        </w:rPr>
        <w:t>to</w:t>
      </w:r>
      <w:r w:rsidR="00C3758A" w:rsidRPr="00C3758A">
        <w:rPr>
          <w:sz w:val="24"/>
          <w:szCs w:val="24"/>
        </w:rPr>
        <w:t xml:space="preserve"> </w:t>
      </w:r>
      <w:r w:rsidR="00465A35">
        <w:rPr>
          <w:sz w:val="24"/>
          <w:szCs w:val="24"/>
        </w:rPr>
        <w:t xml:space="preserve">il concorrente esterno </w:t>
      </w:r>
      <w:r w:rsidR="00C3758A">
        <w:rPr>
          <w:sz w:val="24"/>
          <w:szCs w:val="24"/>
        </w:rPr>
        <w:t>come</w:t>
      </w:r>
      <w:r w:rsidR="00465A35">
        <w:rPr>
          <w:sz w:val="24"/>
          <w:szCs w:val="24"/>
        </w:rPr>
        <w:t xml:space="preserve"> colui che non è stabilmente inserito nella compagine associativa. </w:t>
      </w:r>
    </w:p>
    <w:p w14:paraId="1373168A" w14:textId="2FB3D3A4" w:rsidR="00465A35" w:rsidRPr="00E47830" w:rsidRDefault="00465A35" w:rsidP="00C24B0B">
      <w:pPr>
        <w:contextualSpacing/>
        <w:jc w:val="both"/>
        <w:rPr>
          <w:sz w:val="24"/>
          <w:szCs w:val="24"/>
        </w:rPr>
      </w:pPr>
      <w:r>
        <w:rPr>
          <w:sz w:val="24"/>
          <w:szCs w:val="24"/>
        </w:rPr>
        <w:t>In tal senso</w:t>
      </w:r>
      <w:r w:rsidR="00C3758A">
        <w:rPr>
          <w:sz w:val="24"/>
          <w:szCs w:val="24"/>
        </w:rPr>
        <w:t xml:space="preserve">, </w:t>
      </w:r>
      <w:r w:rsidR="00334887">
        <w:rPr>
          <w:sz w:val="24"/>
          <w:szCs w:val="24"/>
        </w:rPr>
        <w:t xml:space="preserve">ribadendo consolidate enunciazioni giurisprudenziali, </w:t>
      </w:r>
      <w:r w:rsidR="00C3758A">
        <w:rPr>
          <w:sz w:val="24"/>
          <w:szCs w:val="24"/>
        </w:rPr>
        <w:t>oltre che per l’assenza della</w:t>
      </w:r>
      <w:r w:rsidR="00AE56BB">
        <w:rPr>
          <w:sz w:val="24"/>
          <w:szCs w:val="24"/>
        </w:rPr>
        <w:t xml:space="preserve"> «</w:t>
      </w:r>
      <w:r w:rsidRPr="004019DE">
        <w:rPr>
          <w:i/>
          <w:sz w:val="24"/>
          <w:szCs w:val="24"/>
        </w:rPr>
        <w:t>affectio societatis</w:t>
      </w:r>
      <w:r w:rsidR="00AE56BB">
        <w:rPr>
          <w:sz w:val="24"/>
          <w:szCs w:val="24"/>
        </w:rPr>
        <w:t>»</w:t>
      </w:r>
      <w:r w:rsidRPr="00465A35">
        <w:rPr>
          <w:sz w:val="24"/>
          <w:szCs w:val="24"/>
        </w:rPr>
        <w:t>,</w:t>
      </w:r>
      <w:r>
        <w:rPr>
          <w:sz w:val="24"/>
          <w:szCs w:val="24"/>
        </w:rPr>
        <w:t xml:space="preserve"> </w:t>
      </w:r>
      <w:r w:rsidR="00C3758A">
        <w:rPr>
          <w:sz w:val="24"/>
          <w:szCs w:val="24"/>
        </w:rPr>
        <w:t>l’extraneus si distingue</w:t>
      </w:r>
      <w:r w:rsidR="00883A3C">
        <w:rPr>
          <w:sz w:val="24"/>
          <w:szCs w:val="24"/>
        </w:rPr>
        <w:t>rebbe</w:t>
      </w:r>
      <w:r w:rsidR="00C3758A">
        <w:rPr>
          <w:sz w:val="24"/>
          <w:szCs w:val="24"/>
        </w:rPr>
        <w:t xml:space="preserve"> per l’erogazione di un</w:t>
      </w:r>
      <w:r>
        <w:rPr>
          <w:sz w:val="24"/>
          <w:szCs w:val="24"/>
        </w:rPr>
        <w:t xml:space="preserve"> contributo</w:t>
      </w:r>
      <w:r w:rsidRPr="00465A35">
        <w:rPr>
          <w:sz w:val="24"/>
          <w:szCs w:val="24"/>
        </w:rPr>
        <w:t xml:space="preserve"> </w:t>
      </w:r>
      <w:r w:rsidR="00AE56BB">
        <w:rPr>
          <w:sz w:val="24"/>
          <w:szCs w:val="24"/>
        </w:rPr>
        <w:t>«</w:t>
      </w:r>
      <w:r w:rsidRPr="00465A35">
        <w:rPr>
          <w:i/>
          <w:sz w:val="24"/>
          <w:szCs w:val="24"/>
        </w:rPr>
        <w:t>concreto, specifico, consapevole e volontario</w:t>
      </w:r>
      <w:r w:rsidR="00AE56BB">
        <w:rPr>
          <w:sz w:val="24"/>
          <w:szCs w:val="24"/>
        </w:rPr>
        <w:t>»</w:t>
      </w:r>
      <w:r w:rsidRPr="00883A3C">
        <w:rPr>
          <w:rStyle w:val="Rimandonotaapidipagina"/>
        </w:rPr>
        <w:footnoteReference w:id="38"/>
      </w:r>
      <w:r>
        <w:rPr>
          <w:sz w:val="24"/>
          <w:szCs w:val="24"/>
        </w:rPr>
        <w:t>.</w:t>
      </w:r>
      <w:r w:rsidRPr="00465A35">
        <w:rPr>
          <w:sz w:val="24"/>
          <w:szCs w:val="24"/>
        </w:rPr>
        <w:t xml:space="preserve"> </w:t>
      </w:r>
    </w:p>
    <w:p w14:paraId="366A8284" w14:textId="77777777" w:rsidR="00277744" w:rsidRDefault="00334887" w:rsidP="00C24B0B">
      <w:pPr>
        <w:contextualSpacing/>
        <w:jc w:val="both"/>
        <w:rPr>
          <w:sz w:val="24"/>
          <w:szCs w:val="24"/>
        </w:rPr>
      </w:pPr>
      <w:r>
        <w:rPr>
          <w:sz w:val="24"/>
          <w:szCs w:val="24"/>
        </w:rPr>
        <w:t>Del resto, c</w:t>
      </w:r>
      <w:r w:rsidR="00EC63B9">
        <w:rPr>
          <w:sz w:val="24"/>
          <w:szCs w:val="24"/>
        </w:rPr>
        <w:t>on la</w:t>
      </w:r>
      <w:r w:rsidR="00E105A5" w:rsidRPr="00E47830">
        <w:rPr>
          <w:sz w:val="24"/>
          <w:szCs w:val="24"/>
        </w:rPr>
        <w:t xml:space="preserve"> pronuncia</w:t>
      </w:r>
      <w:r w:rsidR="00EC63B9">
        <w:rPr>
          <w:sz w:val="24"/>
          <w:szCs w:val="24"/>
        </w:rPr>
        <w:t xml:space="preserve"> del 2005 le</w:t>
      </w:r>
      <w:r w:rsidR="00E105A5" w:rsidRPr="00E47830">
        <w:rPr>
          <w:sz w:val="24"/>
          <w:szCs w:val="24"/>
        </w:rPr>
        <w:t xml:space="preserve"> </w:t>
      </w:r>
      <w:r w:rsidR="00EC63B9">
        <w:rPr>
          <w:sz w:val="24"/>
          <w:szCs w:val="24"/>
        </w:rPr>
        <w:t>Sezioni Unite</w:t>
      </w:r>
      <w:r w:rsidR="00E105A5" w:rsidRPr="00E47830">
        <w:rPr>
          <w:sz w:val="24"/>
          <w:szCs w:val="24"/>
        </w:rPr>
        <w:t xml:space="preserve"> </w:t>
      </w:r>
      <w:r w:rsidR="00EC63B9">
        <w:rPr>
          <w:sz w:val="24"/>
          <w:szCs w:val="24"/>
        </w:rPr>
        <w:t xml:space="preserve">hanno tratteggiato i profili della </w:t>
      </w:r>
      <w:r w:rsidR="00883A3C">
        <w:rPr>
          <w:sz w:val="24"/>
          <w:szCs w:val="24"/>
        </w:rPr>
        <w:t>forma di manifestazione del reato</w:t>
      </w:r>
      <w:r w:rsidR="00EC63B9">
        <w:rPr>
          <w:sz w:val="24"/>
          <w:szCs w:val="24"/>
        </w:rPr>
        <w:t xml:space="preserve"> </w:t>
      </w:r>
      <w:r w:rsidR="00277744">
        <w:rPr>
          <w:sz w:val="24"/>
          <w:szCs w:val="24"/>
        </w:rPr>
        <w:t>in esame</w:t>
      </w:r>
      <w:r w:rsidR="00EC63B9">
        <w:rPr>
          <w:sz w:val="24"/>
          <w:szCs w:val="24"/>
        </w:rPr>
        <w:t>, raccordandola</w:t>
      </w:r>
      <w:r w:rsidR="00E105A5" w:rsidRPr="00E47830">
        <w:rPr>
          <w:sz w:val="24"/>
          <w:szCs w:val="24"/>
        </w:rPr>
        <w:t xml:space="preserve"> saldamente ai principi che fondano la potestà sanzionatoria</w:t>
      </w:r>
      <w:r w:rsidR="00C3758A" w:rsidRPr="00334887">
        <w:rPr>
          <w:rStyle w:val="Rimandonotaapidipagina"/>
          <w:sz w:val="21"/>
          <w:szCs w:val="21"/>
        </w:rPr>
        <w:footnoteReference w:id="39"/>
      </w:r>
      <w:r w:rsidR="00E105A5" w:rsidRPr="00E47830">
        <w:rPr>
          <w:sz w:val="24"/>
          <w:szCs w:val="24"/>
        </w:rPr>
        <w:t xml:space="preserve">. </w:t>
      </w:r>
    </w:p>
    <w:p w14:paraId="16CCFA48" w14:textId="51940401" w:rsidR="00D11866" w:rsidRDefault="003D6657" w:rsidP="00C24B0B">
      <w:pPr>
        <w:contextualSpacing/>
        <w:jc w:val="both"/>
        <w:rPr>
          <w:sz w:val="24"/>
          <w:szCs w:val="24"/>
        </w:rPr>
      </w:pPr>
      <w:r w:rsidRPr="00E47830">
        <w:rPr>
          <w:sz w:val="24"/>
          <w:szCs w:val="24"/>
        </w:rPr>
        <w:lastRenderedPageBreak/>
        <w:t>Il rispetto del principio di</w:t>
      </w:r>
      <w:r w:rsidR="00E105A5" w:rsidRPr="00E47830">
        <w:rPr>
          <w:sz w:val="24"/>
          <w:szCs w:val="24"/>
        </w:rPr>
        <w:t xml:space="preserve"> tipicità </w:t>
      </w:r>
      <w:r w:rsidR="00EC63B9">
        <w:rPr>
          <w:sz w:val="24"/>
          <w:szCs w:val="24"/>
        </w:rPr>
        <w:t>sarebbe</w:t>
      </w:r>
      <w:r w:rsidR="00E105A5" w:rsidRPr="00E47830">
        <w:rPr>
          <w:sz w:val="24"/>
          <w:szCs w:val="24"/>
        </w:rPr>
        <w:t xml:space="preserve"> </w:t>
      </w:r>
      <w:r w:rsidRPr="00E47830">
        <w:rPr>
          <w:sz w:val="24"/>
          <w:szCs w:val="24"/>
        </w:rPr>
        <w:t>garantito</w:t>
      </w:r>
      <w:r w:rsidR="00E105A5" w:rsidRPr="00E47830">
        <w:rPr>
          <w:sz w:val="24"/>
          <w:szCs w:val="24"/>
        </w:rPr>
        <w:t xml:space="preserve"> dalla rigorosa applicazione della teoria condizionalistica</w:t>
      </w:r>
      <w:r w:rsidR="009B0D3F" w:rsidRPr="004A6C8A">
        <w:rPr>
          <w:rStyle w:val="Rimandonotaapidipagina"/>
          <w:sz w:val="22"/>
          <w:szCs w:val="22"/>
        </w:rPr>
        <w:footnoteReference w:id="40"/>
      </w:r>
      <w:r w:rsidR="00F82F43" w:rsidRPr="00E47830">
        <w:rPr>
          <w:sz w:val="24"/>
          <w:szCs w:val="24"/>
        </w:rPr>
        <w:t xml:space="preserve"> secondo un giudizio di prognosi postuma </w:t>
      </w:r>
      <w:r w:rsidR="00EC63B9">
        <w:rPr>
          <w:sz w:val="24"/>
          <w:szCs w:val="24"/>
        </w:rPr>
        <w:t xml:space="preserve">da effettuarsi </w:t>
      </w:r>
      <w:r w:rsidR="00F82F43" w:rsidRPr="00726716">
        <w:rPr>
          <w:i/>
          <w:sz w:val="24"/>
          <w:szCs w:val="24"/>
        </w:rPr>
        <w:t>ex post</w:t>
      </w:r>
      <w:r w:rsidR="001D40BF" w:rsidRPr="004A6C8A">
        <w:rPr>
          <w:rStyle w:val="Rimandonotaapidipagina"/>
          <w:i/>
          <w:sz w:val="22"/>
          <w:szCs w:val="22"/>
        </w:rPr>
        <w:footnoteReference w:id="41"/>
      </w:r>
      <w:r w:rsidR="00E105A5" w:rsidRPr="00E47830">
        <w:rPr>
          <w:sz w:val="24"/>
          <w:szCs w:val="24"/>
        </w:rPr>
        <w:t>.</w:t>
      </w:r>
    </w:p>
    <w:p w14:paraId="3BD721EC" w14:textId="344E4E70" w:rsidR="00E909BE" w:rsidRDefault="00D11866" w:rsidP="00C24B0B">
      <w:pPr>
        <w:contextualSpacing/>
        <w:jc w:val="both"/>
        <w:rPr>
          <w:sz w:val="24"/>
          <w:szCs w:val="24"/>
        </w:rPr>
      </w:pPr>
      <w:r>
        <w:rPr>
          <w:sz w:val="24"/>
          <w:szCs w:val="24"/>
        </w:rPr>
        <w:t xml:space="preserve">Su un piano </w:t>
      </w:r>
      <w:r w:rsidR="00E909BE">
        <w:rPr>
          <w:sz w:val="24"/>
          <w:szCs w:val="24"/>
        </w:rPr>
        <w:t>eminentemente soggettivo, invece</w:t>
      </w:r>
      <w:r>
        <w:rPr>
          <w:sz w:val="24"/>
          <w:szCs w:val="24"/>
        </w:rPr>
        <w:t xml:space="preserve">, la Suprema Corte </w:t>
      </w:r>
      <w:r w:rsidR="00735768">
        <w:rPr>
          <w:sz w:val="24"/>
          <w:szCs w:val="24"/>
        </w:rPr>
        <w:t>ha riflettuto</w:t>
      </w:r>
      <w:r>
        <w:rPr>
          <w:sz w:val="24"/>
          <w:szCs w:val="24"/>
        </w:rPr>
        <w:t xml:space="preserve"> sulla caratura del coefficiente psicologico che deve informare l’animus del concorrente esterno. </w:t>
      </w:r>
    </w:p>
    <w:p w14:paraId="490BC936" w14:textId="25599AF1" w:rsidR="00735768" w:rsidRDefault="00735768" w:rsidP="00C24B0B">
      <w:pPr>
        <w:contextualSpacing/>
        <w:jc w:val="both"/>
        <w:rPr>
          <w:sz w:val="24"/>
          <w:szCs w:val="24"/>
        </w:rPr>
      </w:pPr>
      <w:r>
        <w:rPr>
          <w:sz w:val="24"/>
          <w:szCs w:val="24"/>
        </w:rPr>
        <w:t>La lettura ragionata della pronuncia impone un incedere che faccia della dogmatica penalistica il suo punto di riferimento principale.</w:t>
      </w:r>
    </w:p>
    <w:p w14:paraId="0E95E763" w14:textId="6ACB6EC6" w:rsidR="00EF42A7" w:rsidRDefault="0043165B" w:rsidP="00C24B0B">
      <w:pPr>
        <w:contextualSpacing/>
        <w:jc w:val="both"/>
        <w:rPr>
          <w:sz w:val="24"/>
          <w:szCs w:val="24"/>
        </w:rPr>
      </w:pPr>
      <w:r>
        <w:rPr>
          <w:sz w:val="24"/>
          <w:szCs w:val="24"/>
        </w:rPr>
        <w:t>L</w:t>
      </w:r>
      <w:r w:rsidR="00AE56BB">
        <w:rPr>
          <w:sz w:val="24"/>
          <w:szCs w:val="24"/>
        </w:rPr>
        <w:t>a locuzione «</w:t>
      </w:r>
      <w:r w:rsidR="00D11866" w:rsidRPr="00AE56BB">
        <w:rPr>
          <w:i/>
          <w:sz w:val="24"/>
          <w:szCs w:val="24"/>
        </w:rPr>
        <w:t>medesimo reato</w:t>
      </w:r>
      <w:r w:rsidR="00AE56BB">
        <w:rPr>
          <w:sz w:val="24"/>
          <w:szCs w:val="24"/>
        </w:rPr>
        <w:t>»</w:t>
      </w:r>
      <w:r w:rsidR="00D11866">
        <w:rPr>
          <w:sz w:val="24"/>
          <w:szCs w:val="24"/>
        </w:rPr>
        <w:t xml:space="preserve"> </w:t>
      </w:r>
      <w:r w:rsidR="00735768">
        <w:rPr>
          <w:sz w:val="24"/>
          <w:szCs w:val="24"/>
        </w:rPr>
        <w:t>non lascerebbe</w:t>
      </w:r>
      <w:r w:rsidR="00E909BE">
        <w:rPr>
          <w:sz w:val="24"/>
          <w:szCs w:val="24"/>
        </w:rPr>
        <w:t xml:space="preserve"> spazi interpretativi.</w:t>
      </w:r>
      <w:r w:rsidR="00D11866">
        <w:rPr>
          <w:sz w:val="24"/>
          <w:szCs w:val="24"/>
        </w:rPr>
        <w:t xml:space="preserve"> </w:t>
      </w:r>
    </w:p>
    <w:p w14:paraId="2FF397D6" w14:textId="5DD34F4B" w:rsidR="00EF42A7" w:rsidRDefault="00E909BE" w:rsidP="00C24B0B">
      <w:pPr>
        <w:contextualSpacing/>
        <w:jc w:val="both"/>
        <w:rPr>
          <w:sz w:val="24"/>
          <w:szCs w:val="24"/>
        </w:rPr>
      </w:pPr>
      <w:r>
        <w:rPr>
          <w:sz w:val="24"/>
          <w:szCs w:val="24"/>
        </w:rPr>
        <w:t>Se l’oggetto del dolo è il fatto</w:t>
      </w:r>
      <w:r w:rsidR="00EF42A7" w:rsidRPr="00334887">
        <w:rPr>
          <w:rStyle w:val="Rimandonotaapidipagina"/>
          <w:sz w:val="22"/>
          <w:szCs w:val="22"/>
        </w:rPr>
        <w:footnoteReference w:id="42"/>
      </w:r>
      <w:r>
        <w:rPr>
          <w:sz w:val="24"/>
          <w:szCs w:val="24"/>
        </w:rPr>
        <w:t xml:space="preserve"> </w:t>
      </w:r>
      <w:r w:rsidR="00EF42A7">
        <w:rPr>
          <w:sz w:val="24"/>
          <w:szCs w:val="24"/>
        </w:rPr>
        <w:t>ciò significa che è rispetto al fatto che esso si conforma</w:t>
      </w:r>
      <w:r>
        <w:rPr>
          <w:sz w:val="24"/>
          <w:szCs w:val="24"/>
        </w:rPr>
        <w:t>.</w:t>
      </w:r>
    </w:p>
    <w:p w14:paraId="5CA647C5" w14:textId="5AB67BFC" w:rsidR="00E909BE" w:rsidRDefault="00EF42A7" w:rsidP="00C24B0B">
      <w:pPr>
        <w:contextualSpacing/>
        <w:jc w:val="both"/>
        <w:rPr>
          <w:sz w:val="24"/>
          <w:szCs w:val="24"/>
        </w:rPr>
      </w:pPr>
      <w:r>
        <w:rPr>
          <w:sz w:val="24"/>
          <w:szCs w:val="24"/>
        </w:rPr>
        <w:t>Peraltro</w:t>
      </w:r>
      <w:r w:rsidR="00E909BE">
        <w:rPr>
          <w:sz w:val="24"/>
          <w:szCs w:val="24"/>
        </w:rPr>
        <w:t xml:space="preserve">, </w:t>
      </w:r>
      <w:r>
        <w:rPr>
          <w:sz w:val="24"/>
          <w:szCs w:val="24"/>
        </w:rPr>
        <w:t>se</w:t>
      </w:r>
      <w:r w:rsidR="00E909BE">
        <w:rPr>
          <w:sz w:val="24"/>
          <w:szCs w:val="24"/>
        </w:rPr>
        <w:t xml:space="preserve"> la fattispecie penalisticamente rilevante è quella descritta dalle norme penali che intervengono a regolarla </w:t>
      </w:r>
      <w:r>
        <w:rPr>
          <w:sz w:val="24"/>
          <w:szCs w:val="24"/>
        </w:rPr>
        <w:t>è da queste ultime</w:t>
      </w:r>
      <w:r w:rsidR="00E909BE">
        <w:rPr>
          <w:sz w:val="24"/>
          <w:szCs w:val="24"/>
        </w:rPr>
        <w:t xml:space="preserve"> </w:t>
      </w:r>
      <w:r>
        <w:rPr>
          <w:sz w:val="24"/>
          <w:szCs w:val="24"/>
        </w:rPr>
        <w:t xml:space="preserve">che può ricavarsi </w:t>
      </w:r>
      <w:r w:rsidR="00E909BE">
        <w:rPr>
          <w:sz w:val="24"/>
          <w:szCs w:val="24"/>
        </w:rPr>
        <w:t>la reale consistenza dell’elemento soggettivo.</w:t>
      </w:r>
    </w:p>
    <w:p w14:paraId="310144D1" w14:textId="77777777" w:rsidR="00EF42A7" w:rsidRDefault="00E909BE" w:rsidP="00C24B0B">
      <w:pPr>
        <w:contextualSpacing/>
        <w:jc w:val="both"/>
        <w:rPr>
          <w:sz w:val="24"/>
          <w:szCs w:val="24"/>
        </w:rPr>
      </w:pPr>
      <w:r>
        <w:rPr>
          <w:sz w:val="24"/>
          <w:szCs w:val="24"/>
        </w:rPr>
        <w:t xml:space="preserve">In termini generali, dunque, </w:t>
      </w:r>
      <w:r w:rsidR="00EF42A7">
        <w:rPr>
          <w:sz w:val="24"/>
          <w:szCs w:val="24"/>
        </w:rPr>
        <w:t xml:space="preserve">se il dolo dipende dal fatto e il fatto dipende dalle norme che lo descrivono, allora al mutare delle norme muterà anche il dolo. </w:t>
      </w:r>
    </w:p>
    <w:p w14:paraId="260904BA" w14:textId="1825C8BF" w:rsidR="00E909BE" w:rsidRDefault="00EF42A7" w:rsidP="00C24B0B">
      <w:pPr>
        <w:contextualSpacing/>
        <w:jc w:val="both"/>
        <w:rPr>
          <w:sz w:val="24"/>
          <w:szCs w:val="24"/>
        </w:rPr>
      </w:pPr>
      <w:r>
        <w:rPr>
          <w:sz w:val="24"/>
          <w:szCs w:val="24"/>
        </w:rPr>
        <w:t xml:space="preserve">In materia di concorso, dunque, l’elemento soggettivo </w:t>
      </w:r>
      <w:r w:rsidR="0043165B">
        <w:rPr>
          <w:sz w:val="24"/>
          <w:szCs w:val="24"/>
        </w:rPr>
        <w:t>va</w:t>
      </w:r>
      <w:r>
        <w:rPr>
          <w:sz w:val="24"/>
          <w:szCs w:val="24"/>
        </w:rPr>
        <w:t xml:space="preserve"> calibrato sulla “nuova tipicità”</w:t>
      </w:r>
      <w:r w:rsidRPr="00044A56">
        <w:rPr>
          <w:rStyle w:val="Rimandonotaapidipagina"/>
          <w:sz w:val="22"/>
          <w:szCs w:val="22"/>
        </w:rPr>
        <w:footnoteReference w:id="43"/>
      </w:r>
      <w:r>
        <w:rPr>
          <w:sz w:val="24"/>
          <w:szCs w:val="24"/>
        </w:rPr>
        <w:t xml:space="preserve"> derivante dalla tecnica di combinazione normativa tra la figura di parte speciale e l’istituto di cui all’art. 110 c.p. </w:t>
      </w:r>
    </w:p>
    <w:p w14:paraId="7DCC33D4" w14:textId="77777777" w:rsidR="00F56DD5" w:rsidRDefault="00D11866" w:rsidP="00C24B0B">
      <w:pPr>
        <w:contextualSpacing/>
        <w:jc w:val="both"/>
        <w:rPr>
          <w:sz w:val="24"/>
          <w:szCs w:val="24"/>
        </w:rPr>
      </w:pPr>
      <w:r>
        <w:rPr>
          <w:sz w:val="24"/>
          <w:szCs w:val="24"/>
        </w:rPr>
        <w:t xml:space="preserve">L’adesione psicologica </w:t>
      </w:r>
      <w:r w:rsidR="00F56DD5">
        <w:rPr>
          <w:sz w:val="24"/>
          <w:szCs w:val="24"/>
        </w:rPr>
        <w:t xml:space="preserve">non copre soltanto </w:t>
      </w:r>
      <w:r w:rsidRPr="00D11866">
        <w:rPr>
          <w:sz w:val="24"/>
          <w:szCs w:val="24"/>
        </w:rPr>
        <w:t xml:space="preserve">tutti gli elementi essenziali della figura </w:t>
      </w:r>
      <w:r w:rsidR="00F56DD5">
        <w:rPr>
          <w:sz w:val="24"/>
          <w:szCs w:val="24"/>
        </w:rPr>
        <w:t xml:space="preserve">tipica scolpita dall’art. 416-bis ma si estende, altresì, al </w:t>
      </w:r>
      <w:r w:rsidRPr="00D11866">
        <w:rPr>
          <w:sz w:val="24"/>
          <w:szCs w:val="24"/>
        </w:rPr>
        <w:t xml:space="preserve">contributo causale </w:t>
      </w:r>
      <w:r w:rsidR="00F56DD5">
        <w:rPr>
          <w:sz w:val="24"/>
          <w:szCs w:val="24"/>
        </w:rPr>
        <w:t>apportato</w:t>
      </w:r>
      <w:r w:rsidRPr="00D11866">
        <w:rPr>
          <w:sz w:val="24"/>
          <w:szCs w:val="24"/>
        </w:rPr>
        <w:t xml:space="preserve"> </w:t>
      </w:r>
      <w:r w:rsidR="00F56DD5">
        <w:rPr>
          <w:sz w:val="24"/>
          <w:szCs w:val="24"/>
        </w:rPr>
        <w:t>per realizzare il fatto concreto.</w:t>
      </w:r>
      <w:r w:rsidRPr="00D11866">
        <w:rPr>
          <w:sz w:val="24"/>
          <w:szCs w:val="24"/>
        </w:rPr>
        <w:t xml:space="preserve"> </w:t>
      </w:r>
    </w:p>
    <w:p w14:paraId="751A8220" w14:textId="1FD41AD9" w:rsidR="00F56DD5" w:rsidRDefault="00735768" w:rsidP="00C24B0B">
      <w:pPr>
        <w:contextualSpacing/>
        <w:jc w:val="both"/>
        <w:rPr>
          <w:sz w:val="24"/>
          <w:szCs w:val="24"/>
        </w:rPr>
      </w:pPr>
      <w:r>
        <w:rPr>
          <w:sz w:val="24"/>
          <w:szCs w:val="24"/>
        </w:rPr>
        <w:t xml:space="preserve">Quindi, aderendo ad una peculiare interpretazione della forma di manifestazione del reato in esame, il </w:t>
      </w:r>
      <w:r w:rsidR="00F56DD5">
        <w:rPr>
          <w:sz w:val="24"/>
          <w:szCs w:val="24"/>
        </w:rPr>
        <w:t>“fenomeno” prevale sulla “fattispecie”, assorbendola</w:t>
      </w:r>
      <w:r w:rsidR="00AE56BB">
        <w:rPr>
          <w:sz w:val="24"/>
          <w:szCs w:val="24"/>
        </w:rPr>
        <w:t>, dando così vita ad una «</w:t>
      </w:r>
      <w:r w:rsidR="00044A56" w:rsidRPr="00A45FE2">
        <w:rPr>
          <w:i/>
          <w:sz w:val="24"/>
          <w:szCs w:val="24"/>
        </w:rPr>
        <w:t>fattispecie secondaria</w:t>
      </w:r>
      <w:r w:rsidR="00AE56BB">
        <w:rPr>
          <w:sz w:val="24"/>
          <w:szCs w:val="24"/>
        </w:rPr>
        <w:t>»</w:t>
      </w:r>
      <w:r w:rsidR="00A45FE2" w:rsidRPr="00551E0A">
        <w:rPr>
          <w:rStyle w:val="Rimandonotaapidipagina"/>
          <w:sz w:val="22"/>
          <w:szCs w:val="22"/>
        </w:rPr>
        <w:footnoteReference w:id="44"/>
      </w:r>
      <w:r w:rsidR="00F56DD5">
        <w:rPr>
          <w:sz w:val="24"/>
          <w:szCs w:val="24"/>
        </w:rPr>
        <w:t xml:space="preserve">. </w:t>
      </w:r>
    </w:p>
    <w:p w14:paraId="4455ABB8" w14:textId="41E452EA" w:rsidR="00F82F43" w:rsidRDefault="00F56DD5" w:rsidP="00C24B0B">
      <w:pPr>
        <w:contextualSpacing/>
        <w:jc w:val="both"/>
        <w:rPr>
          <w:sz w:val="24"/>
          <w:szCs w:val="24"/>
        </w:rPr>
      </w:pPr>
      <w:r>
        <w:rPr>
          <w:sz w:val="24"/>
          <w:szCs w:val="24"/>
        </w:rPr>
        <w:t xml:space="preserve">In tal senso l’interprete è chiamato a considerare il concreto verificarsi degli eventi vagliando </w:t>
      </w:r>
      <w:r w:rsidR="00B75B5E">
        <w:rPr>
          <w:sz w:val="24"/>
          <w:szCs w:val="24"/>
        </w:rPr>
        <w:t xml:space="preserve">l’integrazione del dolo diretto, insito nella </w:t>
      </w:r>
      <w:r w:rsidR="00AE56BB">
        <w:rPr>
          <w:sz w:val="24"/>
          <w:szCs w:val="24"/>
        </w:rPr>
        <w:t>«</w:t>
      </w:r>
      <w:r w:rsidR="00D11866" w:rsidRPr="00174170">
        <w:rPr>
          <w:i/>
          <w:sz w:val="24"/>
          <w:szCs w:val="24"/>
        </w:rPr>
        <w:t xml:space="preserve">consapevolezza e la volontà </w:t>
      </w:r>
      <w:r w:rsidR="00D11866" w:rsidRPr="00174170">
        <w:rPr>
          <w:i/>
          <w:sz w:val="24"/>
          <w:szCs w:val="24"/>
        </w:rPr>
        <w:lastRenderedPageBreak/>
        <w:t>di interagire, sinergicamente, con le condotte altrui nella produzione dell’evento lesivo</w:t>
      </w:r>
      <w:r w:rsidR="00AE56BB">
        <w:rPr>
          <w:sz w:val="24"/>
          <w:szCs w:val="24"/>
        </w:rPr>
        <w:t>»</w:t>
      </w:r>
      <w:r w:rsidR="00F033D7" w:rsidRPr="00735768">
        <w:rPr>
          <w:rStyle w:val="Rimandonotaapidipagina"/>
          <w:sz w:val="22"/>
          <w:szCs w:val="22"/>
        </w:rPr>
        <w:footnoteReference w:id="45"/>
      </w:r>
      <w:r w:rsidR="00B75B5E">
        <w:rPr>
          <w:sz w:val="22"/>
          <w:szCs w:val="22"/>
        </w:rPr>
        <w:t>.</w:t>
      </w:r>
    </w:p>
    <w:p w14:paraId="5CC1E607" w14:textId="330E6255" w:rsidR="001D40BF" w:rsidRDefault="00174170" w:rsidP="00174170">
      <w:pPr>
        <w:contextualSpacing/>
        <w:jc w:val="both"/>
        <w:rPr>
          <w:sz w:val="24"/>
          <w:szCs w:val="24"/>
        </w:rPr>
      </w:pPr>
      <w:r>
        <w:rPr>
          <w:sz w:val="24"/>
          <w:szCs w:val="24"/>
        </w:rPr>
        <w:t xml:space="preserve">Sul piano dell’accertamento, infine, le Sezioni Unite </w:t>
      </w:r>
      <w:r w:rsidR="0043165B">
        <w:rPr>
          <w:sz w:val="24"/>
          <w:szCs w:val="24"/>
        </w:rPr>
        <w:t>hanno posto l’attenzione</w:t>
      </w:r>
      <w:r>
        <w:rPr>
          <w:sz w:val="24"/>
          <w:szCs w:val="24"/>
        </w:rPr>
        <w:t xml:space="preserve"> sulla efficacia selettiva dispiegata dal principio di causalità. </w:t>
      </w:r>
      <w:r w:rsidR="001D40BF">
        <w:rPr>
          <w:sz w:val="24"/>
          <w:szCs w:val="24"/>
        </w:rPr>
        <w:t xml:space="preserve"> </w:t>
      </w:r>
    </w:p>
    <w:p w14:paraId="7C46C04A" w14:textId="03020D60" w:rsidR="001D40BF" w:rsidRDefault="001D40BF" w:rsidP="00174170">
      <w:pPr>
        <w:contextualSpacing/>
        <w:jc w:val="both"/>
        <w:rPr>
          <w:sz w:val="24"/>
          <w:szCs w:val="24"/>
        </w:rPr>
      </w:pPr>
      <w:r>
        <w:rPr>
          <w:sz w:val="24"/>
          <w:szCs w:val="24"/>
        </w:rPr>
        <w:t>In tal senso l</w:t>
      </w:r>
      <w:r w:rsidR="00735768">
        <w:rPr>
          <w:sz w:val="24"/>
          <w:szCs w:val="24"/>
        </w:rPr>
        <w:t xml:space="preserve">a Suprema Corte </w:t>
      </w:r>
      <w:r>
        <w:rPr>
          <w:sz w:val="24"/>
          <w:szCs w:val="24"/>
        </w:rPr>
        <w:t xml:space="preserve">esorta al corretto utilizzo dei principi e delle categorie che innervano il sistema, ammonendo su un utilizzo disinvolto della lettura soggettiva del concorso eventuale materiale. </w:t>
      </w:r>
    </w:p>
    <w:p w14:paraId="50406202" w14:textId="4705FAE9" w:rsidR="001D40BF" w:rsidRDefault="001D40BF" w:rsidP="00174170">
      <w:pPr>
        <w:contextualSpacing/>
        <w:jc w:val="both"/>
        <w:rPr>
          <w:sz w:val="24"/>
          <w:szCs w:val="24"/>
        </w:rPr>
      </w:pPr>
      <w:r>
        <w:rPr>
          <w:sz w:val="24"/>
          <w:szCs w:val="24"/>
        </w:rPr>
        <w:t>In questa prospettiva ermeneutica all’interprete sarebbe precluso l’accesso a pratiche d</w:t>
      </w:r>
      <w:r w:rsidR="002C379B">
        <w:rPr>
          <w:sz w:val="24"/>
          <w:szCs w:val="24"/>
        </w:rPr>
        <w:t>i surrettizia “conversione concettuale” della causalità materiale in causalità psichica da rafforzamento al fine di “</w:t>
      </w:r>
      <w:r w:rsidR="002C379B" w:rsidRPr="002C379B">
        <w:rPr>
          <w:sz w:val="24"/>
          <w:szCs w:val="24"/>
        </w:rPr>
        <w:t>dissimulare</w:t>
      </w:r>
      <w:r w:rsidR="002C379B">
        <w:rPr>
          <w:sz w:val="24"/>
          <w:szCs w:val="24"/>
        </w:rPr>
        <w:t>”</w:t>
      </w:r>
      <w:r w:rsidR="002C379B" w:rsidRPr="002C379B">
        <w:rPr>
          <w:sz w:val="24"/>
          <w:szCs w:val="24"/>
        </w:rPr>
        <w:t xml:space="preserve"> </w:t>
      </w:r>
      <w:r w:rsidR="002C379B">
        <w:rPr>
          <w:sz w:val="24"/>
          <w:szCs w:val="24"/>
        </w:rPr>
        <w:t>la carenza di elementi che comprovino</w:t>
      </w:r>
      <w:r w:rsidR="002C379B" w:rsidRPr="002C379B">
        <w:rPr>
          <w:sz w:val="24"/>
          <w:szCs w:val="24"/>
        </w:rPr>
        <w:t xml:space="preserve"> l’effettiva incidenza causale del contributo materiale</w:t>
      </w:r>
      <w:r w:rsidR="00B75B5E">
        <w:rPr>
          <w:rStyle w:val="Rimandonotaapidipagina"/>
          <w:sz w:val="24"/>
          <w:szCs w:val="24"/>
        </w:rPr>
        <w:footnoteReference w:id="46"/>
      </w:r>
      <w:r w:rsidR="002C379B">
        <w:rPr>
          <w:sz w:val="24"/>
          <w:szCs w:val="24"/>
        </w:rPr>
        <w:t>.</w:t>
      </w:r>
      <w:r w:rsidR="002C379B" w:rsidRPr="002C379B">
        <w:rPr>
          <w:sz w:val="24"/>
          <w:szCs w:val="24"/>
        </w:rPr>
        <w:t xml:space="preserve"> </w:t>
      </w:r>
    </w:p>
    <w:p w14:paraId="25A97F2C" w14:textId="5EAD53F8" w:rsidR="003448ED" w:rsidRPr="00E47830" w:rsidRDefault="00B75B5E" w:rsidP="00C24B0B">
      <w:pPr>
        <w:contextualSpacing/>
        <w:jc w:val="both"/>
        <w:rPr>
          <w:sz w:val="24"/>
          <w:szCs w:val="24"/>
        </w:rPr>
      </w:pPr>
      <w:r>
        <w:rPr>
          <w:sz w:val="24"/>
          <w:szCs w:val="24"/>
        </w:rPr>
        <w:t>Sulla medesima linea evolutiva si frappone la sentenza intervenuta sul</w:t>
      </w:r>
      <w:r w:rsidR="00C91D94">
        <w:rPr>
          <w:sz w:val="24"/>
          <w:szCs w:val="24"/>
        </w:rPr>
        <w:t xml:space="preserve"> caso</w:t>
      </w:r>
      <w:r w:rsidR="003D4B91">
        <w:rPr>
          <w:sz w:val="24"/>
          <w:szCs w:val="24"/>
        </w:rPr>
        <w:t xml:space="preserve"> D</w:t>
      </w:r>
      <w:r w:rsidR="00F82F43" w:rsidRPr="00E47830">
        <w:rPr>
          <w:sz w:val="24"/>
          <w:szCs w:val="24"/>
        </w:rPr>
        <w:t>ell’Utri</w:t>
      </w:r>
      <w:r w:rsidRPr="0043165B">
        <w:rPr>
          <w:rStyle w:val="Rimandonotaapidipagina"/>
          <w:sz w:val="22"/>
          <w:szCs w:val="22"/>
        </w:rPr>
        <w:footnoteReference w:id="47"/>
      </w:r>
      <w:r>
        <w:rPr>
          <w:sz w:val="24"/>
          <w:szCs w:val="24"/>
        </w:rPr>
        <w:t xml:space="preserve"> con la quale la Corte di Cassazione rinnova la sua adesione a quello che costituisce</w:t>
      </w:r>
      <w:r w:rsidR="00C91D94">
        <w:rPr>
          <w:sz w:val="24"/>
          <w:szCs w:val="24"/>
        </w:rPr>
        <w:t xml:space="preserve"> l’</w:t>
      </w:r>
      <w:r w:rsidR="00F82F43" w:rsidRPr="00E47830">
        <w:rPr>
          <w:sz w:val="24"/>
          <w:szCs w:val="24"/>
        </w:rPr>
        <w:t xml:space="preserve">approdo </w:t>
      </w:r>
      <w:r>
        <w:rPr>
          <w:sz w:val="24"/>
          <w:szCs w:val="24"/>
        </w:rPr>
        <w:t>ermeneutico più significativo</w:t>
      </w:r>
      <w:r w:rsidR="00C91D94">
        <w:rPr>
          <w:sz w:val="24"/>
          <w:szCs w:val="24"/>
        </w:rPr>
        <w:t xml:space="preserve"> </w:t>
      </w:r>
      <w:r w:rsidR="00F82F43" w:rsidRPr="00E47830">
        <w:rPr>
          <w:sz w:val="24"/>
          <w:szCs w:val="24"/>
        </w:rPr>
        <w:t>dell’intero percorso giurisprudenziale.</w:t>
      </w:r>
    </w:p>
    <w:p w14:paraId="0BEFEECF" w14:textId="0727D255" w:rsidR="00A56FBB" w:rsidRDefault="0043165B" w:rsidP="00C91D94">
      <w:pPr>
        <w:contextualSpacing/>
        <w:jc w:val="both"/>
        <w:rPr>
          <w:sz w:val="24"/>
          <w:szCs w:val="24"/>
        </w:rPr>
      </w:pPr>
      <w:r>
        <w:rPr>
          <w:sz w:val="24"/>
          <w:szCs w:val="24"/>
        </w:rPr>
        <w:t>D</w:t>
      </w:r>
      <w:r w:rsidR="00B75B5E">
        <w:rPr>
          <w:sz w:val="24"/>
          <w:szCs w:val="24"/>
        </w:rPr>
        <w:t xml:space="preserve">opo aver </w:t>
      </w:r>
      <w:r>
        <w:rPr>
          <w:sz w:val="24"/>
          <w:szCs w:val="24"/>
        </w:rPr>
        <w:t>ribadito il principio della generale</w:t>
      </w:r>
      <w:r w:rsidR="00B75B5E">
        <w:rPr>
          <w:sz w:val="24"/>
          <w:szCs w:val="24"/>
        </w:rPr>
        <w:t xml:space="preserve"> ammissibilità dell’istituto del concorso </w:t>
      </w:r>
      <w:r w:rsidR="00A56FBB">
        <w:rPr>
          <w:sz w:val="24"/>
          <w:szCs w:val="24"/>
        </w:rPr>
        <w:t xml:space="preserve">eventuale nel reato associativo, </w:t>
      </w:r>
      <w:r>
        <w:rPr>
          <w:sz w:val="24"/>
          <w:szCs w:val="24"/>
        </w:rPr>
        <w:t xml:space="preserve">il Supremo Consesso </w:t>
      </w:r>
      <w:r w:rsidR="00A56FBB">
        <w:rPr>
          <w:sz w:val="24"/>
          <w:szCs w:val="24"/>
        </w:rPr>
        <w:t xml:space="preserve">ha </w:t>
      </w:r>
      <w:r>
        <w:rPr>
          <w:sz w:val="24"/>
          <w:szCs w:val="24"/>
        </w:rPr>
        <w:t>ricalcato le linee ermeneutiche che danno forma agli elementi caratteristici</w:t>
      </w:r>
      <w:r w:rsidR="00A56FBB">
        <w:rPr>
          <w:sz w:val="24"/>
          <w:szCs w:val="24"/>
        </w:rPr>
        <w:t xml:space="preserve"> del </w:t>
      </w:r>
      <w:r>
        <w:rPr>
          <w:sz w:val="24"/>
          <w:szCs w:val="24"/>
        </w:rPr>
        <w:t>concorso esterno in associazione di stampo mafioso</w:t>
      </w:r>
      <w:r w:rsidR="00A56FBB">
        <w:rPr>
          <w:sz w:val="24"/>
          <w:szCs w:val="24"/>
        </w:rPr>
        <w:t>.</w:t>
      </w:r>
    </w:p>
    <w:p w14:paraId="1B01310E" w14:textId="1A193C36" w:rsidR="0043165B" w:rsidRDefault="0043165B" w:rsidP="00C91D94">
      <w:pPr>
        <w:contextualSpacing/>
        <w:jc w:val="both"/>
        <w:rPr>
          <w:sz w:val="24"/>
          <w:szCs w:val="24"/>
        </w:rPr>
      </w:pPr>
      <w:r>
        <w:rPr>
          <w:sz w:val="24"/>
          <w:szCs w:val="24"/>
        </w:rPr>
        <w:t>Per un verso</w:t>
      </w:r>
      <w:r w:rsidR="00A56FBB">
        <w:rPr>
          <w:sz w:val="24"/>
          <w:szCs w:val="24"/>
        </w:rPr>
        <w:t xml:space="preserve">, la Cassazione ha rinnovato la qualificazione del </w:t>
      </w:r>
      <w:r>
        <w:rPr>
          <w:sz w:val="24"/>
          <w:szCs w:val="24"/>
        </w:rPr>
        <w:t>fenomeno delittuoso</w:t>
      </w:r>
      <w:r w:rsidR="00A56FBB">
        <w:rPr>
          <w:sz w:val="24"/>
          <w:szCs w:val="24"/>
        </w:rPr>
        <w:t xml:space="preserve"> come </w:t>
      </w:r>
      <w:r w:rsidR="00C91D94" w:rsidRPr="00C91D94">
        <w:rPr>
          <w:sz w:val="24"/>
          <w:szCs w:val="24"/>
        </w:rPr>
        <w:t>reato</w:t>
      </w:r>
      <w:r w:rsidR="00AE56BB">
        <w:rPr>
          <w:sz w:val="24"/>
          <w:szCs w:val="24"/>
        </w:rPr>
        <w:t>, «</w:t>
      </w:r>
      <w:r w:rsidR="00747FFB" w:rsidRPr="00747FFB">
        <w:rPr>
          <w:i/>
          <w:sz w:val="24"/>
          <w:szCs w:val="24"/>
        </w:rPr>
        <w:t>di regola</w:t>
      </w:r>
      <w:r w:rsidR="00AE56BB">
        <w:rPr>
          <w:sz w:val="24"/>
          <w:szCs w:val="24"/>
        </w:rPr>
        <w:t>»</w:t>
      </w:r>
      <w:r w:rsidR="00747FFB">
        <w:rPr>
          <w:sz w:val="24"/>
          <w:szCs w:val="24"/>
        </w:rPr>
        <w:t>,</w:t>
      </w:r>
      <w:r w:rsidR="00C91D94" w:rsidRPr="00C91D94">
        <w:rPr>
          <w:sz w:val="24"/>
          <w:szCs w:val="24"/>
        </w:rPr>
        <w:t xml:space="preserve"> permanente</w:t>
      </w:r>
      <w:r w:rsidR="00747FFB" w:rsidRPr="00A45FE2">
        <w:rPr>
          <w:rStyle w:val="Rimandonotaapidipagina"/>
          <w:sz w:val="22"/>
          <w:szCs w:val="22"/>
        </w:rPr>
        <w:footnoteReference w:id="48"/>
      </w:r>
      <w:r>
        <w:rPr>
          <w:sz w:val="24"/>
          <w:szCs w:val="24"/>
        </w:rPr>
        <w:t>.</w:t>
      </w:r>
    </w:p>
    <w:p w14:paraId="795EADAF" w14:textId="3E2BDC61" w:rsidR="00C91D94" w:rsidRPr="00C91D94" w:rsidRDefault="0043165B" w:rsidP="00C91D94">
      <w:pPr>
        <w:contextualSpacing/>
        <w:jc w:val="both"/>
        <w:rPr>
          <w:sz w:val="24"/>
          <w:szCs w:val="24"/>
        </w:rPr>
      </w:pPr>
      <w:r>
        <w:rPr>
          <w:sz w:val="24"/>
          <w:szCs w:val="24"/>
        </w:rPr>
        <w:t>Per altro verso,</w:t>
      </w:r>
      <w:r w:rsidR="00A56FBB">
        <w:rPr>
          <w:sz w:val="24"/>
          <w:szCs w:val="24"/>
        </w:rPr>
        <w:t xml:space="preserve"> </w:t>
      </w:r>
      <w:r>
        <w:rPr>
          <w:sz w:val="24"/>
          <w:szCs w:val="24"/>
        </w:rPr>
        <w:t>la Suprema Corte ha</w:t>
      </w:r>
      <w:r w:rsidR="00A56FBB">
        <w:rPr>
          <w:sz w:val="24"/>
          <w:szCs w:val="24"/>
        </w:rPr>
        <w:t xml:space="preserve"> qualificato l’</w:t>
      </w:r>
      <w:r w:rsidR="00C91D94" w:rsidRPr="00C91D94">
        <w:rPr>
          <w:sz w:val="24"/>
          <w:szCs w:val="24"/>
        </w:rPr>
        <w:t xml:space="preserve">elemento </w:t>
      </w:r>
      <w:r>
        <w:rPr>
          <w:sz w:val="24"/>
          <w:szCs w:val="24"/>
        </w:rPr>
        <w:t>soggettivo</w:t>
      </w:r>
      <w:r w:rsidR="00C91D94" w:rsidRPr="00C91D94">
        <w:rPr>
          <w:sz w:val="24"/>
          <w:szCs w:val="24"/>
        </w:rPr>
        <w:t xml:space="preserve"> </w:t>
      </w:r>
      <w:r>
        <w:rPr>
          <w:sz w:val="24"/>
          <w:szCs w:val="24"/>
        </w:rPr>
        <w:t xml:space="preserve">della fattispecie </w:t>
      </w:r>
      <w:r w:rsidR="00A56FBB">
        <w:rPr>
          <w:sz w:val="24"/>
          <w:szCs w:val="24"/>
        </w:rPr>
        <w:t xml:space="preserve">come </w:t>
      </w:r>
      <w:r w:rsidR="00C91D94" w:rsidRPr="00C91D94">
        <w:rPr>
          <w:sz w:val="24"/>
          <w:szCs w:val="24"/>
        </w:rPr>
        <w:t>dolo diretto</w:t>
      </w:r>
      <w:r>
        <w:rPr>
          <w:sz w:val="24"/>
          <w:szCs w:val="24"/>
        </w:rPr>
        <w:t>.</w:t>
      </w:r>
      <w:r w:rsidR="00C91D94" w:rsidRPr="00C91D94">
        <w:rPr>
          <w:sz w:val="24"/>
          <w:szCs w:val="24"/>
        </w:rPr>
        <w:t xml:space="preserve">  </w:t>
      </w:r>
    </w:p>
    <w:p w14:paraId="1F4416DB" w14:textId="7C334A9E" w:rsidR="00C91D94" w:rsidRPr="00C91D94" w:rsidRDefault="009F03B5" w:rsidP="00C91D94">
      <w:pPr>
        <w:contextualSpacing/>
        <w:jc w:val="both"/>
        <w:rPr>
          <w:sz w:val="24"/>
          <w:szCs w:val="24"/>
        </w:rPr>
      </w:pPr>
      <w:r>
        <w:rPr>
          <w:sz w:val="24"/>
          <w:szCs w:val="24"/>
        </w:rPr>
        <w:t xml:space="preserve">In termini più generali, quindi, </w:t>
      </w:r>
      <w:r w:rsidR="00C91D94" w:rsidRPr="00C91D94">
        <w:rPr>
          <w:sz w:val="24"/>
          <w:szCs w:val="24"/>
        </w:rPr>
        <w:t>sul piano oggettivo, il fenom</w:t>
      </w:r>
      <w:r w:rsidR="00C91D94">
        <w:rPr>
          <w:sz w:val="24"/>
          <w:szCs w:val="24"/>
        </w:rPr>
        <w:t xml:space="preserve">eno concorsuale </w:t>
      </w:r>
      <w:r w:rsidR="00CA6B40">
        <w:rPr>
          <w:sz w:val="24"/>
          <w:szCs w:val="24"/>
        </w:rPr>
        <w:t xml:space="preserve">può assurgere a </w:t>
      </w:r>
      <w:r w:rsidR="00C91D94" w:rsidRPr="00C91D94">
        <w:rPr>
          <w:sz w:val="24"/>
          <w:szCs w:val="24"/>
        </w:rPr>
        <w:t xml:space="preserve">fattispecie di durata che persiste finché perdura tutta la volontaria protrazione della condotta </w:t>
      </w:r>
      <w:r w:rsidR="00CA6B40">
        <w:rPr>
          <w:sz w:val="24"/>
          <w:szCs w:val="24"/>
        </w:rPr>
        <w:t>atipica</w:t>
      </w:r>
      <w:r w:rsidR="00C91D94" w:rsidRPr="00C91D94">
        <w:rPr>
          <w:sz w:val="24"/>
          <w:szCs w:val="24"/>
        </w:rPr>
        <w:t xml:space="preserve">. </w:t>
      </w:r>
    </w:p>
    <w:p w14:paraId="1C6D0A50" w14:textId="77777777" w:rsidR="009F03B5" w:rsidRDefault="00C91D94" w:rsidP="00C91D94">
      <w:pPr>
        <w:contextualSpacing/>
        <w:jc w:val="both"/>
        <w:rPr>
          <w:sz w:val="24"/>
          <w:szCs w:val="24"/>
        </w:rPr>
      </w:pPr>
      <w:r w:rsidRPr="00C91D94">
        <w:rPr>
          <w:sz w:val="24"/>
          <w:szCs w:val="24"/>
        </w:rPr>
        <w:t xml:space="preserve">Sul piano soggettivo, </w:t>
      </w:r>
      <w:r w:rsidR="009F03B5">
        <w:rPr>
          <w:sz w:val="24"/>
          <w:szCs w:val="24"/>
        </w:rPr>
        <w:t xml:space="preserve">invece, come più volte precisato dai precedenti giurisprudenziali conformi, </w:t>
      </w:r>
      <w:r w:rsidRPr="00C91D94">
        <w:rPr>
          <w:sz w:val="24"/>
          <w:szCs w:val="24"/>
        </w:rPr>
        <w:t xml:space="preserve">il concorrente esterno </w:t>
      </w:r>
      <w:r>
        <w:rPr>
          <w:sz w:val="24"/>
          <w:szCs w:val="24"/>
        </w:rPr>
        <w:t>sarebbe</w:t>
      </w:r>
      <w:r w:rsidRPr="00C91D94">
        <w:rPr>
          <w:sz w:val="24"/>
          <w:szCs w:val="24"/>
        </w:rPr>
        <w:t xml:space="preserve"> animato dal dolo diretto</w:t>
      </w:r>
      <w:r w:rsidR="009F03B5">
        <w:rPr>
          <w:sz w:val="24"/>
          <w:szCs w:val="24"/>
        </w:rPr>
        <w:t>.</w:t>
      </w:r>
    </w:p>
    <w:p w14:paraId="122D8D4D" w14:textId="58361035" w:rsidR="00C91D94" w:rsidRPr="00C91D94" w:rsidRDefault="00930FEF" w:rsidP="00930FEF">
      <w:pPr>
        <w:contextualSpacing/>
        <w:jc w:val="both"/>
        <w:rPr>
          <w:iCs/>
          <w:sz w:val="24"/>
          <w:szCs w:val="24"/>
        </w:rPr>
      </w:pPr>
      <w:r w:rsidRPr="00930FEF">
        <w:rPr>
          <w:sz w:val="24"/>
          <w:szCs w:val="24"/>
        </w:rPr>
        <w:lastRenderedPageBreak/>
        <w:t>Una simile connotazione del coefficiente psicologico sarebbe</w:t>
      </w:r>
      <w:r>
        <w:rPr>
          <w:sz w:val="24"/>
          <w:szCs w:val="24"/>
        </w:rPr>
        <w:t xml:space="preserve"> comprovata dalla</w:t>
      </w:r>
      <w:r w:rsidRPr="00930FEF">
        <w:rPr>
          <w:sz w:val="24"/>
          <w:szCs w:val="24"/>
        </w:rPr>
        <w:t xml:space="preserve"> iniziale “comunione di intenti” </w:t>
      </w:r>
      <w:r>
        <w:rPr>
          <w:sz w:val="24"/>
          <w:szCs w:val="24"/>
        </w:rPr>
        <w:t>che riflette la coscienza e la volontà di</w:t>
      </w:r>
      <w:r w:rsidR="00C91D94" w:rsidRPr="00C91D94">
        <w:rPr>
          <w:iCs/>
          <w:sz w:val="24"/>
          <w:szCs w:val="24"/>
        </w:rPr>
        <w:t xml:space="preserve"> dare un effettivo apporto al conseguimento degli scopi dell'associazione.</w:t>
      </w:r>
    </w:p>
    <w:p w14:paraId="528A6B79" w14:textId="0EB4EEBA" w:rsidR="00382222" w:rsidRDefault="003D4B91" w:rsidP="0097113F">
      <w:pPr>
        <w:contextualSpacing/>
        <w:jc w:val="both"/>
        <w:rPr>
          <w:sz w:val="24"/>
          <w:szCs w:val="24"/>
        </w:rPr>
      </w:pPr>
      <w:r>
        <w:rPr>
          <w:sz w:val="24"/>
          <w:szCs w:val="24"/>
        </w:rPr>
        <w:t>Giova comunque rammentare come a tale pronunciamento sia,</w:t>
      </w:r>
      <w:r w:rsidRPr="003D4B91">
        <w:rPr>
          <w:sz w:val="24"/>
          <w:szCs w:val="24"/>
        </w:rPr>
        <w:t xml:space="preserve"> poi</w:t>
      </w:r>
      <w:r>
        <w:rPr>
          <w:sz w:val="24"/>
          <w:szCs w:val="24"/>
        </w:rPr>
        <w:t>,</w:t>
      </w:r>
      <w:r w:rsidRPr="003D4B91">
        <w:rPr>
          <w:sz w:val="24"/>
          <w:szCs w:val="24"/>
        </w:rPr>
        <w:t xml:space="preserve"> seguita la </w:t>
      </w:r>
      <w:r w:rsidR="00771936">
        <w:rPr>
          <w:sz w:val="24"/>
          <w:szCs w:val="24"/>
        </w:rPr>
        <w:t>«</w:t>
      </w:r>
      <w:r w:rsidRPr="005861F1">
        <w:rPr>
          <w:i/>
          <w:sz w:val="24"/>
          <w:szCs w:val="24"/>
        </w:rPr>
        <w:t>sentenza Dell’Utri-bis</w:t>
      </w:r>
      <w:r w:rsidR="00771936">
        <w:rPr>
          <w:sz w:val="24"/>
          <w:szCs w:val="24"/>
        </w:rPr>
        <w:t>»</w:t>
      </w:r>
      <w:r w:rsidR="00FC3433" w:rsidRPr="00A45FE2">
        <w:rPr>
          <w:rStyle w:val="Rimandonotaapidipagina"/>
          <w:sz w:val="22"/>
          <w:szCs w:val="22"/>
        </w:rPr>
        <w:footnoteReference w:id="49"/>
      </w:r>
      <w:r w:rsidR="00382222">
        <w:rPr>
          <w:sz w:val="24"/>
          <w:szCs w:val="24"/>
        </w:rPr>
        <w:t>.</w:t>
      </w:r>
      <w:r w:rsidR="00C91D94">
        <w:rPr>
          <w:sz w:val="24"/>
          <w:szCs w:val="24"/>
        </w:rPr>
        <w:t xml:space="preserve"> </w:t>
      </w:r>
    </w:p>
    <w:p w14:paraId="796C02AF" w14:textId="1BC0E9D1" w:rsidR="00E47830" w:rsidRDefault="00382222" w:rsidP="0097113F">
      <w:pPr>
        <w:contextualSpacing/>
        <w:jc w:val="both"/>
        <w:rPr>
          <w:sz w:val="24"/>
          <w:szCs w:val="24"/>
        </w:rPr>
      </w:pPr>
      <w:r>
        <w:rPr>
          <w:sz w:val="24"/>
          <w:szCs w:val="24"/>
        </w:rPr>
        <w:t>Con la pronuncia in oggetto</w:t>
      </w:r>
      <w:r w:rsidR="003D4B91">
        <w:rPr>
          <w:sz w:val="24"/>
          <w:szCs w:val="24"/>
        </w:rPr>
        <w:t xml:space="preserve"> la Suprema Corte</w:t>
      </w:r>
      <w:r w:rsidR="00C91D94">
        <w:rPr>
          <w:sz w:val="24"/>
          <w:szCs w:val="24"/>
        </w:rPr>
        <w:t xml:space="preserve">, </w:t>
      </w:r>
      <w:r w:rsidR="0097113F">
        <w:rPr>
          <w:sz w:val="24"/>
          <w:szCs w:val="24"/>
        </w:rPr>
        <w:t xml:space="preserve">sempre </w:t>
      </w:r>
      <w:r w:rsidR="00C91D94">
        <w:rPr>
          <w:sz w:val="24"/>
          <w:szCs w:val="24"/>
        </w:rPr>
        <w:t>a Sezioni Semplici</w:t>
      </w:r>
      <w:r w:rsidR="0097113F">
        <w:rPr>
          <w:sz w:val="24"/>
          <w:szCs w:val="24"/>
        </w:rPr>
        <w:t xml:space="preserve"> (</w:t>
      </w:r>
      <w:r w:rsidR="005D425E">
        <w:rPr>
          <w:sz w:val="24"/>
          <w:szCs w:val="24"/>
        </w:rPr>
        <w:t>Sez.</w:t>
      </w:r>
      <w:r w:rsidR="0097113F">
        <w:rPr>
          <w:sz w:val="24"/>
          <w:szCs w:val="24"/>
        </w:rPr>
        <w:t xml:space="preserve"> I)</w:t>
      </w:r>
      <w:r w:rsidR="00C91D94">
        <w:rPr>
          <w:sz w:val="24"/>
          <w:szCs w:val="24"/>
        </w:rPr>
        <w:t>,</w:t>
      </w:r>
      <w:r w:rsidR="003D4B91">
        <w:rPr>
          <w:sz w:val="24"/>
          <w:szCs w:val="24"/>
        </w:rPr>
        <w:t xml:space="preserve"> ha </w:t>
      </w:r>
      <w:r w:rsidR="00C91D94">
        <w:rPr>
          <w:sz w:val="24"/>
          <w:szCs w:val="24"/>
        </w:rPr>
        <w:t xml:space="preserve">posto </w:t>
      </w:r>
      <w:r w:rsidR="0097113F">
        <w:rPr>
          <w:sz w:val="24"/>
          <w:szCs w:val="24"/>
        </w:rPr>
        <w:t xml:space="preserve">la parola fine </w:t>
      </w:r>
      <w:r w:rsidR="00C91D94">
        <w:rPr>
          <w:sz w:val="24"/>
          <w:szCs w:val="24"/>
        </w:rPr>
        <w:t xml:space="preserve">questione di fatto </w:t>
      </w:r>
      <w:r w:rsidR="0097113F">
        <w:rPr>
          <w:sz w:val="24"/>
          <w:szCs w:val="24"/>
        </w:rPr>
        <w:t xml:space="preserve">prospettata, </w:t>
      </w:r>
      <w:r w:rsidR="00C91D94">
        <w:rPr>
          <w:sz w:val="24"/>
          <w:szCs w:val="24"/>
        </w:rPr>
        <w:t xml:space="preserve">aderendo, </w:t>
      </w:r>
      <w:r w:rsidR="003D4B91" w:rsidRPr="003D4B91">
        <w:rPr>
          <w:sz w:val="24"/>
          <w:szCs w:val="24"/>
        </w:rPr>
        <w:t xml:space="preserve">senza significativi scostamenti </w:t>
      </w:r>
      <w:r w:rsidR="003D4B91">
        <w:rPr>
          <w:sz w:val="24"/>
          <w:szCs w:val="24"/>
        </w:rPr>
        <w:t>dogmatici e argomentativi</w:t>
      </w:r>
      <w:r w:rsidR="00C91D94">
        <w:rPr>
          <w:sz w:val="24"/>
          <w:szCs w:val="24"/>
        </w:rPr>
        <w:t>,</w:t>
      </w:r>
      <w:r w:rsidR="003D4B91">
        <w:rPr>
          <w:sz w:val="24"/>
          <w:szCs w:val="24"/>
        </w:rPr>
        <w:t xml:space="preserve"> </w:t>
      </w:r>
      <w:r w:rsidR="003D4B91" w:rsidRPr="003D4B91">
        <w:rPr>
          <w:sz w:val="24"/>
          <w:szCs w:val="24"/>
        </w:rPr>
        <w:t>alle defin</w:t>
      </w:r>
      <w:r w:rsidR="00A36CB6">
        <w:rPr>
          <w:sz w:val="24"/>
          <w:szCs w:val="24"/>
        </w:rPr>
        <w:t>izioni ormai ampiamente consolid</w:t>
      </w:r>
      <w:r w:rsidR="003D4B91" w:rsidRPr="003D4B91">
        <w:rPr>
          <w:sz w:val="24"/>
          <w:szCs w:val="24"/>
        </w:rPr>
        <w:t>atesi in sede di legittimità</w:t>
      </w:r>
      <w:r w:rsidR="003D4B91">
        <w:rPr>
          <w:sz w:val="24"/>
          <w:szCs w:val="24"/>
        </w:rPr>
        <w:t>.</w:t>
      </w:r>
    </w:p>
    <w:p w14:paraId="7E239A10" w14:textId="77777777" w:rsidR="00FC3433" w:rsidRDefault="009F03B5" w:rsidP="0097113F">
      <w:pPr>
        <w:contextualSpacing/>
        <w:jc w:val="both"/>
        <w:rPr>
          <w:sz w:val="24"/>
          <w:szCs w:val="24"/>
        </w:rPr>
      </w:pPr>
      <w:r>
        <w:rPr>
          <w:sz w:val="24"/>
          <w:szCs w:val="24"/>
        </w:rPr>
        <w:t xml:space="preserve">Tuttavia, una precisazione </w:t>
      </w:r>
      <w:r w:rsidR="00FC3433">
        <w:rPr>
          <w:sz w:val="24"/>
          <w:szCs w:val="24"/>
        </w:rPr>
        <w:t xml:space="preserve">appare quantomeno opportuna. </w:t>
      </w:r>
    </w:p>
    <w:p w14:paraId="298BBAAE" w14:textId="71E81A15" w:rsidR="009F03B5" w:rsidRDefault="00FC3433" w:rsidP="0097113F">
      <w:pPr>
        <w:contextualSpacing/>
        <w:jc w:val="both"/>
        <w:rPr>
          <w:sz w:val="24"/>
          <w:szCs w:val="24"/>
        </w:rPr>
      </w:pPr>
      <w:r>
        <w:rPr>
          <w:sz w:val="24"/>
          <w:szCs w:val="24"/>
        </w:rPr>
        <w:t>Addentrandosi nella disamina dei parametri che dovrebbero innervare l’elemento soggettivo della fattispecie di conc</w:t>
      </w:r>
      <w:r w:rsidR="00E40FE1">
        <w:rPr>
          <w:sz w:val="24"/>
          <w:szCs w:val="24"/>
        </w:rPr>
        <w:t xml:space="preserve">orso eventuale la </w:t>
      </w:r>
      <w:r w:rsidR="00382222">
        <w:rPr>
          <w:sz w:val="24"/>
          <w:szCs w:val="24"/>
        </w:rPr>
        <w:t xml:space="preserve">Corte </w:t>
      </w:r>
      <w:r w:rsidR="00E40FE1">
        <w:rPr>
          <w:sz w:val="24"/>
          <w:szCs w:val="24"/>
        </w:rPr>
        <w:t xml:space="preserve">Cassazione </w:t>
      </w:r>
      <w:r w:rsidR="00930FEF">
        <w:rPr>
          <w:sz w:val="24"/>
          <w:szCs w:val="24"/>
        </w:rPr>
        <w:t xml:space="preserve">ha ribadito </w:t>
      </w:r>
      <w:r>
        <w:rPr>
          <w:sz w:val="24"/>
          <w:szCs w:val="24"/>
        </w:rPr>
        <w:t>l’im</w:t>
      </w:r>
      <w:r w:rsidR="00771936">
        <w:rPr>
          <w:sz w:val="24"/>
          <w:szCs w:val="24"/>
        </w:rPr>
        <w:t>postazione già affermata dalla «</w:t>
      </w:r>
      <w:r w:rsidRPr="00FC3433">
        <w:rPr>
          <w:i/>
          <w:sz w:val="24"/>
          <w:szCs w:val="24"/>
        </w:rPr>
        <w:t>sentenza Mannino</w:t>
      </w:r>
      <w:r w:rsidR="00771936">
        <w:rPr>
          <w:sz w:val="24"/>
          <w:szCs w:val="24"/>
        </w:rPr>
        <w:t>»</w:t>
      </w:r>
      <w:r w:rsidRPr="00A45FE2">
        <w:rPr>
          <w:rStyle w:val="Rimandonotaapidipagina"/>
          <w:sz w:val="22"/>
          <w:szCs w:val="22"/>
        </w:rPr>
        <w:footnoteReference w:id="50"/>
      </w:r>
      <w:r>
        <w:rPr>
          <w:sz w:val="24"/>
          <w:szCs w:val="24"/>
        </w:rPr>
        <w:t xml:space="preserve">. </w:t>
      </w:r>
    </w:p>
    <w:p w14:paraId="7ADA8F69" w14:textId="0120C0C2" w:rsidR="00C303B4" w:rsidRDefault="00C303B4" w:rsidP="0097113F">
      <w:pPr>
        <w:contextualSpacing/>
        <w:jc w:val="both"/>
        <w:rPr>
          <w:sz w:val="24"/>
          <w:szCs w:val="24"/>
        </w:rPr>
      </w:pPr>
      <w:r>
        <w:rPr>
          <w:sz w:val="24"/>
          <w:szCs w:val="24"/>
        </w:rPr>
        <w:t>Sennonché</w:t>
      </w:r>
      <w:r w:rsidR="00FC3433">
        <w:rPr>
          <w:sz w:val="24"/>
          <w:szCs w:val="24"/>
        </w:rPr>
        <w:t xml:space="preserve"> essa </w:t>
      </w:r>
      <w:r w:rsidR="00930FEF">
        <w:rPr>
          <w:sz w:val="24"/>
          <w:szCs w:val="24"/>
        </w:rPr>
        <w:t xml:space="preserve">ha </w:t>
      </w:r>
      <w:r>
        <w:rPr>
          <w:sz w:val="24"/>
          <w:szCs w:val="24"/>
        </w:rPr>
        <w:t>sfoggia</w:t>
      </w:r>
      <w:r w:rsidR="00930FEF">
        <w:rPr>
          <w:sz w:val="24"/>
          <w:szCs w:val="24"/>
        </w:rPr>
        <w:t>to</w:t>
      </w:r>
      <w:r>
        <w:rPr>
          <w:sz w:val="24"/>
          <w:szCs w:val="24"/>
        </w:rPr>
        <w:t xml:space="preserve"> una</w:t>
      </w:r>
      <w:r w:rsidR="00FC3433">
        <w:rPr>
          <w:sz w:val="24"/>
          <w:szCs w:val="24"/>
        </w:rPr>
        <w:t xml:space="preserve"> precisazione </w:t>
      </w:r>
      <w:r>
        <w:rPr>
          <w:sz w:val="24"/>
          <w:szCs w:val="24"/>
        </w:rPr>
        <w:t xml:space="preserve">già affermata in </w:t>
      </w:r>
      <w:r w:rsidR="00936495">
        <w:rPr>
          <w:sz w:val="24"/>
          <w:szCs w:val="24"/>
        </w:rPr>
        <w:t>sede giurisprudenziale (con la «</w:t>
      </w:r>
      <w:r w:rsidRPr="00C303B4">
        <w:rPr>
          <w:i/>
          <w:sz w:val="24"/>
          <w:szCs w:val="24"/>
        </w:rPr>
        <w:t>sentenza Mannino</w:t>
      </w:r>
      <w:r w:rsidR="00936495">
        <w:rPr>
          <w:sz w:val="24"/>
          <w:szCs w:val="24"/>
        </w:rPr>
        <w:t>»</w:t>
      </w:r>
      <w:r>
        <w:rPr>
          <w:sz w:val="24"/>
          <w:szCs w:val="24"/>
        </w:rPr>
        <w:t xml:space="preserve">, appunto) ma che si </w:t>
      </w:r>
      <w:r w:rsidR="00382222">
        <w:rPr>
          <w:sz w:val="24"/>
          <w:szCs w:val="24"/>
        </w:rPr>
        <w:t xml:space="preserve">è </w:t>
      </w:r>
      <w:r>
        <w:rPr>
          <w:sz w:val="24"/>
          <w:szCs w:val="24"/>
        </w:rPr>
        <w:t>rivela</w:t>
      </w:r>
      <w:r w:rsidR="00382222">
        <w:rPr>
          <w:sz w:val="24"/>
          <w:szCs w:val="24"/>
        </w:rPr>
        <w:t>ta particolarmente utile ai fini della risoluzione del</w:t>
      </w:r>
      <w:r>
        <w:rPr>
          <w:sz w:val="24"/>
          <w:szCs w:val="24"/>
        </w:rPr>
        <w:t xml:space="preserve"> caso concreto.</w:t>
      </w:r>
    </w:p>
    <w:p w14:paraId="25403DDA" w14:textId="1BCA37C1" w:rsidR="00C303B4" w:rsidRDefault="00C303B4" w:rsidP="0097113F">
      <w:pPr>
        <w:contextualSpacing/>
        <w:jc w:val="both"/>
        <w:rPr>
          <w:bCs/>
          <w:iCs/>
          <w:sz w:val="24"/>
          <w:szCs w:val="24"/>
        </w:rPr>
      </w:pPr>
      <w:r>
        <w:rPr>
          <w:sz w:val="24"/>
          <w:szCs w:val="24"/>
        </w:rPr>
        <w:t>A</w:t>
      </w:r>
      <w:r w:rsidR="00FC3433">
        <w:rPr>
          <w:sz w:val="24"/>
          <w:szCs w:val="24"/>
        </w:rPr>
        <w:t>ncorchè privo della volon</w:t>
      </w:r>
      <w:r w:rsidR="00FC3433" w:rsidRPr="00C303B4">
        <w:rPr>
          <w:sz w:val="24"/>
          <w:szCs w:val="24"/>
        </w:rPr>
        <w:t xml:space="preserve">tà di </w:t>
      </w:r>
      <w:r w:rsidR="00915C3D">
        <w:rPr>
          <w:sz w:val="24"/>
          <w:szCs w:val="24"/>
        </w:rPr>
        <w:t>far</w:t>
      </w:r>
      <w:r w:rsidR="00FC3433" w:rsidRPr="00C303B4">
        <w:rPr>
          <w:sz w:val="24"/>
          <w:szCs w:val="24"/>
        </w:rPr>
        <w:t xml:space="preserve"> parte </w:t>
      </w:r>
      <w:r w:rsidR="00915C3D">
        <w:rPr>
          <w:sz w:val="24"/>
          <w:szCs w:val="24"/>
        </w:rPr>
        <w:t>dell</w:t>
      </w:r>
      <w:r w:rsidR="00771936">
        <w:rPr>
          <w:sz w:val="24"/>
          <w:szCs w:val="24"/>
        </w:rPr>
        <w:t>’associazione («</w:t>
      </w:r>
      <w:r w:rsidR="00FC3433" w:rsidRPr="00915C3D">
        <w:rPr>
          <w:i/>
          <w:sz w:val="24"/>
          <w:szCs w:val="24"/>
        </w:rPr>
        <w:t>affectio societatis</w:t>
      </w:r>
      <w:r w:rsidR="00771936">
        <w:rPr>
          <w:sz w:val="24"/>
          <w:szCs w:val="24"/>
        </w:rPr>
        <w:t>»</w:t>
      </w:r>
      <w:r w:rsidR="00FC3433" w:rsidRPr="00C303B4">
        <w:rPr>
          <w:sz w:val="24"/>
          <w:szCs w:val="24"/>
        </w:rPr>
        <w:t>)</w:t>
      </w:r>
      <w:r w:rsidR="00FC3433" w:rsidRPr="00C303B4">
        <w:rPr>
          <w:iCs/>
          <w:sz w:val="24"/>
          <w:szCs w:val="24"/>
        </w:rPr>
        <w:t xml:space="preserve">, il concorrente esterno </w:t>
      </w:r>
      <w:r w:rsidR="00A56057">
        <w:rPr>
          <w:iCs/>
          <w:sz w:val="24"/>
          <w:szCs w:val="24"/>
        </w:rPr>
        <w:t xml:space="preserve">è tale soltanto se consapevole non solo </w:t>
      </w:r>
      <w:r w:rsidR="00771936">
        <w:rPr>
          <w:i/>
          <w:iCs/>
          <w:sz w:val="24"/>
          <w:szCs w:val="24"/>
        </w:rPr>
        <w:t>«</w:t>
      </w:r>
      <w:r w:rsidRPr="00C303B4">
        <w:rPr>
          <w:bCs/>
          <w:i/>
          <w:iCs/>
          <w:sz w:val="24"/>
          <w:szCs w:val="24"/>
        </w:rPr>
        <w:t>dell'efficacia causale della sua attività di sostegno, vantaggiosa per la conservazione o il rafforzamento dell'associazione</w:t>
      </w:r>
      <w:r w:rsidR="00771936">
        <w:rPr>
          <w:bCs/>
          <w:iCs/>
          <w:sz w:val="24"/>
          <w:szCs w:val="24"/>
        </w:rPr>
        <w:t>»</w:t>
      </w:r>
      <w:r>
        <w:rPr>
          <w:bCs/>
          <w:i/>
          <w:iCs/>
          <w:sz w:val="24"/>
          <w:szCs w:val="24"/>
        </w:rPr>
        <w:t xml:space="preserve"> </w:t>
      </w:r>
      <w:r w:rsidR="00A56057">
        <w:rPr>
          <w:bCs/>
          <w:iCs/>
          <w:sz w:val="24"/>
          <w:szCs w:val="24"/>
        </w:rPr>
        <w:t xml:space="preserve">ma anche </w:t>
      </w:r>
      <w:r w:rsidR="00771936">
        <w:rPr>
          <w:bCs/>
          <w:iCs/>
          <w:sz w:val="24"/>
          <w:szCs w:val="24"/>
        </w:rPr>
        <w:t>«</w:t>
      </w:r>
      <w:r w:rsidR="00FC3433" w:rsidRPr="00C303B4">
        <w:rPr>
          <w:bCs/>
          <w:i/>
          <w:iCs/>
          <w:sz w:val="24"/>
          <w:szCs w:val="24"/>
        </w:rPr>
        <w:t>dei metodi e dei fini della stessa</w:t>
      </w:r>
      <w:r w:rsidR="00771936">
        <w:rPr>
          <w:bCs/>
          <w:iCs/>
          <w:sz w:val="24"/>
          <w:szCs w:val="24"/>
        </w:rPr>
        <w:t>»</w:t>
      </w:r>
      <w:r w:rsidR="00A56057">
        <w:rPr>
          <w:bCs/>
          <w:iCs/>
          <w:sz w:val="24"/>
          <w:szCs w:val="24"/>
        </w:rPr>
        <w:t>.</w:t>
      </w:r>
    </w:p>
    <w:p w14:paraId="4122D1CE" w14:textId="1564B5AD" w:rsidR="00382222" w:rsidRDefault="00382222" w:rsidP="0097113F">
      <w:pPr>
        <w:contextualSpacing/>
        <w:jc w:val="both"/>
        <w:rPr>
          <w:bCs/>
          <w:iCs/>
          <w:sz w:val="24"/>
          <w:szCs w:val="24"/>
        </w:rPr>
      </w:pPr>
      <w:r>
        <w:rPr>
          <w:bCs/>
          <w:iCs/>
          <w:sz w:val="24"/>
          <w:szCs w:val="24"/>
        </w:rPr>
        <w:t>La statuizione giurisprudenziale</w:t>
      </w:r>
      <w:r w:rsidR="00915C3D">
        <w:rPr>
          <w:bCs/>
          <w:iCs/>
          <w:sz w:val="24"/>
          <w:szCs w:val="24"/>
        </w:rPr>
        <w:t>,</w:t>
      </w:r>
      <w:r>
        <w:rPr>
          <w:bCs/>
          <w:iCs/>
          <w:sz w:val="24"/>
          <w:szCs w:val="24"/>
        </w:rPr>
        <w:t xml:space="preserve"> colta nella sua assolutezza, sortirebbe un effetto chiarificatore, allineando il quid pluris</w:t>
      </w:r>
      <w:r w:rsidRPr="00915C3D">
        <w:rPr>
          <w:rStyle w:val="Rimandonotaapidipagina"/>
          <w:bCs/>
          <w:iCs/>
          <w:sz w:val="22"/>
          <w:szCs w:val="22"/>
        </w:rPr>
        <w:footnoteReference w:id="51"/>
      </w:r>
      <w:r>
        <w:rPr>
          <w:bCs/>
          <w:iCs/>
          <w:sz w:val="24"/>
          <w:szCs w:val="24"/>
        </w:rPr>
        <w:t xml:space="preserve"> soggettivo del concorso al fatto tipico. </w:t>
      </w:r>
    </w:p>
    <w:p w14:paraId="14CF6B0E" w14:textId="31B1EB61" w:rsidR="00FC3433" w:rsidRDefault="00C303B4" w:rsidP="0097113F">
      <w:pPr>
        <w:contextualSpacing/>
        <w:jc w:val="both"/>
        <w:rPr>
          <w:bCs/>
          <w:iCs/>
          <w:sz w:val="24"/>
          <w:szCs w:val="24"/>
        </w:rPr>
      </w:pPr>
      <w:r>
        <w:rPr>
          <w:bCs/>
          <w:iCs/>
          <w:sz w:val="24"/>
          <w:szCs w:val="24"/>
        </w:rPr>
        <w:t>integrazione di una simile consapevolezza, tutta</w:t>
      </w:r>
      <w:r w:rsidR="00771936">
        <w:rPr>
          <w:bCs/>
          <w:iCs/>
          <w:sz w:val="24"/>
          <w:szCs w:val="24"/>
        </w:rPr>
        <w:t>via, prescinde «</w:t>
      </w:r>
      <w:r w:rsidR="00FC3433" w:rsidRPr="00C303B4">
        <w:rPr>
          <w:bCs/>
          <w:i/>
          <w:iCs/>
          <w:sz w:val="24"/>
          <w:szCs w:val="24"/>
        </w:rPr>
        <w:t>dalla condivisione, avversione, disinteresse o indifferenza per siffatti metodi e fini, che lo muovono nel for</w:t>
      </w:r>
      <w:r>
        <w:rPr>
          <w:bCs/>
          <w:i/>
          <w:iCs/>
          <w:sz w:val="24"/>
          <w:szCs w:val="24"/>
        </w:rPr>
        <w:t>o interno</w:t>
      </w:r>
      <w:r w:rsidR="00771936">
        <w:rPr>
          <w:bCs/>
          <w:iCs/>
          <w:sz w:val="24"/>
          <w:szCs w:val="24"/>
        </w:rPr>
        <w:t>»</w:t>
      </w:r>
      <w:r w:rsidR="00A56057" w:rsidRPr="00A45FE2">
        <w:rPr>
          <w:rStyle w:val="Rimandonotaapidipagina"/>
          <w:bCs/>
          <w:i/>
          <w:iCs/>
          <w:sz w:val="22"/>
          <w:szCs w:val="22"/>
        </w:rPr>
        <w:footnoteReference w:id="52"/>
      </w:r>
      <w:r w:rsidR="00A56057">
        <w:rPr>
          <w:bCs/>
          <w:iCs/>
          <w:sz w:val="24"/>
          <w:szCs w:val="24"/>
        </w:rPr>
        <w:t>.</w:t>
      </w:r>
    </w:p>
    <w:p w14:paraId="6429CC62" w14:textId="7D78CB21" w:rsidR="00E40FE1" w:rsidRDefault="00E40FE1" w:rsidP="0097113F">
      <w:pPr>
        <w:contextualSpacing/>
        <w:jc w:val="both"/>
        <w:rPr>
          <w:bCs/>
          <w:iCs/>
          <w:sz w:val="24"/>
          <w:szCs w:val="24"/>
        </w:rPr>
      </w:pPr>
      <w:r>
        <w:rPr>
          <w:bCs/>
          <w:iCs/>
          <w:sz w:val="24"/>
          <w:szCs w:val="24"/>
        </w:rPr>
        <w:t>La formale adesione alla impostazione consacrata nella sentenza del 2005 resta esente da nuovi spunti di riflessione.</w:t>
      </w:r>
    </w:p>
    <w:p w14:paraId="26AE581E" w14:textId="6F2F88B2" w:rsidR="00A45FE2" w:rsidRDefault="00E40FE1" w:rsidP="0097113F">
      <w:pPr>
        <w:contextualSpacing/>
        <w:jc w:val="both"/>
        <w:rPr>
          <w:bCs/>
          <w:iCs/>
          <w:sz w:val="24"/>
          <w:szCs w:val="24"/>
        </w:rPr>
      </w:pPr>
      <w:r>
        <w:rPr>
          <w:bCs/>
          <w:iCs/>
          <w:sz w:val="24"/>
          <w:szCs w:val="24"/>
        </w:rPr>
        <w:t>In tale prospettiva si apprezza, per un verso, il riferimento al solo dato della “consapevolezza” e non della “volontà” e, per altro verso, l’allentamento del legame che connette il foro interno dell’estraneo (non necessariamente concorde con i metodi praticati) alla più superficiale adesione al fine ultimo perseguito</w:t>
      </w:r>
      <w:r w:rsidRPr="00A45FE2">
        <w:rPr>
          <w:rStyle w:val="Rimandonotaapidipagina"/>
          <w:bCs/>
          <w:iCs/>
          <w:sz w:val="22"/>
          <w:szCs w:val="22"/>
        </w:rPr>
        <w:footnoteReference w:id="53"/>
      </w:r>
      <w:r>
        <w:rPr>
          <w:bCs/>
          <w:iCs/>
          <w:sz w:val="24"/>
          <w:szCs w:val="24"/>
        </w:rPr>
        <w:t xml:space="preserve">. </w:t>
      </w:r>
    </w:p>
    <w:p w14:paraId="294EDD43" w14:textId="79EA0AC1" w:rsidR="00E40FE1" w:rsidRDefault="00485469" w:rsidP="0097113F">
      <w:pPr>
        <w:contextualSpacing/>
        <w:jc w:val="both"/>
        <w:rPr>
          <w:bCs/>
          <w:iCs/>
          <w:sz w:val="24"/>
          <w:szCs w:val="24"/>
        </w:rPr>
      </w:pPr>
      <w:r>
        <w:rPr>
          <w:bCs/>
          <w:i/>
          <w:iCs/>
          <w:sz w:val="24"/>
          <w:szCs w:val="24"/>
        </w:rPr>
        <w:lastRenderedPageBreak/>
        <w:t xml:space="preserve">3. </w:t>
      </w:r>
      <w:r w:rsidR="00A45FE2" w:rsidRPr="00355C81">
        <w:rPr>
          <w:bCs/>
          <w:i/>
          <w:iCs/>
          <w:sz w:val="24"/>
          <w:szCs w:val="24"/>
        </w:rPr>
        <w:t xml:space="preserve">La pronuncia della Corte </w:t>
      </w:r>
      <w:r>
        <w:rPr>
          <w:bCs/>
          <w:i/>
          <w:iCs/>
          <w:sz w:val="24"/>
          <w:szCs w:val="24"/>
        </w:rPr>
        <w:t>europea dei diritti dell’uomo</w:t>
      </w:r>
      <w:r w:rsidR="00355C81" w:rsidRPr="00355C81">
        <w:rPr>
          <w:bCs/>
          <w:i/>
          <w:iCs/>
          <w:sz w:val="24"/>
          <w:szCs w:val="24"/>
        </w:rPr>
        <w:t xml:space="preserve"> e</w:t>
      </w:r>
      <w:r w:rsidR="003F7CE8">
        <w:rPr>
          <w:bCs/>
          <w:i/>
          <w:iCs/>
          <w:sz w:val="24"/>
          <w:szCs w:val="24"/>
        </w:rPr>
        <w:t xml:space="preserve"> i</w:t>
      </w:r>
      <w:r w:rsidR="00A45FE2" w:rsidRPr="00355C81">
        <w:rPr>
          <w:bCs/>
          <w:i/>
          <w:iCs/>
          <w:sz w:val="24"/>
          <w:szCs w:val="24"/>
        </w:rPr>
        <w:t xml:space="preserve"> due volti della illegittimità costituzionale</w:t>
      </w:r>
      <w:r w:rsidR="00355C81" w:rsidRPr="00355C81">
        <w:rPr>
          <w:bCs/>
          <w:i/>
          <w:iCs/>
          <w:sz w:val="24"/>
          <w:szCs w:val="24"/>
        </w:rPr>
        <w:t>: tra l</w:t>
      </w:r>
      <w:r w:rsidR="00355C81">
        <w:rPr>
          <w:bCs/>
          <w:i/>
          <w:iCs/>
          <w:sz w:val="24"/>
          <w:szCs w:val="24"/>
        </w:rPr>
        <w:t xml:space="preserve">’inosservanza della </w:t>
      </w:r>
      <w:r w:rsidR="00355C81" w:rsidRPr="00355C81">
        <w:rPr>
          <w:bCs/>
          <w:i/>
          <w:iCs/>
          <w:sz w:val="24"/>
          <w:szCs w:val="24"/>
        </w:rPr>
        <w:t xml:space="preserve">legalità </w:t>
      </w:r>
      <w:r w:rsidR="00355C81">
        <w:rPr>
          <w:bCs/>
          <w:i/>
          <w:iCs/>
          <w:sz w:val="24"/>
          <w:szCs w:val="24"/>
        </w:rPr>
        <w:t>convenzionale</w:t>
      </w:r>
      <w:r w:rsidR="00355C81" w:rsidRPr="00355C81">
        <w:rPr>
          <w:bCs/>
          <w:i/>
          <w:iCs/>
          <w:sz w:val="24"/>
          <w:szCs w:val="24"/>
        </w:rPr>
        <w:t xml:space="preserve"> e l</w:t>
      </w:r>
      <w:r w:rsidR="00355C81">
        <w:rPr>
          <w:bCs/>
          <w:i/>
          <w:iCs/>
          <w:sz w:val="24"/>
          <w:szCs w:val="24"/>
        </w:rPr>
        <w:t>a violazione</w:t>
      </w:r>
      <w:r w:rsidR="00355C81" w:rsidRPr="00355C81">
        <w:rPr>
          <w:bCs/>
          <w:i/>
          <w:iCs/>
          <w:sz w:val="24"/>
          <w:szCs w:val="24"/>
        </w:rPr>
        <w:t xml:space="preserve"> del principio di legalità formale</w:t>
      </w:r>
      <w:r w:rsidR="00355C81">
        <w:rPr>
          <w:bCs/>
          <w:iCs/>
          <w:sz w:val="24"/>
          <w:szCs w:val="24"/>
        </w:rPr>
        <w:t>.</w:t>
      </w:r>
      <w:r>
        <w:rPr>
          <w:bCs/>
          <w:iCs/>
          <w:sz w:val="24"/>
          <w:szCs w:val="24"/>
        </w:rPr>
        <w:t xml:space="preserve"> </w:t>
      </w:r>
      <w:r w:rsidR="00355C81">
        <w:rPr>
          <w:bCs/>
          <w:iCs/>
          <w:sz w:val="24"/>
          <w:szCs w:val="24"/>
        </w:rPr>
        <w:t>Nel prosieguo della presente disamina</w:t>
      </w:r>
      <w:r w:rsidR="00E40FE1">
        <w:rPr>
          <w:bCs/>
          <w:iCs/>
          <w:sz w:val="24"/>
          <w:szCs w:val="24"/>
        </w:rPr>
        <w:t xml:space="preserve"> risulta opportuno accennare alle censure pervenute dalla giurisprudenza europea</w:t>
      </w:r>
      <w:r w:rsidR="00E40FE1" w:rsidRPr="00355C81">
        <w:rPr>
          <w:rStyle w:val="Rimandonotaapidipagina"/>
          <w:bCs/>
          <w:iCs/>
          <w:sz w:val="22"/>
          <w:szCs w:val="22"/>
        </w:rPr>
        <w:footnoteReference w:id="54"/>
      </w:r>
      <w:r w:rsidR="00E40FE1">
        <w:rPr>
          <w:bCs/>
          <w:iCs/>
          <w:sz w:val="24"/>
          <w:szCs w:val="24"/>
        </w:rPr>
        <w:t xml:space="preserve">. </w:t>
      </w:r>
    </w:p>
    <w:p w14:paraId="06C7F318" w14:textId="6D79CFC4" w:rsidR="00E93559" w:rsidRDefault="00485469" w:rsidP="0097113F">
      <w:pPr>
        <w:contextualSpacing/>
        <w:jc w:val="both"/>
        <w:rPr>
          <w:bCs/>
          <w:iCs/>
          <w:sz w:val="24"/>
          <w:szCs w:val="24"/>
        </w:rPr>
      </w:pPr>
      <w:r>
        <w:rPr>
          <w:bCs/>
          <w:iCs/>
          <w:sz w:val="24"/>
          <w:szCs w:val="24"/>
        </w:rPr>
        <w:t xml:space="preserve">La Corte </w:t>
      </w:r>
      <w:r w:rsidR="002678D8">
        <w:rPr>
          <w:bCs/>
          <w:iCs/>
          <w:sz w:val="24"/>
          <w:szCs w:val="24"/>
        </w:rPr>
        <w:t>EDU</w:t>
      </w:r>
      <w:r w:rsidR="00E93559">
        <w:rPr>
          <w:bCs/>
          <w:iCs/>
          <w:sz w:val="24"/>
          <w:szCs w:val="24"/>
        </w:rPr>
        <w:t xml:space="preserve">, intervenuta </w:t>
      </w:r>
      <w:r w:rsidR="00355C81">
        <w:rPr>
          <w:bCs/>
          <w:iCs/>
          <w:sz w:val="24"/>
          <w:szCs w:val="24"/>
        </w:rPr>
        <w:t>con riferimento al</w:t>
      </w:r>
      <w:r w:rsidR="00E93559">
        <w:rPr>
          <w:bCs/>
          <w:iCs/>
          <w:sz w:val="24"/>
          <w:szCs w:val="24"/>
        </w:rPr>
        <w:t xml:space="preserve"> caso Contrada, ha fatto espressa applicazione dei principi che informano il sistema giuridico convenzionale</w:t>
      </w:r>
      <w:r w:rsidR="00570985" w:rsidRPr="00355C81">
        <w:rPr>
          <w:rStyle w:val="Rimandonotaapidipagina"/>
          <w:bCs/>
          <w:iCs/>
          <w:sz w:val="22"/>
          <w:szCs w:val="22"/>
        </w:rPr>
        <w:footnoteReference w:id="55"/>
      </w:r>
      <w:r w:rsidR="00E93559">
        <w:rPr>
          <w:bCs/>
          <w:iCs/>
          <w:sz w:val="24"/>
          <w:szCs w:val="24"/>
        </w:rPr>
        <w:t>.</w:t>
      </w:r>
    </w:p>
    <w:p w14:paraId="20B91D9E" w14:textId="453DDEDF" w:rsidR="002A7788" w:rsidRDefault="00570985" w:rsidP="00570985">
      <w:pPr>
        <w:contextualSpacing/>
        <w:jc w:val="both"/>
        <w:rPr>
          <w:bCs/>
          <w:iCs/>
          <w:sz w:val="24"/>
          <w:szCs w:val="24"/>
        </w:rPr>
      </w:pPr>
      <w:r>
        <w:rPr>
          <w:bCs/>
          <w:iCs/>
          <w:sz w:val="24"/>
          <w:szCs w:val="24"/>
        </w:rPr>
        <w:t xml:space="preserve">In questa prospettiva, se l’istituto del concorso eventuale nel reato di associazione mafiosa ha rinvenuto la propria </w:t>
      </w:r>
      <w:r w:rsidR="00771936">
        <w:rPr>
          <w:bCs/>
          <w:iCs/>
          <w:sz w:val="24"/>
          <w:szCs w:val="24"/>
        </w:rPr>
        <w:t>consacrazione giuridica con la «</w:t>
      </w:r>
      <w:r w:rsidRPr="00570985">
        <w:rPr>
          <w:bCs/>
          <w:i/>
          <w:iCs/>
          <w:sz w:val="24"/>
          <w:szCs w:val="24"/>
        </w:rPr>
        <w:t>sentenza Demitry</w:t>
      </w:r>
      <w:r w:rsidR="00771936">
        <w:rPr>
          <w:bCs/>
          <w:iCs/>
          <w:sz w:val="24"/>
          <w:szCs w:val="24"/>
        </w:rPr>
        <w:t xml:space="preserve">» </w:t>
      </w:r>
      <w:r>
        <w:rPr>
          <w:bCs/>
          <w:iCs/>
          <w:sz w:val="24"/>
          <w:szCs w:val="24"/>
        </w:rPr>
        <w:t>del 1994, è solo a partire da quella data che risulta possibile contestare la fattispecie in oggetto</w:t>
      </w:r>
      <w:r w:rsidR="0076508B" w:rsidRPr="002A7788">
        <w:rPr>
          <w:rStyle w:val="Rimandonotaapidipagina"/>
          <w:bCs/>
          <w:iCs/>
          <w:sz w:val="22"/>
          <w:szCs w:val="22"/>
        </w:rPr>
        <w:footnoteReference w:id="56"/>
      </w:r>
      <w:r>
        <w:rPr>
          <w:bCs/>
          <w:iCs/>
          <w:sz w:val="24"/>
          <w:szCs w:val="24"/>
        </w:rPr>
        <w:t>.</w:t>
      </w:r>
      <w:r w:rsidR="002A7788">
        <w:rPr>
          <w:bCs/>
          <w:iCs/>
          <w:sz w:val="24"/>
          <w:szCs w:val="24"/>
        </w:rPr>
        <w:t xml:space="preserve"> </w:t>
      </w:r>
    </w:p>
    <w:p w14:paraId="6A70640D" w14:textId="18341292" w:rsidR="0076508B" w:rsidRDefault="0076508B" w:rsidP="00570985">
      <w:pPr>
        <w:contextualSpacing/>
        <w:jc w:val="both"/>
        <w:rPr>
          <w:bCs/>
          <w:iCs/>
          <w:sz w:val="24"/>
          <w:szCs w:val="24"/>
        </w:rPr>
      </w:pPr>
      <w:r>
        <w:rPr>
          <w:bCs/>
          <w:iCs/>
          <w:sz w:val="24"/>
          <w:szCs w:val="24"/>
        </w:rPr>
        <w:lastRenderedPageBreak/>
        <w:t>Sulla medesima lunghezza d’onda militano, altresì, i</w:t>
      </w:r>
      <w:r w:rsidR="00570985">
        <w:rPr>
          <w:bCs/>
          <w:iCs/>
          <w:sz w:val="24"/>
          <w:szCs w:val="24"/>
        </w:rPr>
        <w:t xml:space="preserve"> canoni di </w:t>
      </w:r>
      <w:r w:rsidR="005A2471">
        <w:rPr>
          <w:bCs/>
          <w:iCs/>
          <w:sz w:val="24"/>
          <w:szCs w:val="24"/>
        </w:rPr>
        <w:t xml:space="preserve">accessibilità e </w:t>
      </w:r>
      <w:r w:rsidR="00570985">
        <w:rPr>
          <w:bCs/>
          <w:iCs/>
          <w:sz w:val="24"/>
          <w:szCs w:val="24"/>
        </w:rPr>
        <w:t>prevedibilità</w:t>
      </w:r>
      <w:r w:rsidRPr="002A7788">
        <w:rPr>
          <w:rStyle w:val="Rimandonotaapidipagina"/>
          <w:bCs/>
          <w:iCs/>
          <w:sz w:val="22"/>
          <w:szCs w:val="22"/>
        </w:rPr>
        <w:footnoteReference w:id="57"/>
      </w:r>
      <w:r w:rsidR="00570985">
        <w:rPr>
          <w:bCs/>
          <w:iCs/>
          <w:sz w:val="24"/>
          <w:szCs w:val="24"/>
        </w:rPr>
        <w:t xml:space="preserve"> d</w:t>
      </w:r>
      <w:r w:rsidR="005A2471">
        <w:rPr>
          <w:bCs/>
          <w:iCs/>
          <w:sz w:val="24"/>
          <w:szCs w:val="24"/>
        </w:rPr>
        <w:t>e</w:t>
      </w:r>
      <w:r w:rsidR="00570985">
        <w:rPr>
          <w:bCs/>
          <w:iCs/>
          <w:sz w:val="24"/>
          <w:szCs w:val="24"/>
        </w:rPr>
        <w:t xml:space="preserve">i quali è </w:t>
      </w:r>
      <w:r w:rsidR="006A4A10">
        <w:rPr>
          <w:bCs/>
          <w:iCs/>
          <w:sz w:val="24"/>
          <w:szCs w:val="24"/>
        </w:rPr>
        <w:t>intriso</w:t>
      </w:r>
      <w:r w:rsidR="00570985">
        <w:rPr>
          <w:bCs/>
          <w:iCs/>
          <w:sz w:val="24"/>
          <w:szCs w:val="24"/>
        </w:rPr>
        <w:t xml:space="preserve"> il principio di legalità </w:t>
      </w:r>
      <w:r w:rsidR="00287D69">
        <w:rPr>
          <w:bCs/>
          <w:iCs/>
          <w:sz w:val="24"/>
          <w:szCs w:val="24"/>
        </w:rPr>
        <w:t>convenzionale</w:t>
      </w:r>
      <w:r w:rsidR="00287D69" w:rsidRPr="00355C81">
        <w:rPr>
          <w:rStyle w:val="Rimandonotaapidipagina"/>
          <w:bCs/>
          <w:iCs/>
          <w:sz w:val="22"/>
          <w:szCs w:val="22"/>
        </w:rPr>
        <w:footnoteReference w:id="58"/>
      </w:r>
      <w:r>
        <w:rPr>
          <w:bCs/>
          <w:iCs/>
          <w:sz w:val="24"/>
          <w:szCs w:val="24"/>
        </w:rPr>
        <w:t>.</w:t>
      </w:r>
    </w:p>
    <w:p w14:paraId="23CBBD27" w14:textId="0DCF946B" w:rsidR="00570985" w:rsidRDefault="0076508B" w:rsidP="00570985">
      <w:pPr>
        <w:contextualSpacing/>
        <w:jc w:val="both"/>
        <w:rPr>
          <w:bCs/>
          <w:iCs/>
          <w:sz w:val="24"/>
          <w:szCs w:val="24"/>
        </w:rPr>
      </w:pPr>
      <w:r>
        <w:rPr>
          <w:bCs/>
          <w:iCs/>
          <w:sz w:val="24"/>
          <w:szCs w:val="24"/>
        </w:rPr>
        <w:t>I principi in oggetto</w:t>
      </w:r>
      <w:r w:rsidR="00287D69">
        <w:rPr>
          <w:bCs/>
          <w:iCs/>
          <w:sz w:val="24"/>
          <w:szCs w:val="24"/>
        </w:rPr>
        <w:t xml:space="preserve"> </w:t>
      </w:r>
      <w:r>
        <w:rPr>
          <w:bCs/>
          <w:iCs/>
          <w:sz w:val="24"/>
          <w:szCs w:val="24"/>
        </w:rPr>
        <w:t>impongono</w:t>
      </w:r>
      <w:r w:rsidR="00570985">
        <w:rPr>
          <w:bCs/>
          <w:iCs/>
          <w:sz w:val="24"/>
          <w:szCs w:val="24"/>
        </w:rPr>
        <w:t xml:space="preserve"> di destituire di rilevanza </w:t>
      </w:r>
      <w:r w:rsidR="00A020C4">
        <w:rPr>
          <w:bCs/>
          <w:iCs/>
          <w:sz w:val="24"/>
          <w:szCs w:val="24"/>
        </w:rPr>
        <w:t xml:space="preserve">penale </w:t>
      </w:r>
      <w:r w:rsidR="00570985">
        <w:rPr>
          <w:bCs/>
          <w:iCs/>
          <w:sz w:val="24"/>
          <w:szCs w:val="24"/>
        </w:rPr>
        <w:t>tutti quei fatti</w:t>
      </w:r>
      <w:r w:rsidR="00A020C4">
        <w:rPr>
          <w:bCs/>
          <w:iCs/>
          <w:sz w:val="24"/>
          <w:szCs w:val="24"/>
        </w:rPr>
        <w:t xml:space="preserve"> che </w:t>
      </w:r>
      <w:r w:rsidR="00570985">
        <w:rPr>
          <w:bCs/>
          <w:iCs/>
          <w:sz w:val="24"/>
          <w:szCs w:val="24"/>
        </w:rPr>
        <w:t>si siano v</w:t>
      </w:r>
      <w:r w:rsidR="00A020C4">
        <w:rPr>
          <w:bCs/>
          <w:iCs/>
          <w:sz w:val="24"/>
          <w:szCs w:val="24"/>
        </w:rPr>
        <w:t xml:space="preserve">erificati prima che il </w:t>
      </w:r>
      <w:r w:rsidR="00570985">
        <w:rPr>
          <w:bCs/>
          <w:iCs/>
          <w:sz w:val="24"/>
          <w:szCs w:val="24"/>
        </w:rPr>
        <w:t xml:space="preserve">fenomeno </w:t>
      </w:r>
      <w:r w:rsidR="00A020C4">
        <w:rPr>
          <w:bCs/>
          <w:iCs/>
          <w:sz w:val="24"/>
          <w:szCs w:val="24"/>
        </w:rPr>
        <w:t xml:space="preserve">del concorso esterno in associazione mafiosa </w:t>
      </w:r>
      <w:r w:rsidR="00570985">
        <w:rPr>
          <w:bCs/>
          <w:iCs/>
          <w:sz w:val="24"/>
          <w:szCs w:val="24"/>
        </w:rPr>
        <w:t>assurgesse a consolidata fattispecie</w:t>
      </w:r>
      <w:r w:rsidR="00A020C4">
        <w:rPr>
          <w:bCs/>
          <w:iCs/>
          <w:sz w:val="24"/>
          <w:szCs w:val="24"/>
        </w:rPr>
        <w:t xml:space="preserve"> di conio pretorio</w:t>
      </w:r>
      <w:r w:rsidR="00570985">
        <w:rPr>
          <w:bCs/>
          <w:iCs/>
          <w:sz w:val="24"/>
          <w:szCs w:val="24"/>
        </w:rPr>
        <w:t xml:space="preserve">. </w:t>
      </w:r>
    </w:p>
    <w:p w14:paraId="44C623CC" w14:textId="4EDB8C3E" w:rsidR="000D285B" w:rsidRDefault="005A2471" w:rsidP="00570985">
      <w:pPr>
        <w:contextualSpacing/>
        <w:jc w:val="both"/>
        <w:rPr>
          <w:bCs/>
          <w:iCs/>
          <w:sz w:val="24"/>
          <w:szCs w:val="24"/>
        </w:rPr>
      </w:pPr>
      <w:r>
        <w:rPr>
          <w:bCs/>
          <w:iCs/>
          <w:sz w:val="24"/>
          <w:szCs w:val="24"/>
        </w:rPr>
        <w:t xml:space="preserve">In </w:t>
      </w:r>
      <w:r w:rsidR="004A20A4">
        <w:rPr>
          <w:bCs/>
          <w:iCs/>
          <w:sz w:val="24"/>
          <w:szCs w:val="24"/>
        </w:rPr>
        <w:t>definitiva</w:t>
      </w:r>
      <w:r>
        <w:rPr>
          <w:bCs/>
          <w:iCs/>
          <w:sz w:val="24"/>
          <w:szCs w:val="24"/>
        </w:rPr>
        <w:t>,</w:t>
      </w:r>
      <w:r w:rsidR="00A020C4">
        <w:rPr>
          <w:bCs/>
          <w:iCs/>
          <w:sz w:val="24"/>
          <w:szCs w:val="24"/>
        </w:rPr>
        <w:t xml:space="preserve"> dunque,</w:t>
      </w:r>
      <w:r>
        <w:rPr>
          <w:bCs/>
          <w:iCs/>
          <w:sz w:val="24"/>
          <w:szCs w:val="24"/>
        </w:rPr>
        <w:t xml:space="preserve"> la</w:t>
      </w:r>
      <w:r w:rsidR="004A20A4">
        <w:rPr>
          <w:bCs/>
          <w:iCs/>
          <w:sz w:val="24"/>
          <w:szCs w:val="24"/>
        </w:rPr>
        <w:t xml:space="preserve"> Corte e</w:t>
      </w:r>
      <w:r>
        <w:rPr>
          <w:bCs/>
          <w:iCs/>
          <w:sz w:val="24"/>
          <w:szCs w:val="24"/>
        </w:rPr>
        <w:t>uropea</w:t>
      </w:r>
      <w:r w:rsidR="004A20A4">
        <w:rPr>
          <w:bCs/>
          <w:iCs/>
          <w:sz w:val="24"/>
          <w:szCs w:val="24"/>
        </w:rPr>
        <w:t xml:space="preserve"> dei diritti dell’uomo</w:t>
      </w:r>
      <w:r>
        <w:rPr>
          <w:bCs/>
          <w:iCs/>
          <w:sz w:val="24"/>
          <w:szCs w:val="24"/>
        </w:rPr>
        <w:t xml:space="preserve"> non frappone ostacoli alla generale ammissibilità del concorso esterno in associazione mafiosa. </w:t>
      </w:r>
    </w:p>
    <w:p w14:paraId="37D29D13" w14:textId="3CFF91B2" w:rsidR="00A020C4" w:rsidRDefault="005A2471" w:rsidP="00570985">
      <w:pPr>
        <w:contextualSpacing/>
        <w:jc w:val="both"/>
        <w:rPr>
          <w:bCs/>
          <w:iCs/>
          <w:sz w:val="24"/>
          <w:szCs w:val="24"/>
        </w:rPr>
      </w:pPr>
      <w:r>
        <w:rPr>
          <w:bCs/>
          <w:iCs/>
          <w:sz w:val="24"/>
          <w:szCs w:val="24"/>
        </w:rPr>
        <w:t xml:space="preserve">Tuttavia, </w:t>
      </w:r>
      <w:r w:rsidR="004A20A4">
        <w:rPr>
          <w:bCs/>
          <w:iCs/>
          <w:sz w:val="24"/>
          <w:szCs w:val="24"/>
        </w:rPr>
        <w:t>attribuisce al fenomeno delittuoso una qualità giuridica</w:t>
      </w:r>
      <w:r w:rsidR="00A020C4">
        <w:rPr>
          <w:bCs/>
          <w:iCs/>
          <w:sz w:val="24"/>
          <w:szCs w:val="24"/>
        </w:rPr>
        <w:t xml:space="preserve"> </w:t>
      </w:r>
      <w:r w:rsidR="004A20A4">
        <w:rPr>
          <w:bCs/>
          <w:iCs/>
          <w:sz w:val="24"/>
          <w:szCs w:val="24"/>
        </w:rPr>
        <w:t>che</w:t>
      </w:r>
      <w:r w:rsidR="00A020C4">
        <w:rPr>
          <w:bCs/>
          <w:iCs/>
          <w:sz w:val="24"/>
          <w:szCs w:val="24"/>
        </w:rPr>
        <w:t xml:space="preserve"> </w:t>
      </w:r>
      <w:r w:rsidR="004A20A4">
        <w:rPr>
          <w:bCs/>
          <w:iCs/>
          <w:sz w:val="24"/>
          <w:szCs w:val="24"/>
        </w:rPr>
        <w:t>depone per</w:t>
      </w:r>
      <w:r w:rsidR="00A020C4">
        <w:rPr>
          <w:bCs/>
          <w:iCs/>
          <w:sz w:val="24"/>
          <w:szCs w:val="24"/>
        </w:rPr>
        <w:t xml:space="preserve"> un </w:t>
      </w:r>
      <w:r w:rsidR="004A20A4">
        <w:rPr>
          <w:bCs/>
          <w:iCs/>
          <w:sz w:val="24"/>
          <w:szCs w:val="24"/>
        </w:rPr>
        <w:t xml:space="preserve">trattamento </w:t>
      </w:r>
      <w:r w:rsidR="00A020C4">
        <w:rPr>
          <w:bCs/>
          <w:iCs/>
          <w:sz w:val="24"/>
          <w:szCs w:val="24"/>
        </w:rPr>
        <w:t xml:space="preserve">diverso </w:t>
      </w:r>
      <w:r w:rsidR="004A20A4">
        <w:rPr>
          <w:bCs/>
          <w:iCs/>
          <w:sz w:val="24"/>
          <w:szCs w:val="24"/>
        </w:rPr>
        <w:t>rispetto a quello riservato dall’ordinamento nazionale</w:t>
      </w:r>
      <w:r w:rsidR="00A020C4">
        <w:rPr>
          <w:bCs/>
          <w:iCs/>
          <w:sz w:val="24"/>
          <w:szCs w:val="24"/>
        </w:rPr>
        <w:t>.</w:t>
      </w:r>
    </w:p>
    <w:p w14:paraId="35B9122A" w14:textId="77777777" w:rsidR="006F60CF" w:rsidRPr="006F60CF" w:rsidRDefault="004A20A4" w:rsidP="006F60CF">
      <w:pPr>
        <w:contextualSpacing/>
        <w:jc w:val="both"/>
        <w:rPr>
          <w:bCs/>
          <w:iCs/>
          <w:sz w:val="24"/>
          <w:szCs w:val="24"/>
        </w:rPr>
      </w:pPr>
      <w:r>
        <w:rPr>
          <w:bCs/>
          <w:iCs/>
          <w:sz w:val="24"/>
          <w:szCs w:val="24"/>
        </w:rPr>
        <w:t xml:space="preserve">Come si è avuto modo di percepire, infatti, </w:t>
      </w:r>
      <w:r w:rsidR="006F60CF" w:rsidRPr="006F60CF">
        <w:rPr>
          <w:bCs/>
          <w:iCs/>
          <w:sz w:val="24"/>
          <w:szCs w:val="24"/>
        </w:rPr>
        <w:t xml:space="preserve">il giudice europeo ha posto in risalto la genesi giurisprudenziale della figura di reato. </w:t>
      </w:r>
    </w:p>
    <w:p w14:paraId="13A0BDFE" w14:textId="086E5091" w:rsidR="006F60CF" w:rsidRDefault="006F60CF" w:rsidP="00570985">
      <w:pPr>
        <w:contextualSpacing/>
        <w:jc w:val="both"/>
        <w:rPr>
          <w:bCs/>
          <w:iCs/>
          <w:sz w:val="24"/>
          <w:szCs w:val="24"/>
        </w:rPr>
      </w:pPr>
      <w:r w:rsidRPr="006F60CF">
        <w:rPr>
          <w:bCs/>
          <w:iCs/>
          <w:sz w:val="24"/>
          <w:szCs w:val="24"/>
        </w:rPr>
        <w:t>La combinazione tra un simile inquadramento dogmatico (fattispecie di creazione pretor</w:t>
      </w:r>
      <w:r w:rsidR="00915C3D">
        <w:rPr>
          <w:bCs/>
          <w:iCs/>
          <w:sz w:val="24"/>
          <w:szCs w:val="24"/>
        </w:rPr>
        <w:t>ia) e la concezione autonomist</w:t>
      </w:r>
      <w:r w:rsidRPr="006F60CF">
        <w:rPr>
          <w:bCs/>
          <w:iCs/>
          <w:sz w:val="24"/>
          <w:szCs w:val="24"/>
        </w:rPr>
        <w:t>a del sistema convenzionale (che aderisce ad una concezione ampia di legge) innesca una reazione delegittimante da parte del sistema sovrannazionale.</w:t>
      </w:r>
    </w:p>
    <w:p w14:paraId="19A00E4F" w14:textId="1011FD52" w:rsidR="006F60CF" w:rsidRDefault="00BF2B3E" w:rsidP="0097113F">
      <w:pPr>
        <w:contextualSpacing/>
        <w:jc w:val="both"/>
        <w:rPr>
          <w:bCs/>
          <w:iCs/>
          <w:sz w:val="24"/>
          <w:szCs w:val="24"/>
        </w:rPr>
      </w:pPr>
      <w:r>
        <w:rPr>
          <w:bCs/>
          <w:iCs/>
          <w:sz w:val="24"/>
          <w:szCs w:val="24"/>
        </w:rPr>
        <w:t>I</w:t>
      </w:r>
      <w:r w:rsidR="003861F2">
        <w:rPr>
          <w:bCs/>
          <w:iCs/>
          <w:sz w:val="24"/>
          <w:szCs w:val="24"/>
        </w:rPr>
        <w:t>n tal senso</w:t>
      </w:r>
      <w:r w:rsidR="008743AA">
        <w:rPr>
          <w:bCs/>
          <w:iCs/>
          <w:sz w:val="24"/>
          <w:szCs w:val="24"/>
        </w:rPr>
        <w:t>,</w:t>
      </w:r>
      <w:r w:rsidR="003861F2">
        <w:rPr>
          <w:bCs/>
          <w:iCs/>
          <w:sz w:val="24"/>
          <w:szCs w:val="24"/>
        </w:rPr>
        <w:t xml:space="preserve"> </w:t>
      </w:r>
      <w:r w:rsidR="006F60CF">
        <w:rPr>
          <w:bCs/>
          <w:iCs/>
          <w:sz w:val="24"/>
          <w:szCs w:val="24"/>
        </w:rPr>
        <w:t>la propagazione dei riflessi ermeneutici non può che infrangersi sulle</w:t>
      </w:r>
      <w:r w:rsidR="003861F2">
        <w:rPr>
          <w:bCs/>
          <w:iCs/>
          <w:sz w:val="24"/>
          <w:szCs w:val="24"/>
        </w:rPr>
        <w:t xml:space="preserve"> </w:t>
      </w:r>
      <w:r w:rsidR="008743AA">
        <w:rPr>
          <w:bCs/>
          <w:iCs/>
          <w:sz w:val="24"/>
          <w:szCs w:val="24"/>
        </w:rPr>
        <w:t xml:space="preserve">colonne portanti del </w:t>
      </w:r>
      <w:r w:rsidR="003861F2">
        <w:rPr>
          <w:bCs/>
          <w:iCs/>
          <w:sz w:val="24"/>
          <w:szCs w:val="24"/>
        </w:rPr>
        <w:t>sistema</w:t>
      </w:r>
      <w:r w:rsidR="008743AA">
        <w:rPr>
          <w:bCs/>
          <w:iCs/>
          <w:sz w:val="24"/>
          <w:szCs w:val="24"/>
        </w:rPr>
        <w:t xml:space="preserve"> sanzionatorio:</w:t>
      </w:r>
      <w:r w:rsidR="003861F2">
        <w:rPr>
          <w:bCs/>
          <w:iCs/>
          <w:sz w:val="24"/>
          <w:szCs w:val="24"/>
        </w:rPr>
        <w:t xml:space="preserve"> la “qualità”</w:t>
      </w:r>
      <w:r w:rsidR="00330E54" w:rsidRPr="004A20A4">
        <w:rPr>
          <w:rStyle w:val="Rimandonotaapidipagina"/>
          <w:bCs/>
          <w:iCs/>
          <w:sz w:val="22"/>
          <w:szCs w:val="22"/>
        </w:rPr>
        <w:footnoteReference w:id="59"/>
      </w:r>
      <w:r w:rsidR="003861F2">
        <w:rPr>
          <w:bCs/>
          <w:iCs/>
          <w:sz w:val="24"/>
          <w:szCs w:val="24"/>
        </w:rPr>
        <w:t xml:space="preserve"> </w:t>
      </w:r>
      <w:r w:rsidR="004012BD">
        <w:rPr>
          <w:bCs/>
          <w:iCs/>
          <w:sz w:val="24"/>
          <w:szCs w:val="24"/>
        </w:rPr>
        <w:t>e</w:t>
      </w:r>
      <w:r w:rsidR="008743AA">
        <w:rPr>
          <w:bCs/>
          <w:iCs/>
          <w:sz w:val="24"/>
          <w:szCs w:val="24"/>
        </w:rPr>
        <w:t xml:space="preserve"> </w:t>
      </w:r>
      <w:r w:rsidR="004012BD">
        <w:rPr>
          <w:bCs/>
          <w:iCs/>
          <w:sz w:val="24"/>
          <w:szCs w:val="24"/>
        </w:rPr>
        <w:t>l’</w:t>
      </w:r>
      <w:r>
        <w:rPr>
          <w:bCs/>
          <w:iCs/>
          <w:sz w:val="24"/>
          <w:szCs w:val="24"/>
        </w:rPr>
        <w:t xml:space="preserve">irretroattività della legge penale </w:t>
      </w:r>
      <w:r w:rsidR="006F60CF">
        <w:rPr>
          <w:bCs/>
          <w:iCs/>
          <w:sz w:val="24"/>
          <w:szCs w:val="24"/>
        </w:rPr>
        <w:t xml:space="preserve">come principi che </w:t>
      </w:r>
      <w:r w:rsidR="00771936">
        <w:rPr>
          <w:bCs/>
          <w:iCs/>
          <w:sz w:val="24"/>
          <w:szCs w:val="24"/>
        </w:rPr>
        <w:t>innervano la «</w:t>
      </w:r>
      <w:r w:rsidR="008743AA" w:rsidRPr="008743AA">
        <w:rPr>
          <w:bCs/>
          <w:i/>
          <w:iCs/>
          <w:sz w:val="24"/>
          <w:szCs w:val="24"/>
        </w:rPr>
        <w:t>certezza di libere scelte d’azione e la programmazione di azioni future</w:t>
      </w:r>
      <w:r w:rsidR="00771936">
        <w:rPr>
          <w:bCs/>
          <w:iCs/>
          <w:sz w:val="24"/>
          <w:szCs w:val="24"/>
        </w:rPr>
        <w:t>»</w:t>
      </w:r>
      <w:r w:rsidR="008743AA" w:rsidRPr="004A20A4">
        <w:rPr>
          <w:rStyle w:val="Rimandonotaapidipagina"/>
          <w:bCs/>
          <w:iCs/>
          <w:sz w:val="22"/>
          <w:szCs w:val="22"/>
        </w:rPr>
        <w:footnoteReference w:id="60"/>
      </w:r>
      <w:r w:rsidR="008743AA">
        <w:rPr>
          <w:bCs/>
          <w:iCs/>
          <w:sz w:val="24"/>
          <w:szCs w:val="24"/>
        </w:rPr>
        <w:t xml:space="preserve">. </w:t>
      </w:r>
    </w:p>
    <w:p w14:paraId="7D2CEC00" w14:textId="475CEB72" w:rsidR="00ED0FAA" w:rsidRDefault="00ED0FAA" w:rsidP="0097113F">
      <w:pPr>
        <w:contextualSpacing/>
        <w:jc w:val="both"/>
        <w:rPr>
          <w:bCs/>
          <w:iCs/>
          <w:sz w:val="24"/>
          <w:szCs w:val="24"/>
        </w:rPr>
      </w:pPr>
      <w:r>
        <w:rPr>
          <w:bCs/>
          <w:iCs/>
          <w:sz w:val="24"/>
          <w:szCs w:val="24"/>
        </w:rPr>
        <w:lastRenderedPageBreak/>
        <w:t xml:space="preserve">Più in particolare, </w:t>
      </w:r>
      <w:r w:rsidR="0050438E">
        <w:rPr>
          <w:bCs/>
          <w:iCs/>
          <w:sz w:val="24"/>
          <w:szCs w:val="24"/>
        </w:rPr>
        <w:t>ammettere</w:t>
      </w:r>
      <w:r w:rsidR="0050438E" w:rsidRPr="0050438E">
        <w:t xml:space="preserve"> </w:t>
      </w:r>
      <w:r w:rsidR="00771936">
        <w:rPr>
          <w:sz w:val="24"/>
          <w:szCs w:val="24"/>
        </w:rPr>
        <w:t>che «</w:t>
      </w:r>
      <w:r w:rsidR="00171C83" w:rsidRPr="00171C83">
        <w:rPr>
          <w:i/>
          <w:sz w:val="24"/>
          <w:szCs w:val="24"/>
        </w:rPr>
        <w:t xml:space="preserve">le </w:t>
      </w:r>
      <w:proofErr w:type="spellStart"/>
      <w:r w:rsidR="00171C83" w:rsidRPr="00171C83">
        <w:rPr>
          <w:i/>
          <w:sz w:val="24"/>
          <w:szCs w:val="24"/>
        </w:rPr>
        <w:t>concours</w:t>
      </w:r>
      <w:proofErr w:type="spellEnd"/>
      <w:r w:rsidR="00171C83" w:rsidRPr="00171C83">
        <w:rPr>
          <w:i/>
          <w:sz w:val="24"/>
          <w:szCs w:val="24"/>
        </w:rPr>
        <w:t xml:space="preserve"> </w:t>
      </w:r>
      <w:proofErr w:type="spellStart"/>
      <w:r w:rsidR="00171C83" w:rsidRPr="00171C83">
        <w:rPr>
          <w:i/>
          <w:sz w:val="24"/>
          <w:szCs w:val="24"/>
        </w:rPr>
        <w:t>externe</w:t>
      </w:r>
      <w:proofErr w:type="spellEnd"/>
      <w:r w:rsidR="00171C83" w:rsidRPr="00171C83">
        <w:rPr>
          <w:i/>
          <w:sz w:val="24"/>
          <w:szCs w:val="24"/>
        </w:rPr>
        <w:t xml:space="preserve"> en </w:t>
      </w:r>
      <w:proofErr w:type="spellStart"/>
      <w:r w:rsidR="00171C83" w:rsidRPr="00171C83">
        <w:rPr>
          <w:i/>
          <w:sz w:val="24"/>
          <w:szCs w:val="24"/>
        </w:rPr>
        <w:t>association</w:t>
      </w:r>
      <w:proofErr w:type="spellEnd"/>
      <w:r w:rsidR="00171C83" w:rsidRPr="00171C83">
        <w:rPr>
          <w:i/>
          <w:sz w:val="24"/>
          <w:szCs w:val="24"/>
        </w:rPr>
        <w:t xml:space="preserve"> de </w:t>
      </w:r>
      <w:proofErr w:type="spellStart"/>
      <w:r w:rsidR="00171C83" w:rsidRPr="00171C83">
        <w:rPr>
          <w:i/>
          <w:sz w:val="24"/>
          <w:szCs w:val="24"/>
        </w:rPr>
        <w:t>type</w:t>
      </w:r>
      <w:proofErr w:type="spellEnd"/>
      <w:r w:rsidR="00171C83" w:rsidRPr="00171C83">
        <w:rPr>
          <w:i/>
          <w:sz w:val="24"/>
          <w:szCs w:val="24"/>
        </w:rPr>
        <w:t xml:space="preserve"> </w:t>
      </w:r>
      <w:proofErr w:type="spellStart"/>
      <w:r w:rsidR="00171C83" w:rsidRPr="00171C83">
        <w:rPr>
          <w:i/>
          <w:sz w:val="24"/>
          <w:szCs w:val="24"/>
        </w:rPr>
        <w:t>mafieux</w:t>
      </w:r>
      <w:proofErr w:type="spellEnd"/>
      <w:r w:rsidR="00171C83" w:rsidRPr="00171C83">
        <w:rPr>
          <w:i/>
          <w:sz w:val="24"/>
          <w:szCs w:val="24"/>
        </w:rPr>
        <w:t xml:space="preserve"> </w:t>
      </w:r>
      <w:proofErr w:type="spellStart"/>
      <w:r w:rsidR="00171C83" w:rsidRPr="00171C83">
        <w:rPr>
          <w:i/>
          <w:sz w:val="24"/>
          <w:szCs w:val="24"/>
        </w:rPr>
        <w:t>constitue</w:t>
      </w:r>
      <w:proofErr w:type="spellEnd"/>
      <w:r w:rsidR="00171C83" w:rsidRPr="00171C83">
        <w:rPr>
          <w:i/>
          <w:sz w:val="24"/>
          <w:szCs w:val="24"/>
        </w:rPr>
        <w:t xml:space="preserve"> une </w:t>
      </w:r>
      <w:proofErr w:type="spellStart"/>
      <w:r w:rsidR="00171C83" w:rsidRPr="00171C83">
        <w:rPr>
          <w:i/>
          <w:sz w:val="24"/>
          <w:szCs w:val="24"/>
        </w:rPr>
        <w:t>infraction</w:t>
      </w:r>
      <w:proofErr w:type="spellEnd"/>
      <w:r w:rsidR="00171C83" w:rsidRPr="00171C83">
        <w:rPr>
          <w:i/>
          <w:sz w:val="24"/>
          <w:szCs w:val="24"/>
        </w:rPr>
        <w:t xml:space="preserve"> </w:t>
      </w:r>
      <w:bookmarkStart w:id="18" w:name="_Hlk495489474"/>
      <w:r w:rsidR="00171C83" w:rsidRPr="00171C83">
        <w:rPr>
          <w:i/>
          <w:sz w:val="24"/>
          <w:szCs w:val="24"/>
        </w:rPr>
        <w:t xml:space="preserve">d’origine </w:t>
      </w:r>
      <w:proofErr w:type="spellStart"/>
      <w:r w:rsidR="00171C83" w:rsidRPr="00171C83">
        <w:rPr>
          <w:i/>
          <w:sz w:val="24"/>
          <w:szCs w:val="24"/>
        </w:rPr>
        <w:t>jurisprudentielle</w:t>
      </w:r>
      <w:bookmarkEnd w:id="18"/>
      <w:proofErr w:type="spellEnd"/>
      <w:r w:rsidR="00771936">
        <w:rPr>
          <w:bCs/>
          <w:iCs/>
          <w:sz w:val="24"/>
          <w:szCs w:val="24"/>
        </w:rPr>
        <w:t>»</w:t>
      </w:r>
      <w:r w:rsidR="0050438E" w:rsidRPr="0050438E">
        <w:rPr>
          <w:rStyle w:val="Rimandonotaapidipagina"/>
          <w:bCs/>
          <w:iCs/>
          <w:sz w:val="22"/>
          <w:szCs w:val="22"/>
        </w:rPr>
        <w:footnoteReference w:id="61"/>
      </w:r>
      <w:r w:rsidR="006F60CF" w:rsidRPr="0050438E">
        <w:rPr>
          <w:bCs/>
          <w:iCs/>
          <w:sz w:val="24"/>
          <w:szCs w:val="24"/>
        </w:rPr>
        <w:t xml:space="preserve"> </w:t>
      </w:r>
      <w:r w:rsidR="006F60CF">
        <w:rPr>
          <w:bCs/>
          <w:iCs/>
          <w:sz w:val="24"/>
          <w:szCs w:val="24"/>
        </w:rPr>
        <w:t xml:space="preserve">equivarrebbe a disconoscere la legittimità </w:t>
      </w:r>
      <w:r w:rsidR="00005351">
        <w:rPr>
          <w:bCs/>
          <w:iCs/>
          <w:sz w:val="24"/>
          <w:szCs w:val="24"/>
        </w:rPr>
        <w:t>penale della fattispecie e degli effetti che su di essa si fondano</w:t>
      </w:r>
      <w:r>
        <w:rPr>
          <w:bCs/>
          <w:iCs/>
          <w:sz w:val="24"/>
          <w:szCs w:val="24"/>
        </w:rPr>
        <w:t>.</w:t>
      </w:r>
    </w:p>
    <w:p w14:paraId="35EFF5BB" w14:textId="77777777" w:rsidR="00005351" w:rsidRDefault="00ED0FAA" w:rsidP="0097113F">
      <w:pPr>
        <w:contextualSpacing/>
        <w:jc w:val="both"/>
        <w:rPr>
          <w:bCs/>
          <w:iCs/>
          <w:sz w:val="24"/>
          <w:szCs w:val="24"/>
        </w:rPr>
      </w:pPr>
      <w:r>
        <w:rPr>
          <w:bCs/>
          <w:iCs/>
          <w:sz w:val="24"/>
          <w:szCs w:val="24"/>
        </w:rPr>
        <w:t xml:space="preserve">Tuttavia, </w:t>
      </w:r>
      <w:r w:rsidR="00D2658D">
        <w:rPr>
          <w:bCs/>
          <w:iCs/>
          <w:sz w:val="24"/>
          <w:szCs w:val="24"/>
        </w:rPr>
        <w:t xml:space="preserve">secondo l’orientamento </w:t>
      </w:r>
      <w:r w:rsidR="00005351">
        <w:rPr>
          <w:bCs/>
          <w:iCs/>
          <w:sz w:val="24"/>
          <w:szCs w:val="24"/>
        </w:rPr>
        <w:t>interno dominante</w:t>
      </w:r>
      <w:r w:rsidR="00D2658D">
        <w:rPr>
          <w:bCs/>
          <w:iCs/>
          <w:sz w:val="24"/>
          <w:szCs w:val="24"/>
        </w:rPr>
        <w:t xml:space="preserve"> il fenomeno giuridico integra una diretta promanazione dei principi (di conio legislativo e costituzionale)</w:t>
      </w:r>
      <w:r w:rsidR="0069697B">
        <w:rPr>
          <w:bCs/>
          <w:iCs/>
          <w:sz w:val="24"/>
          <w:szCs w:val="24"/>
        </w:rPr>
        <w:t xml:space="preserve"> </w:t>
      </w:r>
      <w:r w:rsidR="00D2658D">
        <w:rPr>
          <w:bCs/>
          <w:iCs/>
          <w:sz w:val="24"/>
          <w:szCs w:val="24"/>
        </w:rPr>
        <w:t>del diritto penale</w:t>
      </w:r>
      <w:r w:rsidR="00005351">
        <w:rPr>
          <w:bCs/>
          <w:iCs/>
          <w:sz w:val="24"/>
          <w:szCs w:val="24"/>
        </w:rPr>
        <w:t xml:space="preserve">. </w:t>
      </w:r>
    </w:p>
    <w:p w14:paraId="60D8A97E" w14:textId="5A742D05" w:rsidR="00D2658D" w:rsidRDefault="00005351" w:rsidP="0097113F">
      <w:pPr>
        <w:contextualSpacing/>
        <w:jc w:val="both"/>
        <w:rPr>
          <w:bCs/>
          <w:iCs/>
          <w:sz w:val="24"/>
          <w:szCs w:val="24"/>
        </w:rPr>
      </w:pPr>
      <w:r>
        <w:rPr>
          <w:bCs/>
          <w:iCs/>
          <w:sz w:val="24"/>
          <w:szCs w:val="24"/>
        </w:rPr>
        <w:t>Ciò depone per una qualificazione della figura come fattispecie</w:t>
      </w:r>
      <w:r w:rsidR="00D2658D">
        <w:rPr>
          <w:bCs/>
          <w:iCs/>
          <w:sz w:val="24"/>
          <w:szCs w:val="24"/>
        </w:rPr>
        <w:t xml:space="preserve"> immanente al sistema.</w:t>
      </w:r>
    </w:p>
    <w:p w14:paraId="4EE25E19" w14:textId="70CB3A36" w:rsidR="006F60CF" w:rsidRDefault="00005351" w:rsidP="0097113F">
      <w:pPr>
        <w:contextualSpacing/>
        <w:jc w:val="both"/>
        <w:rPr>
          <w:bCs/>
          <w:iCs/>
          <w:sz w:val="24"/>
          <w:szCs w:val="24"/>
        </w:rPr>
      </w:pPr>
      <w:r>
        <w:rPr>
          <w:bCs/>
          <w:iCs/>
          <w:sz w:val="24"/>
          <w:szCs w:val="24"/>
        </w:rPr>
        <w:t xml:space="preserve">Ed invero, in tal senso si è orientata la giurisprudenza </w:t>
      </w:r>
      <w:r w:rsidR="006F60CF" w:rsidRPr="006F60CF">
        <w:rPr>
          <w:bCs/>
          <w:iCs/>
          <w:sz w:val="24"/>
          <w:szCs w:val="24"/>
        </w:rPr>
        <w:t>di legittimità</w:t>
      </w:r>
      <w:r w:rsidR="006F60CF" w:rsidRPr="006F60CF">
        <w:rPr>
          <w:bCs/>
          <w:iCs/>
          <w:sz w:val="24"/>
          <w:szCs w:val="24"/>
          <w:vertAlign w:val="superscript"/>
        </w:rPr>
        <w:footnoteReference w:id="62"/>
      </w:r>
      <w:r w:rsidR="006F60CF" w:rsidRPr="006F60CF">
        <w:rPr>
          <w:bCs/>
          <w:iCs/>
          <w:sz w:val="24"/>
          <w:szCs w:val="24"/>
        </w:rPr>
        <w:t xml:space="preserve"> all’indomani della pronuncia</w:t>
      </w:r>
      <w:r>
        <w:rPr>
          <w:bCs/>
          <w:iCs/>
          <w:sz w:val="24"/>
          <w:szCs w:val="24"/>
        </w:rPr>
        <w:t xml:space="preserve"> emessa dal giudice europeo. </w:t>
      </w:r>
      <w:r w:rsidR="006F60CF" w:rsidRPr="006F60CF">
        <w:rPr>
          <w:bCs/>
          <w:iCs/>
          <w:sz w:val="24"/>
          <w:szCs w:val="24"/>
        </w:rPr>
        <w:t xml:space="preserve"> </w:t>
      </w:r>
    </w:p>
    <w:p w14:paraId="206ED51C" w14:textId="78F04FA2" w:rsidR="00005351" w:rsidRDefault="00005351" w:rsidP="0097113F">
      <w:pPr>
        <w:contextualSpacing/>
        <w:jc w:val="both"/>
        <w:rPr>
          <w:bCs/>
          <w:iCs/>
          <w:sz w:val="24"/>
          <w:szCs w:val="24"/>
        </w:rPr>
      </w:pPr>
      <w:r>
        <w:rPr>
          <w:bCs/>
          <w:iCs/>
          <w:sz w:val="24"/>
          <w:szCs w:val="24"/>
        </w:rPr>
        <w:t>Del resto, se i sistemi si incentrano su un diverso modo di intendere il principio supremo che informa l’ordine penale, ciò significa che anche le conclusioni del sillogismo giuridico saranno differenti.</w:t>
      </w:r>
    </w:p>
    <w:p w14:paraId="0A3CA4F3" w14:textId="602D0E19" w:rsidR="00005351" w:rsidRDefault="00005351" w:rsidP="0097113F">
      <w:pPr>
        <w:contextualSpacing/>
        <w:jc w:val="both"/>
        <w:rPr>
          <w:bCs/>
          <w:iCs/>
          <w:sz w:val="24"/>
          <w:szCs w:val="24"/>
        </w:rPr>
      </w:pPr>
      <w:r>
        <w:rPr>
          <w:bCs/>
          <w:iCs/>
          <w:sz w:val="24"/>
          <w:szCs w:val="24"/>
        </w:rPr>
        <w:t>A ben riflettere, infatti, l</w:t>
      </w:r>
      <w:r w:rsidR="00D2658D">
        <w:rPr>
          <w:bCs/>
          <w:iCs/>
          <w:sz w:val="24"/>
          <w:szCs w:val="24"/>
        </w:rPr>
        <w:t xml:space="preserve">’impostazione della Corte </w:t>
      </w:r>
      <w:r w:rsidR="002678D8">
        <w:rPr>
          <w:bCs/>
          <w:iCs/>
          <w:sz w:val="24"/>
          <w:szCs w:val="24"/>
        </w:rPr>
        <w:t>EDU</w:t>
      </w:r>
      <w:r w:rsidR="00D2658D">
        <w:rPr>
          <w:bCs/>
          <w:iCs/>
          <w:sz w:val="24"/>
          <w:szCs w:val="24"/>
        </w:rPr>
        <w:t xml:space="preserve"> si instrada su un percorso ermeneutico </w:t>
      </w:r>
      <w:r>
        <w:rPr>
          <w:bCs/>
          <w:iCs/>
          <w:sz w:val="24"/>
          <w:szCs w:val="24"/>
        </w:rPr>
        <w:t xml:space="preserve">ben definito. </w:t>
      </w:r>
    </w:p>
    <w:p w14:paraId="68225AAC" w14:textId="4D3339FF" w:rsidR="00D2658D" w:rsidRDefault="00005351" w:rsidP="0097113F">
      <w:pPr>
        <w:contextualSpacing/>
        <w:jc w:val="both"/>
        <w:rPr>
          <w:bCs/>
          <w:iCs/>
          <w:sz w:val="24"/>
          <w:szCs w:val="24"/>
        </w:rPr>
      </w:pPr>
      <w:r>
        <w:rPr>
          <w:bCs/>
          <w:iCs/>
          <w:sz w:val="24"/>
          <w:szCs w:val="24"/>
        </w:rPr>
        <w:t xml:space="preserve">La premessa assiomatica consiste nella compatibilità tra </w:t>
      </w:r>
      <w:r w:rsidR="00D2658D">
        <w:rPr>
          <w:bCs/>
          <w:iCs/>
          <w:sz w:val="24"/>
          <w:szCs w:val="24"/>
        </w:rPr>
        <w:t xml:space="preserve">genesi pretoria </w:t>
      </w:r>
      <w:r>
        <w:rPr>
          <w:bCs/>
          <w:iCs/>
          <w:sz w:val="24"/>
          <w:szCs w:val="24"/>
        </w:rPr>
        <w:t>e</w:t>
      </w:r>
      <w:r w:rsidR="00D2658D">
        <w:rPr>
          <w:bCs/>
          <w:iCs/>
          <w:sz w:val="24"/>
          <w:szCs w:val="24"/>
        </w:rPr>
        <w:t xml:space="preserve"> principio di legalità. </w:t>
      </w:r>
    </w:p>
    <w:p w14:paraId="0A37A907" w14:textId="0C408C12" w:rsidR="00D2658D" w:rsidRDefault="00005351" w:rsidP="0097113F">
      <w:pPr>
        <w:contextualSpacing/>
        <w:jc w:val="both"/>
        <w:rPr>
          <w:bCs/>
          <w:iCs/>
          <w:sz w:val="24"/>
          <w:szCs w:val="24"/>
        </w:rPr>
      </w:pPr>
      <w:r>
        <w:rPr>
          <w:bCs/>
          <w:iCs/>
          <w:sz w:val="24"/>
          <w:szCs w:val="24"/>
        </w:rPr>
        <w:t xml:space="preserve">La premessa di fatto è che il concorso esterno in associazione di stampo mafioso </w:t>
      </w:r>
      <w:r w:rsidR="00D2658D">
        <w:rPr>
          <w:bCs/>
          <w:iCs/>
          <w:sz w:val="24"/>
          <w:szCs w:val="24"/>
        </w:rPr>
        <w:t xml:space="preserve">non è </w:t>
      </w:r>
      <w:r>
        <w:rPr>
          <w:bCs/>
          <w:iCs/>
          <w:sz w:val="24"/>
          <w:szCs w:val="24"/>
        </w:rPr>
        <w:t>una figura connaturata</w:t>
      </w:r>
      <w:r w:rsidR="00D2658D">
        <w:rPr>
          <w:bCs/>
          <w:iCs/>
          <w:sz w:val="24"/>
          <w:szCs w:val="24"/>
        </w:rPr>
        <w:t xml:space="preserve"> al sistema penalistico, ma è frutto di una elaborazione giurisprudenziale che l’ha formulata successivamente</w:t>
      </w:r>
      <w:r w:rsidRPr="00590832">
        <w:rPr>
          <w:rStyle w:val="Rimandonotaapidipagina"/>
          <w:bCs/>
          <w:iCs/>
          <w:sz w:val="22"/>
          <w:szCs w:val="22"/>
        </w:rPr>
        <w:footnoteReference w:id="63"/>
      </w:r>
      <w:r w:rsidR="00D2658D">
        <w:rPr>
          <w:bCs/>
          <w:iCs/>
          <w:sz w:val="24"/>
          <w:szCs w:val="24"/>
        </w:rPr>
        <w:t xml:space="preserve">. </w:t>
      </w:r>
    </w:p>
    <w:p w14:paraId="647EFBD2" w14:textId="3F4C6021" w:rsidR="00590832" w:rsidRDefault="00590832" w:rsidP="0097113F">
      <w:pPr>
        <w:contextualSpacing/>
        <w:jc w:val="both"/>
        <w:rPr>
          <w:bCs/>
          <w:iCs/>
          <w:sz w:val="24"/>
          <w:szCs w:val="24"/>
        </w:rPr>
      </w:pPr>
      <w:r>
        <w:rPr>
          <w:bCs/>
          <w:iCs/>
          <w:sz w:val="24"/>
          <w:szCs w:val="24"/>
        </w:rPr>
        <w:t>La conclusione allora è d’obbligo: se la fattispecie ha natura pretoria</w:t>
      </w:r>
      <w:r w:rsidR="00156244">
        <w:rPr>
          <w:rStyle w:val="Rimandonotaapidipagina"/>
          <w:bCs/>
          <w:iCs/>
          <w:sz w:val="24"/>
          <w:szCs w:val="24"/>
        </w:rPr>
        <w:footnoteReference w:id="64"/>
      </w:r>
      <w:r>
        <w:rPr>
          <w:bCs/>
          <w:iCs/>
          <w:sz w:val="24"/>
          <w:szCs w:val="24"/>
        </w:rPr>
        <w:t xml:space="preserve"> ed è compatibile con il principio di legalità (convenzionalmente inteso) allora essa sarà riservato il trattamento giuridico </w:t>
      </w:r>
      <w:r w:rsidR="00171C83">
        <w:rPr>
          <w:bCs/>
          <w:iCs/>
          <w:sz w:val="24"/>
          <w:szCs w:val="24"/>
        </w:rPr>
        <w:t>conforme alla sua natura (di legge)</w:t>
      </w:r>
      <w:r>
        <w:rPr>
          <w:bCs/>
          <w:iCs/>
          <w:sz w:val="24"/>
          <w:szCs w:val="24"/>
        </w:rPr>
        <w:t>.</w:t>
      </w:r>
    </w:p>
    <w:p w14:paraId="60567C57" w14:textId="396B2553" w:rsidR="00E40FE1" w:rsidRPr="00E93559" w:rsidRDefault="0050438E" w:rsidP="0097113F">
      <w:pPr>
        <w:contextualSpacing/>
        <w:jc w:val="both"/>
        <w:rPr>
          <w:bCs/>
          <w:iCs/>
          <w:sz w:val="24"/>
          <w:szCs w:val="24"/>
        </w:rPr>
      </w:pPr>
      <w:r>
        <w:rPr>
          <w:bCs/>
          <w:iCs/>
          <w:sz w:val="24"/>
          <w:szCs w:val="24"/>
        </w:rPr>
        <w:lastRenderedPageBreak/>
        <w:t>In definitiva, il vaglio di compatibilità con la Convenzione</w:t>
      </w:r>
      <w:r w:rsidR="00D2658D">
        <w:rPr>
          <w:bCs/>
          <w:iCs/>
          <w:sz w:val="24"/>
          <w:szCs w:val="24"/>
        </w:rPr>
        <w:t xml:space="preserve"> impone di disconoscere rilevanza penale </w:t>
      </w:r>
      <w:r>
        <w:rPr>
          <w:bCs/>
          <w:iCs/>
          <w:sz w:val="24"/>
          <w:szCs w:val="24"/>
        </w:rPr>
        <w:t>ad</w:t>
      </w:r>
      <w:r w:rsidR="00D2658D">
        <w:rPr>
          <w:bCs/>
          <w:iCs/>
          <w:sz w:val="24"/>
          <w:szCs w:val="24"/>
        </w:rPr>
        <w:t xml:space="preserve"> ogni applicazione dell’istituto che inerisca a fatti intervenuti prima della sua creazione (per mano della </w:t>
      </w:r>
      <w:r w:rsidR="00936495">
        <w:rPr>
          <w:bCs/>
          <w:iCs/>
          <w:sz w:val="24"/>
          <w:szCs w:val="24"/>
        </w:rPr>
        <w:t>«</w:t>
      </w:r>
      <w:r w:rsidR="00D2658D" w:rsidRPr="00D2658D">
        <w:rPr>
          <w:bCs/>
          <w:i/>
          <w:iCs/>
          <w:sz w:val="24"/>
          <w:szCs w:val="24"/>
        </w:rPr>
        <w:t>sentenza Demitry</w:t>
      </w:r>
      <w:r w:rsidR="00936495">
        <w:rPr>
          <w:bCs/>
          <w:iCs/>
          <w:sz w:val="24"/>
          <w:szCs w:val="24"/>
        </w:rPr>
        <w:t>»</w:t>
      </w:r>
      <w:r w:rsidR="0046145A" w:rsidRPr="000D285B">
        <w:rPr>
          <w:rStyle w:val="Rimandonotaapidipagina"/>
          <w:bCs/>
          <w:iCs/>
          <w:sz w:val="22"/>
          <w:szCs w:val="22"/>
        </w:rPr>
        <w:footnoteReference w:id="65"/>
      </w:r>
      <w:r w:rsidR="00D2658D">
        <w:rPr>
          <w:bCs/>
          <w:iCs/>
          <w:sz w:val="24"/>
          <w:szCs w:val="24"/>
        </w:rPr>
        <w:t xml:space="preserve">).  </w:t>
      </w:r>
      <w:r w:rsidR="00E93559">
        <w:rPr>
          <w:bCs/>
          <w:iCs/>
          <w:sz w:val="24"/>
          <w:szCs w:val="24"/>
        </w:rPr>
        <w:t xml:space="preserve"> </w:t>
      </w:r>
    </w:p>
    <w:p w14:paraId="008F87DB" w14:textId="1E00C29B" w:rsidR="003312F6" w:rsidRDefault="0050438E" w:rsidP="00C24B0B">
      <w:pPr>
        <w:contextualSpacing/>
        <w:jc w:val="both"/>
        <w:rPr>
          <w:sz w:val="24"/>
          <w:szCs w:val="24"/>
        </w:rPr>
      </w:pPr>
      <w:r>
        <w:rPr>
          <w:sz w:val="24"/>
          <w:szCs w:val="24"/>
        </w:rPr>
        <w:t>In tale direzione muovono i richiamati principi di irretroattività e di qualità (accessibile e p</w:t>
      </w:r>
      <w:r w:rsidR="00156244">
        <w:rPr>
          <w:sz w:val="24"/>
          <w:szCs w:val="24"/>
        </w:rPr>
        <w:t>revedibile) della legge penale.</w:t>
      </w:r>
    </w:p>
    <w:p w14:paraId="015CECFB" w14:textId="29039832" w:rsidR="00853E1E" w:rsidRDefault="00171C83" w:rsidP="00C24B0B">
      <w:pPr>
        <w:contextualSpacing/>
        <w:jc w:val="both"/>
        <w:rPr>
          <w:sz w:val="24"/>
          <w:szCs w:val="24"/>
        </w:rPr>
      </w:pPr>
      <w:r>
        <w:rPr>
          <w:sz w:val="24"/>
          <w:szCs w:val="24"/>
        </w:rPr>
        <w:t>Ai</w:t>
      </w:r>
      <w:r w:rsidR="00C816E0" w:rsidRPr="00E47830">
        <w:rPr>
          <w:sz w:val="24"/>
          <w:szCs w:val="24"/>
        </w:rPr>
        <w:t xml:space="preserve"> dubbi insinuati dalla</w:t>
      </w:r>
      <w:r w:rsidR="00760AA2" w:rsidRPr="00E47830">
        <w:rPr>
          <w:sz w:val="24"/>
          <w:szCs w:val="24"/>
        </w:rPr>
        <w:t xml:space="preserve"> Corte</w:t>
      </w:r>
      <w:r w:rsidR="00813CA5" w:rsidRPr="00E47830">
        <w:rPr>
          <w:sz w:val="24"/>
          <w:szCs w:val="24"/>
        </w:rPr>
        <w:t xml:space="preserve"> </w:t>
      </w:r>
      <w:r w:rsidR="00C47CEE">
        <w:rPr>
          <w:sz w:val="24"/>
          <w:szCs w:val="24"/>
        </w:rPr>
        <w:t>europea dei diritti dell’uomo</w:t>
      </w:r>
      <w:r w:rsidR="00813CA5" w:rsidRPr="00E47830">
        <w:rPr>
          <w:sz w:val="24"/>
          <w:szCs w:val="24"/>
        </w:rPr>
        <w:t xml:space="preserve"> </w:t>
      </w:r>
      <w:r w:rsidR="00853E1E">
        <w:rPr>
          <w:sz w:val="24"/>
          <w:szCs w:val="24"/>
        </w:rPr>
        <w:t>con riguardo al fenomeno del</w:t>
      </w:r>
      <w:r w:rsidR="00813CA5" w:rsidRPr="00E47830">
        <w:rPr>
          <w:sz w:val="24"/>
          <w:szCs w:val="24"/>
        </w:rPr>
        <w:t xml:space="preserve"> concorso esterno in associazione mafiosa</w:t>
      </w:r>
      <w:r w:rsidR="00853E1E">
        <w:rPr>
          <w:sz w:val="24"/>
          <w:szCs w:val="24"/>
        </w:rPr>
        <w:t xml:space="preserve"> la giurisprudenza di legittimità </w:t>
      </w:r>
      <w:r>
        <w:rPr>
          <w:sz w:val="24"/>
          <w:szCs w:val="24"/>
        </w:rPr>
        <w:t>ha</w:t>
      </w:r>
      <w:r w:rsidR="00853E1E">
        <w:rPr>
          <w:sz w:val="24"/>
          <w:szCs w:val="24"/>
        </w:rPr>
        <w:t xml:space="preserve"> reagito con una presa di posizione nettamente contraria.</w:t>
      </w:r>
    </w:p>
    <w:p w14:paraId="51EDD3CD" w14:textId="64E2101D" w:rsidR="00C816E0" w:rsidRPr="00E47830" w:rsidRDefault="00853E1E" w:rsidP="00C24B0B">
      <w:pPr>
        <w:contextualSpacing/>
        <w:jc w:val="both"/>
        <w:rPr>
          <w:sz w:val="24"/>
          <w:szCs w:val="24"/>
        </w:rPr>
      </w:pPr>
      <w:r>
        <w:rPr>
          <w:sz w:val="24"/>
          <w:szCs w:val="24"/>
        </w:rPr>
        <w:t>Secondo l’orientamento della Corte di Cassazione, la fattispecie concorsuale</w:t>
      </w:r>
      <w:r w:rsidR="00813CA5" w:rsidRPr="00E47830">
        <w:rPr>
          <w:sz w:val="24"/>
          <w:szCs w:val="24"/>
        </w:rPr>
        <w:t xml:space="preserve"> </w:t>
      </w:r>
      <w:r>
        <w:rPr>
          <w:sz w:val="24"/>
          <w:szCs w:val="24"/>
        </w:rPr>
        <w:t>rinviene</w:t>
      </w:r>
      <w:r w:rsidR="00813CA5" w:rsidRPr="00E47830">
        <w:rPr>
          <w:sz w:val="24"/>
          <w:szCs w:val="24"/>
        </w:rPr>
        <w:t xml:space="preserve"> </w:t>
      </w:r>
      <w:r w:rsidR="00C816E0" w:rsidRPr="00E47830">
        <w:rPr>
          <w:sz w:val="24"/>
          <w:szCs w:val="24"/>
        </w:rPr>
        <w:t xml:space="preserve">un diretto ed esplicito </w:t>
      </w:r>
      <w:r w:rsidR="00813CA5" w:rsidRPr="00E47830">
        <w:rPr>
          <w:sz w:val="24"/>
          <w:szCs w:val="24"/>
        </w:rPr>
        <w:t xml:space="preserve">fondamento nella legge e non nella </w:t>
      </w:r>
      <w:r w:rsidR="00054973" w:rsidRPr="00E47830">
        <w:rPr>
          <w:sz w:val="24"/>
          <w:szCs w:val="24"/>
        </w:rPr>
        <w:t>giurisprudenza</w:t>
      </w:r>
      <w:r w:rsidR="00813CA5" w:rsidRPr="00E47830">
        <w:rPr>
          <w:sz w:val="24"/>
          <w:szCs w:val="24"/>
        </w:rPr>
        <w:t>.</w:t>
      </w:r>
      <w:r w:rsidR="00054973" w:rsidRPr="00E47830">
        <w:rPr>
          <w:sz w:val="24"/>
          <w:szCs w:val="24"/>
        </w:rPr>
        <w:t xml:space="preserve"> </w:t>
      </w:r>
    </w:p>
    <w:p w14:paraId="2BE3532A" w14:textId="7246E8DE" w:rsidR="00E47830" w:rsidRDefault="00C816E0" w:rsidP="00C24B0B">
      <w:pPr>
        <w:contextualSpacing/>
        <w:jc w:val="both"/>
        <w:rPr>
          <w:sz w:val="24"/>
          <w:szCs w:val="24"/>
        </w:rPr>
      </w:pPr>
      <w:r w:rsidRPr="00E47830">
        <w:rPr>
          <w:sz w:val="24"/>
          <w:szCs w:val="24"/>
        </w:rPr>
        <w:t>I</w:t>
      </w:r>
      <w:r w:rsidR="00D35882">
        <w:rPr>
          <w:sz w:val="24"/>
          <w:szCs w:val="24"/>
        </w:rPr>
        <w:t xml:space="preserve">n termini generali si è sottolineato </w:t>
      </w:r>
      <w:r w:rsidR="00853E1E">
        <w:rPr>
          <w:sz w:val="24"/>
          <w:szCs w:val="24"/>
        </w:rPr>
        <w:t>come il</w:t>
      </w:r>
      <w:r w:rsidRPr="00E47830">
        <w:rPr>
          <w:sz w:val="24"/>
          <w:szCs w:val="24"/>
        </w:rPr>
        <w:t xml:space="preserve"> riconoscimento della paternità giurisprudenziale contravve</w:t>
      </w:r>
      <w:r w:rsidR="00853E1E">
        <w:rPr>
          <w:sz w:val="24"/>
          <w:szCs w:val="24"/>
        </w:rPr>
        <w:t>nga</w:t>
      </w:r>
      <w:r w:rsidRPr="00E47830">
        <w:rPr>
          <w:sz w:val="24"/>
          <w:szCs w:val="24"/>
        </w:rPr>
        <w:t xml:space="preserve"> all’inossidabile canone della legalità</w:t>
      </w:r>
      <w:r w:rsidR="00D35882">
        <w:rPr>
          <w:sz w:val="24"/>
          <w:szCs w:val="24"/>
        </w:rPr>
        <w:t>, così come tradizionalmente accolta dal sistema interno</w:t>
      </w:r>
      <w:r w:rsidR="00D35882" w:rsidRPr="003312F6">
        <w:rPr>
          <w:rStyle w:val="Rimandonotaapidipagina"/>
          <w:sz w:val="22"/>
          <w:szCs w:val="22"/>
        </w:rPr>
        <w:footnoteReference w:id="66"/>
      </w:r>
      <w:r w:rsidRPr="003312F6">
        <w:rPr>
          <w:sz w:val="22"/>
          <w:szCs w:val="22"/>
        </w:rPr>
        <w:t>.</w:t>
      </w:r>
      <w:r w:rsidRPr="00E47830">
        <w:rPr>
          <w:sz w:val="24"/>
          <w:szCs w:val="24"/>
        </w:rPr>
        <w:t xml:space="preserve"> </w:t>
      </w:r>
    </w:p>
    <w:p w14:paraId="4AFA371E" w14:textId="403C35C2" w:rsidR="00E47830" w:rsidRDefault="00853E1E" w:rsidP="00C24B0B">
      <w:pPr>
        <w:contextualSpacing/>
        <w:jc w:val="both"/>
        <w:rPr>
          <w:sz w:val="24"/>
          <w:szCs w:val="24"/>
        </w:rPr>
      </w:pPr>
      <w:r>
        <w:rPr>
          <w:sz w:val="24"/>
          <w:szCs w:val="24"/>
        </w:rPr>
        <w:t>In effetti, il principio di legalità regge la previsione e la legittima esplicazione</w:t>
      </w:r>
      <w:r w:rsidR="00C816E0" w:rsidRPr="00E47830">
        <w:rPr>
          <w:sz w:val="24"/>
          <w:szCs w:val="24"/>
        </w:rPr>
        <w:t xml:space="preserve"> </w:t>
      </w:r>
      <w:r>
        <w:rPr>
          <w:sz w:val="24"/>
          <w:szCs w:val="24"/>
        </w:rPr>
        <w:t>della potestà punitiva.</w:t>
      </w:r>
      <w:r w:rsidR="00C816E0" w:rsidRPr="00E47830">
        <w:rPr>
          <w:sz w:val="24"/>
          <w:szCs w:val="24"/>
        </w:rPr>
        <w:t xml:space="preserve"> </w:t>
      </w:r>
    </w:p>
    <w:p w14:paraId="7C2150F6" w14:textId="713EA253" w:rsidR="00E47830" w:rsidRDefault="00853E1E" w:rsidP="00C24B0B">
      <w:pPr>
        <w:contextualSpacing/>
        <w:jc w:val="both"/>
        <w:rPr>
          <w:sz w:val="24"/>
          <w:szCs w:val="24"/>
        </w:rPr>
      </w:pPr>
      <w:r>
        <w:rPr>
          <w:sz w:val="24"/>
          <w:szCs w:val="24"/>
        </w:rPr>
        <w:t>Ed invero, il</w:t>
      </w:r>
      <w:r w:rsidR="00C816E0" w:rsidRPr="00E47830">
        <w:rPr>
          <w:sz w:val="24"/>
          <w:szCs w:val="24"/>
        </w:rPr>
        <w:t xml:space="preserve"> diritto penale istituisce un sistema effettuale complesso. </w:t>
      </w:r>
    </w:p>
    <w:p w14:paraId="252BF01E" w14:textId="5DDDAE37" w:rsidR="00C816E0" w:rsidRPr="00E47830" w:rsidRDefault="00AE060C" w:rsidP="00C24B0B">
      <w:pPr>
        <w:contextualSpacing/>
        <w:jc w:val="both"/>
        <w:rPr>
          <w:sz w:val="24"/>
          <w:szCs w:val="24"/>
        </w:rPr>
      </w:pPr>
      <w:r w:rsidRPr="00E47830">
        <w:rPr>
          <w:sz w:val="24"/>
          <w:szCs w:val="24"/>
        </w:rPr>
        <w:t>Coglierne i</w:t>
      </w:r>
      <w:r w:rsidR="00C816E0" w:rsidRPr="00E47830">
        <w:rPr>
          <w:sz w:val="24"/>
          <w:szCs w:val="24"/>
        </w:rPr>
        <w:t xml:space="preserve"> risvolti applicativi s</w:t>
      </w:r>
      <w:r w:rsidRPr="00E47830">
        <w:rPr>
          <w:sz w:val="24"/>
          <w:szCs w:val="24"/>
        </w:rPr>
        <w:t xml:space="preserve">petta ad un </w:t>
      </w:r>
      <w:r w:rsidR="00C816E0" w:rsidRPr="00E47830">
        <w:rPr>
          <w:sz w:val="24"/>
          <w:szCs w:val="24"/>
        </w:rPr>
        <w:t>interprete</w:t>
      </w:r>
      <w:r w:rsidRPr="00E47830">
        <w:rPr>
          <w:sz w:val="24"/>
          <w:szCs w:val="24"/>
        </w:rPr>
        <w:t xml:space="preserve"> </w:t>
      </w:r>
      <w:r w:rsidR="00C816E0" w:rsidRPr="00E47830">
        <w:rPr>
          <w:sz w:val="24"/>
          <w:szCs w:val="24"/>
        </w:rPr>
        <w:t xml:space="preserve">chiamato </w:t>
      </w:r>
      <w:r w:rsidRPr="00E47830">
        <w:rPr>
          <w:sz w:val="24"/>
          <w:szCs w:val="24"/>
        </w:rPr>
        <w:t>muoversi nel quadro de</w:t>
      </w:r>
      <w:r w:rsidR="00C816E0" w:rsidRPr="00E47830">
        <w:rPr>
          <w:sz w:val="24"/>
          <w:szCs w:val="24"/>
        </w:rPr>
        <w:t>i principi logici e valoriali che in</w:t>
      </w:r>
      <w:r w:rsidR="006759E8">
        <w:rPr>
          <w:sz w:val="24"/>
          <w:szCs w:val="24"/>
        </w:rPr>
        <w:t>formano</w:t>
      </w:r>
      <w:r w:rsidR="00C816E0" w:rsidRPr="00E47830">
        <w:rPr>
          <w:sz w:val="24"/>
          <w:szCs w:val="24"/>
        </w:rPr>
        <w:t xml:space="preserve"> l’intero ordinamento.</w:t>
      </w:r>
    </w:p>
    <w:p w14:paraId="355CEAF3" w14:textId="77777777" w:rsidR="00853E1E" w:rsidRDefault="00853E1E" w:rsidP="00C24B0B">
      <w:pPr>
        <w:contextualSpacing/>
        <w:jc w:val="both"/>
        <w:rPr>
          <w:sz w:val="24"/>
          <w:szCs w:val="24"/>
        </w:rPr>
      </w:pPr>
      <w:r>
        <w:rPr>
          <w:sz w:val="24"/>
          <w:szCs w:val="24"/>
        </w:rPr>
        <w:t>La corretta interpretazione del</w:t>
      </w:r>
      <w:r w:rsidR="00E540F8">
        <w:rPr>
          <w:sz w:val="24"/>
          <w:szCs w:val="24"/>
        </w:rPr>
        <w:t xml:space="preserve"> combinato disposto</w:t>
      </w:r>
      <w:r w:rsidR="00AE060C" w:rsidRPr="00E47830">
        <w:rPr>
          <w:sz w:val="24"/>
          <w:szCs w:val="24"/>
        </w:rPr>
        <w:t xml:space="preserve"> tra l’art. </w:t>
      </w:r>
      <w:r w:rsidR="00AE060C" w:rsidRPr="00E47830">
        <w:rPr>
          <w:i/>
          <w:sz w:val="24"/>
          <w:szCs w:val="24"/>
        </w:rPr>
        <w:t>110</w:t>
      </w:r>
      <w:r w:rsidR="00AE060C" w:rsidRPr="00E47830">
        <w:rPr>
          <w:sz w:val="24"/>
          <w:szCs w:val="24"/>
        </w:rPr>
        <w:t xml:space="preserve"> c.p. e l’art. </w:t>
      </w:r>
      <w:r w:rsidR="00AE060C" w:rsidRPr="00E47830">
        <w:rPr>
          <w:i/>
          <w:sz w:val="24"/>
          <w:szCs w:val="24"/>
        </w:rPr>
        <w:t>416-bis</w:t>
      </w:r>
      <w:r w:rsidR="00AE060C" w:rsidRPr="00E47830">
        <w:rPr>
          <w:sz w:val="24"/>
          <w:szCs w:val="24"/>
        </w:rPr>
        <w:t xml:space="preserve"> c.p. </w:t>
      </w:r>
      <w:r>
        <w:rPr>
          <w:sz w:val="24"/>
          <w:szCs w:val="24"/>
        </w:rPr>
        <w:t>induce a ritenere ammissibile</w:t>
      </w:r>
      <w:r w:rsidR="00AE060C" w:rsidRPr="00E47830">
        <w:rPr>
          <w:sz w:val="24"/>
          <w:szCs w:val="24"/>
        </w:rPr>
        <w:t xml:space="preserve"> </w:t>
      </w:r>
      <w:r>
        <w:rPr>
          <w:sz w:val="24"/>
          <w:szCs w:val="24"/>
        </w:rPr>
        <w:t xml:space="preserve">la figura delittuosa. </w:t>
      </w:r>
    </w:p>
    <w:p w14:paraId="6C93F440" w14:textId="70BB0E34" w:rsidR="009A30BB" w:rsidRDefault="00853E1E" w:rsidP="00C24B0B">
      <w:pPr>
        <w:contextualSpacing/>
        <w:jc w:val="both"/>
        <w:rPr>
          <w:sz w:val="24"/>
          <w:szCs w:val="24"/>
        </w:rPr>
      </w:pPr>
      <w:r>
        <w:rPr>
          <w:sz w:val="24"/>
          <w:szCs w:val="24"/>
        </w:rPr>
        <w:t>In termini generali</w:t>
      </w:r>
      <w:r w:rsidR="009A30BB">
        <w:rPr>
          <w:sz w:val="24"/>
          <w:szCs w:val="24"/>
        </w:rPr>
        <w:t xml:space="preserve">, la veste legale del concorso esterno in associazione mafiosa non andrebbe ricercata </w:t>
      </w:r>
      <w:r w:rsidR="006C4023">
        <w:rPr>
          <w:sz w:val="24"/>
          <w:szCs w:val="24"/>
        </w:rPr>
        <w:t xml:space="preserve">in una pretesa </w:t>
      </w:r>
      <w:r w:rsidR="009A30BB">
        <w:rPr>
          <w:sz w:val="24"/>
          <w:szCs w:val="24"/>
        </w:rPr>
        <w:t xml:space="preserve">potestà creativa del giudice. </w:t>
      </w:r>
    </w:p>
    <w:p w14:paraId="23B06598" w14:textId="73294160" w:rsidR="006C4023" w:rsidRDefault="009A30BB" w:rsidP="00C24B0B">
      <w:pPr>
        <w:contextualSpacing/>
        <w:jc w:val="both"/>
        <w:rPr>
          <w:sz w:val="24"/>
          <w:szCs w:val="24"/>
        </w:rPr>
      </w:pPr>
      <w:r>
        <w:rPr>
          <w:sz w:val="24"/>
          <w:szCs w:val="24"/>
        </w:rPr>
        <w:t>Tutt’al più</w:t>
      </w:r>
      <w:r w:rsidR="003312F6">
        <w:rPr>
          <w:sz w:val="24"/>
          <w:szCs w:val="24"/>
        </w:rPr>
        <w:t>, secondo la Suprema Corte,</w:t>
      </w:r>
      <w:r>
        <w:rPr>
          <w:sz w:val="24"/>
          <w:szCs w:val="24"/>
        </w:rPr>
        <w:t xml:space="preserve"> la legittimità della fattispecie è imman</w:t>
      </w:r>
      <w:r w:rsidR="006C4023">
        <w:rPr>
          <w:sz w:val="24"/>
          <w:szCs w:val="24"/>
        </w:rPr>
        <w:t>ente ad un sistema che</w:t>
      </w:r>
      <w:r w:rsidR="003312F6">
        <w:rPr>
          <w:sz w:val="24"/>
          <w:szCs w:val="24"/>
        </w:rPr>
        <w:t>,</w:t>
      </w:r>
      <w:r w:rsidR="006C4023">
        <w:rPr>
          <w:sz w:val="24"/>
          <w:szCs w:val="24"/>
        </w:rPr>
        <w:t xml:space="preserve"> </w:t>
      </w:r>
      <w:r w:rsidR="003312F6">
        <w:rPr>
          <w:sz w:val="24"/>
          <w:szCs w:val="24"/>
        </w:rPr>
        <w:t>nel momento stesso in cui pone</w:t>
      </w:r>
      <w:r w:rsidR="006C4023">
        <w:rPr>
          <w:sz w:val="24"/>
          <w:szCs w:val="24"/>
        </w:rPr>
        <w:t xml:space="preserve"> la legge</w:t>
      </w:r>
      <w:r w:rsidR="003312F6">
        <w:rPr>
          <w:sz w:val="24"/>
          <w:szCs w:val="24"/>
        </w:rPr>
        <w:t>,</w:t>
      </w:r>
      <w:r w:rsidR="006C4023">
        <w:rPr>
          <w:sz w:val="24"/>
          <w:szCs w:val="24"/>
        </w:rPr>
        <w:t xml:space="preserve"> ne ammette la (inevitabile) interpretazione</w:t>
      </w:r>
      <w:r w:rsidR="006C4023">
        <w:rPr>
          <w:rStyle w:val="Rimandonotaapidipagina"/>
          <w:sz w:val="24"/>
          <w:szCs w:val="24"/>
        </w:rPr>
        <w:footnoteReference w:id="67"/>
      </w:r>
      <w:r w:rsidR="006C4023">
        <w:rPr>
          <w:sz w:val="24"/>
          <w:szCs w:val="24"/>
        </w:rPr>
        <w:t>.</w:t>
      </w:r>
    </w:p>
    <w:p w14:paraId="1C1C5C2B" w14:textId="6132BB90" w:rsidR="009C1AE2" w:rsidRDefault="009C1AE2" w:rsidP="00C24B0B">
      <w:pPr>
        <w:contextualSpacing/>
        <w:jc w:val="both"/>
        <w:rPr>
          <w:sz w:val="24"/>
          <w:szCs w:val="24"/>
        </w:rPr>
      </w:pPr>
      <w:r>
        <w:rPr>
          <w:sz w:val="24"/>
          <w:szCs w:val="24"/>
        </w:rPr>
        <w:t>A ben riflettere</w:t>
      </w:r>
      <w:r w:rsidR="00AE060C" w:rsidRPr="00E47830">
        <w:rPr>
          <w:sz w:val="24"/>
          <w:szCs w:val="24"/>
        </w:rPr>
        <w:t xml:space="preserve">, </w:t>
      </w:r>
      <w:r w:rsidR="003312F6">
        <w:rPr>
          <w:sz w:val="24"/>
          <w:szCs w:val="24"/>
        </w:rPr>
        <w:t xml:space="preserve">dunque, sarebbe </w:t>
      </w:r>
      <w:r>
        <w:rPr>
          <w:sz w:val="24"/>
          <w:szCs w:val="24"/>
        </w:rPr>
        <w:t>la stessa conformazione</w:t>
      </w:r>
      <w:r w:rsidR="00AE060C" w:rsidRPr="00E47830">
        <w:rPr>
          <w:sz w:val="24"/>
          <w:szCs w:val="24"/>
        </w:rPr>
        <w:t xml:space="preserve"> dell’istituto </w:t>
      </w:r>
      <w:r w:rsidR="00262DEB" w:rsidRPr="00E47830">
        <w:rPr>
          <w:sz w:val="24"/>
          <w:szCs w:val="24"/>
        </w:rPr>
        <w:t>del concorso eventuale</w:t>
      </w:r>
      <w:r>
        <w:rPr>
          <w:sz w:val="24"/>
          <w:szCs w:val="24"/>
        </w:rPr>
        <w:t xml:space="preserve"> a lasciare un simile spazio interpretativo. </w:t>
      </w:r>
    </w:p>
    <w:p w14:paraId="3301CEA9" w14:textId="2C8F9A3A" w:rsidR="00262DEB" w:rsidRPr="00E47830" w:rsidRDefault="009C1AE2" w:rsidP="00C24B0B">
      <w:pPr>
        <w:contextualSpacing/>
        <w:jc w:val="both"/>
        <w:rPr>
          <w:sz w:val="24"/>
          <w:szCs w:val="24"/>
        </w:rPr>
      </w:pPr>
      <w:r>
        <w:rPr>
          <w:sz w:val="24"/>
          <w:szCs w:val="24"/>
        </w:rPr>
        <w:t xml:space="preserve">Gli artt. 110 e seg. c.p., non contemplano </w:t>
      </w:r>
      <w:r w:rsidR="00262DEB" w:rsidRPr="00E47830">
        <w:rPr>
          <w:sz w:val="24"/>
          <w:szCs w:val="24"/>
        </w:rPr>
        <w:t>limiti</w:t>
      </w:r>
      <w:r>
        <w:rPr>
          <w:sz w:val="24"/>
          <w:szCs w:val="24"/>
        </w:rPr>
        <w:t xml:space="preserve"> al</w:t>
      </w:r>
      <w:r w:rsidR="00AE060C" w:rsidRPr="00E47830">
        <w:rPr>
          <w:sz w:val="24"/>
          <w:szCs w:val="24"/>
        </w:rPr>
        <w:t xml:space="preserve"> raggio d’azione </w:t>
      </w:r>
      <w:r>
        <w:rPr>
          <w:sz w:val="24"/>
          <w:szCs w:val="24"/>
        </w:rPr>
        <w:t xml:space="preserve">dell’istituto </w:t>
      </w:r>
      <w:r w:rsidR="00B75D55">
        <w:rPr>
          <w:sz w:val="24"/>
          <w:szCs w:val="24"/>
        </w:rPr>
        <w:t>rispetto ai reati a concorso necessario.</w:t>
      </w:r>
    </w:p>
    <w:p w14:paraId="5164096E" w14:textId="77777777" w:rsidR="003312F6" w:rsidRDefault="003312F6" w:rsidP="00C24B0B">
      <w:pPr>
        <w:contextualSpacing/>
        <w:jc w:val="both"/>
        <w:rPr>
          <w:sz w:val="24"/>
          <w:szCs w:val="24"/>
        </w:rPr>
      </w:pPr>
      <w:r>
        <w:rPr>
          <w:sz w:val="24"/>
          <w:szCs w:val="24"/>
        </w:rPr>
        <w:t xml:space="preserve">La giurisprudenza di legittimità, tuttavia, non ha soprasseduto surrettiziamente sulla dimensione giurisprudenziale della fattispecie. </w:t>
      </w:r>
    </w:p>
    <w:p w14:paraId="6762003C" w14:textId="1E44DE8A" w:rsidR="00B75D55" w:rsidRDefault="003312F6" w:rsidP="00C24B0B">
      <w:pPr>
        <w:contextualSpacing/>
        <w:jc w:val="both"/>
        <w:rPr>
          <w:sz w:val="24"/>
          <w:szCs w:val="24"/>
        </w:rPr>
      </w:pPr>
      <w:r>
        <w:rPr>
          <w:sz w:val="24"/>
          <w:szCs w:val="24"/>
        </w:rPr>
        <w:t>In tale prospettiva, essa ha riconosciuto il ruolo nevralgico degli sforzi ermeneutici intesi a conferire</w:t>
      </w:r>
      <w:r w:rsidR="00B75D55">
        <w:rPr>
          <w:sz w:val="24"/>
          <w:szCs w:val="24"/>
        </w:rPr>
        <w:t xml:space="preserve"> linfa vitale</w:t>
      </w:r>
      <w:r w:rsidR="00262DEB" w:rsidRPr="00E47830">
        <w:rPr>
          <w:sz w:val="24"/>
          <w:szCs w:val="24"/>
        </w:rPr>
        <w:t xml:space="preserve"> </w:t>
      </w:r>
      <w:r w:rsidR="00B75D55">
        <w:rPr>
          <w:sz w:val="24"/>
          <w:szCs w:val="24"/>
        </w:rPr>
        <w:t>ad</w:t>
      </w:r>
      <w:r w:rsidR="00E87C4D" w:rsidRPr="00E47830">
        <w:rPr>
          <w:sz w:val="24"/>
          <w:szCs w:val="24"/>
        </w:rPr>
        <w:t xml:space="preserve"> </w:t>
      </w:r>
      <w:r w:rsidR="00262DEB" w:rsidRPr="00E47830">
        <w:rPr>
          <w:sz w:val="24"/>
          <w:szCs w:val="24"/>
        </w:rPr>
        <w:t>un</w:t>
      </w:r>
      <w:r w:rsidR="00B75D55">
        <w:rPr>
          <w:sz w:val="24"/>
          <w:szCs w:val="24"/>
        </w:rPr>
        <w:t>a fattispecie</w:t>
      </w:r>
      <w:r>
        <w:rPr>
          <w:sz w:val="24"/>
          <w:szCs w:val="24"/>
        </w:rPr>
        <w:t xml:space="preserve"> comunque</w:t>
      </w:r>
      <w:r w:rsidR="00E87C4D" w:rsidRPr="00E47830">
        <w:rPr>
          <w:sz w:val="24"/>
          <w:szCs w:val="24"/>
        </w:rPr>
        <w:t xml:space="preserve"> </w:t>
      </w:r>
      <w:r w:rsidR="009C1AE2">
        <w:rPr>
          <w:sz w:val="24"/>
          <w:szCs w:val="24"/>
        </w:rPr>
        <w:t>connaturata</w:t>
      </w:r>
      <w:r w:rsidR="00262DEB" w:rsidRPr="00E47830">
        <w:rPr>
          <w:sz w:val="24"/>
          <w:szCs w:val="24"/>
        </w:rPr>
        <w:t xml:space="preserve"> </w:t>
      </w:r>
      <w:r w:rsidR="00B75D55">
        <w:rPr>
          <w:sz w:val="24"/>
          <w:szCs w:val="24"/>
        </w:rPr>
        <w:t>nel</w:t>
      </w:r>
      <w:r w:rsidR="00262DEB" w:rsidRPr="00E47830">
        <w:rPr>
          <w:sz w:val="24"/>
          <w:szCs w:val="24"/>
        </w:rPr>
        <w:t xml:space="preserve"> sistema</w:t>
      </w:r>
      <w:r w:rsidR="00E540F8" w:rsidRPr="003312F6">
        <w:rPr>
          <w:rStyle w:val="Rimandonotaapidipagina"/>
          <w:sz w:val="22"/>
          <w:szCs w:val="22"/>
        </w:rPr>
        <w:footnoteReference w:id="68"/>
      </w:r>
      <w:r w:rsidR="00262DEB" w:rsidRPr="00E47830">
        <w:rPr>
          <w:sz w:val="24"/>
          <w:szCs w:val="24"/>
        </w:rPr>
        <w:t xml:space="preserve">. </w:t>
      </w:r>
    </w:p>
    <w:p w14:paraId="149DDC9D" w14:textId="084A34F1" w:rsidR="0061228B" w:rsidRDefault="00262DEB" w:rsidP="00C24B0B">
      <w:pPr>
        <w:contextualSpacing/>
        <w:jc w:val="both"/>
        <w:rPr>
          <w:sz w:val="24"/>
          <w:szCs w:val="24"/>
        </w:rPr>
      </w:pPr>
      <w:r w:rsidRPr="00E47830">
        <w:rPr>
          <w:sz w:val="24"/>
          <w:szCs w:val="24"/>
        </w:rPr>
        <w:lastRenderedPageBreak/>
        <w:t>In</w:t>
      </w:r>
      <w:r w:rsidR="00B75D55">
        <w:rPr>
          <w:sz w:val="24"/>
          <w:szCs w:val="24"/>
        </w:rPr>
        <w:t xml:space="preserve"> particolare, </w:t>
      </w:r>
      <w:r w:rsidR="00853A2D">
        <w:rPr>
          <w:sz w:val="24"/>
          <w:szCs w:val="24"/>
        </w:rPr>
        <w:t xml:space="preserve">ad onta dell’orientamento manifestato </w:t>
      </w:r>
      <w:r w:rsidR="00C47CEE">
        <w:rPr>
          <w:sz w:val="24"/>
          <w:szCs w:val="24"/>
        </w:rPr>
        <w:t>dalla Corte e</w:t>
      </w:r>
      <w:r w:rsidR="00853A2D">
        <w:rPr>
          <w:sz w:val="24"/>
          <w:szCs w:val="24"/>
        </w:rPr>
        <w:t xml:space="preserve">uropea dei diritti dell’uomo, </w:t>
      </w:r>
      <w:r w:rsidRPr="00E47830">
        <w:rPr>
          <w:sz w:val="24"/>
          <w:szCs w:val="24"/>
        </w:rPr>
        <w:t xml:space="preserve">la </w:t>
      </w:r>
      <w:r w:rsidR="0061228B">
        <w:rPr>
          <w:sz w:val="24"/>
          <w:szCs w:val="24"/>
        </w:rPr>
        <w:t>Corte di Cassazione evidenzia come la giurisprudenza abbia</w:t>
      </w:r>
      <w:r w:rsidRPr="00E47830">
        <w:rPr>
          <w:sz w:val="24"/>
          <w:szCs w:val="24"/>
        </w:rPr>
        <w:t xml:space="preserve"> gradualmente scolpito e dato forma </w:t>
      </w:r>
      <w:r w:rsidR="00B75D55">
        <w:rPr>
          <w:sz w:val="24"/>
          <w:szCs w:val="24"/>
        </w:rPr>
        <w:t>a</w:t>
      </w:r>
      <w:r w:rsidR="00911DAE">
        <w:rPr>
          <w:sz w:val="24"/>
          <w:szCs w:val="24"/>
        </w:rPr>
        <w:t>d una figura giuridica preesistente, frutto</w:t>
      </w:r>
      <w:r w:rsidR="00C47CEE">
        <w:rPr>
          <w:sz w:val="24"/>
          <w:szCs w:val="24"/>
        </w:rPr>
        <w:t xml:space="preserve"> </w:t>
      </w:r>
      <w:r w:rsidR="00B75D55">
        <w:rPr>
          <w:sz w:val="24"/>
          <w:szCs w:val="24"/>
        </w:rPr>
        <w:t xml:space="preserve">della </w:t>
      </w:r>
      <w:r w:rsidR="00C47CEE">
        <w:rPr>
          <w:sz w:val="24"/>
          <w:szCs w:val="24"/>
        </w:rPr>
        <w:t xml:space="preserve">semplice </w:t>
      </w:r>
      <w:r w:rsidRPr="00E47830">
        <w:rPr>
          <w:sz w:val="24"/>
          <w:szCs w:val="24"/>
        </w:rPr>
        <w:t>applica</w:t>
      </w:r>
      <w:r w:rsidR="0061228B">
        <w:rPr>
          <w:sz w:val="24"/>
          <w:szCs w:val="24"/>
        </w:rPr>
        <w:t>zione</w:t>
      </w:r>
      <w:r w:rsidR="00B75D55">
        <w:rPr>
          <w:sz w:val="24"/>
          <w:szCs w:val="24"/>
        </w:rPr>
        <w:t xml:space="preserve"> </w:t>
      </w:r>
      <w:r w:rsidR="00853A2D">
        <w:rPr>
          <w:sz w:val="24"/>
          <w:szCs w:val="24"/>
        </w:rPr>
        <w:t>de</w:t>
      </w:r>
      <w:r w:rsidR="00B75D55">
        <w:rPr>
          <w:sz w:val="24"/>
          <w:szCs w:val="24"/>
        </w:rPr>
        <w:t>i principi</w:t>
      </w:r>
      <w:r w:rsidR="0061228B">
        <w:rPr>
          <w:sz w:val="24"/>
          <w:szCs w:val="24"/>
        </w:rPr>
        <w:t xml:space="preserve"> del diritto penale. </w:t>
      </w:r>
    </w:p>
    <w:p w14:paraId="369D8CD1" w14:textId="77777777" w:rsidR="0061228B" w:rsidRDefault="0061228B" w:rsidP="00C24B0B">
      <w:pPr>
        <w:contextualSpacing/>
        <w:jc w:val="both"/>
        <w:rPr>
          <w:sz w:val="24"/>
          <w:szCs w:val="24"/>
        </w:rPr>
      </w:pPr>
      <w:r>
        <w:rPr>
          <w:sz w:val="24"/>
          <w:szCs w:val="24"/>
        </w:rPr>
        <w:t>Dunque, non si tratterebbe di una</w:t>
      </w:r>
      <w:r w:rsidR="00853A2D">
        <w:rPr>
          <w:sz w:val="24"/>
          <w:szCs w:val="24"/>
        </w:rPr>
        <w:t xml:space="preserve"> operazione </w:t>
      </w:r>
      <w:proofErr w:type="spellStart"/>
      <w:r>
        <w:rPr>
          <w:sz w:val="24"/>
          <w:szCs w:val="24"/>
        </w:rPr>
        <w:t>nomopoietica</w:t>
      </w:r>
      <w:proofErr w:type="spellEnd"/>
      <w:r>
        <w:rPr>
          <w:sz w:val="24"/>
          <w:szCs w:val="24"/>
        </w:rPr>
        <w:t xml:space="preserve"> ma di mera attività </w:t>
      </w:r>
      <w:r w:rsidR="00853A2D">
        <w:rPr>
          <w:sz w:val="24"/>
          <w:szCs w:val="24"/>
        </w:rPr>
        <w:t>ermeneutica</w:t>
      </w:r>
      <w:r>
        <w:rPr>
          <w:sz w:val="24"/>
          <w:szCs w:val="24"/>
        </w:rPr>
        <w:t xml:space="preserve">: lo sforzo interpretativo della giurisprudenza </w:t>
      </w:r>
      <w:r w:rsidR="00853A2D">
        <w:rPr>
          <w:sz w:val="24"/>
          <w:szCs w:val="24"/>
        </w:rPr>
        <w:t>ha avuto il merito di</w:t>
      </w:r>
      <w:r w:rsidR="00262DEB" w:rsidRPr="00E47830">
        <w:rPr>
          <w:sz w:val="24"/>
          <w:szCs w:val="24"/>
        </w:rPr>
        <w:t xml:space="preserve"> </w:t>
      </w:r>
      <w:r w:rsidR="00853A2D">
        <w:rPr>
          <w:sz w:val="24"/>
          <w:szCs w:val="24"/>
        </w:rPr>
        <w:t>far</w:t>
      </w:r>
      <w:r w:rsidR="00262DEB" w:rsidRPr="00E47830">
        <w:rPr>
          <w:sz w:val="24"/>
          <w:szCs w:val="24"/>
        </w:rPr>
        <w:t xml:space="preserve"> gradualmente affiorare</w:t>
      </w:r>
      <w:r w:rsidR="00E87C4D" w:rsidRPr="00E47830">
        <w:rPr>
          <w:sz w:val="24"/>
          <w:szCs w:val="24"/>
        </w:rPr>
        <w:t xml:space="preserve"> </w:t>
      </w:r>
      <w:r w:rsidR="00911DAE">
        <w:rPr>
          <w:sz w:val="24"/>
          <w:szCs w:val="24"/>
        </w:rPr>
        <w:t>il</w:t>
      </w:r>
      <w:r w:rsidR="00A5344D">
        <w:rPr>
          <w:sz w:val="24"/>
          <w:szCs w:val="24"/>
        </w:rPr>
        <w:t xml:space="preserve"> fenomeno</w:t>
      </w:r>
      <w:r w:rsidR="00911DAE">
        <w:rPr>
          <w:sz w:val="24"/>
          <w:szCs w:val="24"/>
        </w:rPr>
        <w:t xml:space="preserve"> del concorso esterno in associazione mafiosa</w:t>
      </w:r>
      <w:r>
        <w:rPr>
          <w:sz w:val="24"/>
          <w:szCs w:val="24"/>
        </w:rPr>
        <w:t>.</w:t>
      </w:r>
    </w:p>
    <w:p w14:paraId="499E67BE" w14:textId="56494AF3" w:rsidR="005D2579" w:rsidRDefault="0061228B" w:rsidP="00C24B0B">
      <w:pPr>
        <w:contextualSpacing/>
        <w:jc w:val="both"/>
        <w:rPr>
          <w:sz w:val="24"/>
          <w:szCs w:val="24"/>
        </w:rPr>
      </w:pPr>
      <w:r>
        <w:rPr>
          <w:sz w:val="24"/>
          <w:szCs w:val="24"/>
        </w:rPr>
        <w:t>In tal modo esso ha consentito di elevare tale fenomeno</w:t>
      </w:r>
      <w:r w:rsidR="00E87C4D" w:rsidRPr="00E47830">
        <w:rPr>
          <w:sz w:val="24"/>
          <w:szCs w:val="24"/>
        </w:rPr>
        <w:t xml:space="preserve"> a fattispecie </w:t>
      </w:r>
      <w:r w:rsidR="00A5344D">
        <w:rPr>
          <w:sz w:val="24"/>
          <w:szCs w:val="24"/>
        </w:rPr>
        <w:t xml:space="preserve">“normativa” </w:t>
      </w:r>
      <w:r w:rsidR="002633D5">
        <w:rPr>
          <w:sz w:val="24"/>
          <w:szCs w:val="24"/>
        </w:rPr>
        <w:t>incardinata su requisiti dotati</w:t>
      </w:r>
      <w:r w:rsidR="00771936">
        <w:rPr>
          <w:sz w:val="24"/>
          <w:szCs w:val="24"/>
        </w:rPr>
        <w:t xml:space="preserve"> del crisma del «</w:t>
      </w:r>
      <w:r w:rsidR="00E87C4D" w:rsidRPr="00E47830">
        <w:rPr>
          <w:i/>
          <w:sz w:val="24"/>
          <w:szCs w:val="24"/>
        </w:rPr>
        <w:t>diritto vivente</w:t>
      </w:r>
      <w:r w:rsidR="00771936">
        <w:rPr>
          <w:sz w:val="24"/>
          <w:szCs w:val="24"/>
        </w:rPr>
        <w:t>»</w:t>
      </w:r>
      <w:r w:rsidR="002633D5" w:rsidRPr="005D2579">
        <w:rPr>
          <w:rStyle w:val="Rimandonotaapidipagina"/>
          <w:sz w:val="22"/>
          <w:szCs w:val="22"/>
        </w:rPr>
        <w:footnoteReference w:id="69"/>
      </w:r>
      <w:r w:rsidR="00E87C4D" w:rsidRPr="00E47830">
        <w:rPr>
          <w:sz w:val="24"/>
          <w:szCs w:val="24"/>
        </w:rPr>
        <w:t>.</w:t>
      </w:r>
      <w:r w:rsidR="00262DEB" w:rsidRPr="00E47830">
        <w:rPr>
          <w:sz w:val="24"/>
          <w:szCs w:val="24"/>
        </w:rPr>
        <w:t xml:space="preserve">   </w:t>
      </w:r>
      <w:r w:rsidR="00AE060C" w:rsidRPr="00E47830">
        <w:rPr>
          <w:sz w:val="24"/>
          <w:szCs w:val="24"/>
        </w:rPr>
        <w:t xml:space="preserve"> </w:t>
      </w:r>
    </w:p>
    <w:p w14:paraId="38EFD75C" w14:textId="78E6CEF4" w:rsidR="00AE060C" w:rsidRPr="00E47830" w:rsidRDefault="00AE060C" w:rsidP="00C24B0B">
      <w:pPr>
        <w:contextualSpacing/>
        <w:jc w:val="both"/>
        <w:rPr>
          <w:sz w:val="24"/>
          <w:szCs w:val="24"/>
        </w:rPr>
      </w:pPr>
      <w:r w:rsidRPr="00E47830">
        <w:rPr>
          <w:sz w:val="24"/>
          <w:szCs w:val="24"/>
        </w:rPr>
        <w:t xml:space="preserve">     </w:t>
      </w:r>
    </w:p>
    <w:p w14:paraId="3B68194F" w14:textId="2292C613" w:rsidR="00326A2B" w:rsidRPr="00326A2B" w:rsidRDefault="007562D7" w:rsidP="00326A2B">
      <w:pPr>
        <w:contextualSpacing/>
        <w:jc w:val="both"/>
        <w:rPr>
          <w:sz w:val="24"/>
          <w:szCs w:val="24"/>
        </w:rPr>
      </w:pPr>
      <w:r>
        <w:rPr>
          <w:sz w:val="24"/>
          <w:szCs w:val="24"/>
        </w:rPr>
        <w:t>4</w:t>
      </w:r>
      <w:r w:rsidR="00326A2B" w:rsidRPr="00326A2B">
        <w:rPr>
          <w:sz w:val="24"/>
          <w:szCs w:val="24"/>
        </w:rPr>
        <w:t xml:space="preserve">. </w:t>
      </w:r>
      <w:bookmarkStart w:id="20" w:name="_Hlk495508662"/>
      <w:bookmarkStart w:id="21" w:name="_Hlk489722636"/>
      <w:r w:rsidR="00596BC8">
        <w:rPr>
          <w:i/>
          <w:sz w:val="24"/>
          <w:szCs w:val="24"/>
        </w:rPr>
        <w:t>La combinazione degli esiti interpretativi:</w:t>
      </w:r>
      <w:r w:rsidR="007909BC">
        <w:rPr>
          <w:i/>
          <w:sz w:val="24"/>
          <w:szCs w:val="24"/>
        </w:rPr>
        <w:t xml:space="preserve"> </w:t>
      </w:r>
      <w:r>
        <w:rPr>
          <w:i/>
          <w:sz w:val="24"/>
          <w:szCs w:val="24"/>
        </w:rPr>
        <w:t xml:space="preserve">una lettura </w:t>
      </w:r>
      <w:r w:rsidR="00596BC8">
        <w:rPr>
          <w:i/>
          <w:sz w:val="24"/>
          <w:szCs w:val="24"/>
        </w:rPr>
        <w:t>ragionata</w:t>
      </w:r>
      <w:r>
        <w:rPr>
          <w:i/>
          <w:sz w:val="24"/>
          <w:szCs w:val="24"/>
        </w:rPr>
        <w:t>.</w:t>
      </w:r>
      <w:bookmarkEnd w:id="20"/>
      <w:r w:rsidR="007909BC">
        <w:rPr>
          <w:i/>
          <w:sz w:val="24"/>
          <w:szCs w:val="24"/>
        </w:rPr>
        <w:t xml:space="preserve"> </w:t>
      </w:r>
      <w:bookmarkEnd w:id="21"/>
      <w:r w:rsidR="00326A2B" w:rsidRPr="00326A2B">
        <w:rPr>
          <w:sz w:val="24"/>
          <w:szCs w:val="24"/>
        </w:rPr>
        <w:t xml:space="preserve">L’evidenziato iter ricostruttivo consente di analizzare </w:t>
      </w:r>
      <w:r w:rsidR="004141D0">
        <w:rPr>
          <w:sz w:val="24"/>
          <w:szCs w:val="24"/>
        </w:rPr>
        <w:t>i tratti</w:t>
      </w:r>
      <w:r w:rsidR="00326A2B" w:rsidRPr="00326A2B">
        <w:rPr>
          <w:sz w:val="24"/>
          <w:szCs w:val="24"/>
        </w:rPr>
        <w:t xml:space="preserve"> dogmatici di quello che, all’esito delle pronunce riportate, risulta essere il “</w:t>
      </w:r>
      <w:r w:rsidR="00326A2B" w:rsidRPr="00326A2B">
        <w:rPr>
          <w:i/>
          <w:sz w:val="24"/>
          <w:szCs w:val="24"/>
        </w:rPr>
        <w:t>prodotto finito</w:t>
      </w:r>
      <w:r w:rsidR="00326A2B" w:rsidRPr="00326A2B">
        <w:rPr>
          <w:sz w:val="24"/>
          <w:szCs w:val="24"/>
        </w:rPr>
        <w:t xml:space="preserve">” della elaborazione giurisprudenziale. </w:t>
      </w:r>
    </w:p>
    <w:p w14:paraId="6DE0D2CD" w14:textId="632489FA" w:rsidR="004141D0" w:rsidRDefault="007909BC" w:rsidP="00326A2B">
      <w:pPr>
        <w:contextualSpacing/>
        <w:jc w:val="both"/>
        <w:rPr>
          <w:sz w:val="24"/>
          <w:szCs w:val="24"/>
        </w:rPr>
      </w:pPr>
      <w:r>
        <w:rPr>
          <w:sz w:val="24"/>
          <w:szCs w:val="24"/>
        </w:rPr>
        <w:t>La disamina</w:t>
      </w:r>
      <w:r w:rsidR="00326A2B" w:rsidRPr="00326A2B">
        <w:rPr>
          <w:sz w:val="24"/>
          <w:szCs w:val="24"/>
        </w:rPr>
        <w:t xml:space="preserve"> dell’approdo ermeneutico </w:t>
      </w:r>
      <w:r w:rsidR="004141D0">
        <w:rPr>
          <w:sz w:val="24"/>
          <w:szCs w:val="24"/>
        </w:rPr>
        <w:t xml:space="preserve">sancito dalla sentenza-sistema del 2005, </w:t>
      </w:r>
      <w:r w:rsidR="00326A2B" w:rsidRPr="00326A2B">
        <w:rPr>
          <w:sz w:val="24"/>
          <w:szCs w:val="24"/>
        </w:rPr>
        <w:t xml:space="preserve">consente di formulare qualche concisa </w:t>
      </w:r>
      <w:r w:rsidR="000714AD">
        <w:rPr>
          <w:sz w:val="24"/>
          <w:szCs w:val="24"/>
        </w:rPr>
        <w:t>valutazione</w:t>
      </w:r>
      <w:r w:rsidR="0062761F">
        <w:rPr>
          <w:sz w:val="24"/>
          <w:szCs w:val="24"/>
        </w:rPr>
        <w:t xml:space="preserve"> di carattere razionale</w:t>
      </w:r>
      <w:r w:rsidR="004141D0">
        <w:rPr>
          <w:sz w:val="24"/>
          <w:szCs w:val="24"/>
        </w:rPr>
        <w:t>.</w:t>
      </w:r>
    </w:p>
    <w:p w14:paraId="239FCE15" w14:textId="5F1F3716" w:rsidR="00326A2B" w:rsidRPr="00326A2B" w:rsidRDefault="004141D0" w:rsidP="00326A2B">
      <w:pPr>
        <w:contextualSpacing/>
        <w:jc w:val="both"/>
        <w:rPr>
          <w:sz w:val="24"/>
          <w:szCs w:val="24"/>
        </w:rPr>
      </w:pPr>
      <w:r>
        <w:rPr>
          <w:sz w:val="24"/>
          <w:szCs w:val="24"/>
        </w:rPr>
        <w:t xml:space="preserve">Si tratta di una </w:t>
      </w:r>
      <w:r w:rsidR="000714AD">
        <w:rPr>
          <w:sz w:val="24"/>
          <w:szCs w:val="24"/>
        </w:rPr>
        <w:t>riflessione</w:t>
      </w:r>
      <w:r w:rsidR="0062761F">
        <w:rPr>
          <w:sz w:val="24"/>
          <w:szCs w:val="24"/>
        </w:rPr>
        <w:t xml:space="preserve"> che </w:t>
      </w:r>
      <w:r>
        <w:rPr>
          <w:sz w:val="24"/>
          <w:szCs w:val="24"/>
        </w:rPr>
        <w:t xml:space="preserve">si </w:t>
      </w:r>
      <w:r w:rsidR="000714AD">
        <w:rPr>
          <w:sz w:val="24"/>
          <w:szCs w:val="24"/>
        </w:rPr>
        <w:t xml:space="preserve">fonda sull’ambiziosa pretesa </w:t>
      </w:r>
      <w:r>
        <w:rPr>
          <w:sz w:val="24"/>
          <w:szCs w:val="24"/>
        </w:rPr>
        <w:t>di</w:t>
      </w:r>
      <w:r w:rsidR="0062761F">
        <w:rPr>
          <w:sz w:val="24"/>
          <w:szCs w:val="24"/>
        </w:rPr>
        <w:t xml:space="preserve"> andare al di là del </w:t>
      </w:r>
      <w:r w:rsidR="000714AD">
        <w:rPr>
          <w:sz w:val="24"/>
          <w:szCs w:val="24"/>
        </w:rPr>
        <w:t xml:space="preserve">puro </w:t>
      </w:r>
      <w:r w:rsidR="0062761F">
        <w:rPr>
          <w:sz w:val="24"/>
          <w:szCs w:val="24"/>
        </w:rPr>
        <w:t>dato testuale di matrice giurisprudenziale</w:t>
      </w:r>
      <w:r w:rsidR="000714AD">
        <w:rPr>
          <w:sz w:val="24"/>
          <w:szCs w:val="24"/>
        </w:rPr>
        <w:t xml:space="preserve"> per tentare di cogliere i segnali (d’allarme) lanciati dal sistema penale</w:t>
      </w:r>
      <w:r w:rsidR="00326A2B" w:rsidRPr="00326A2B">
        <w:rPr>
          <w:sz w:val="24"/>
          <w:szCs w:val="24"/>
        </w:rPr>
        <w:t xml:space="preserve">. </w:t>
      </w:r>
    </w:p>
    <w:p w14:paraId="70884ECE" w14:textId="08521DB5" w:rsidR="00CE642E" w:rsidRDefault="00326A2B" w:rsidP="00C24B0B">
      <w:pPr>
        <w:contextualSpacing/>
        <w:jc w:val="both"/>
        <w:rPr>
          <w:sz w:val="24"/>
          <w:szCs w:val="24"/>
        </w:rPr>
      </w:pPr>
      <w:r w:rsidRPr="00326A2B">
        <w:rPr>
          <w:sz w:val="24"/>
          <w:szCs w:val="24"/>
        </w:rPr>
        <w:t xml:space="preserve">In via di prima approssimazione è opportuno comprendere quelle che sono le </w:t>
      </w:r>
      <w:r w:rsidRPr="00326A2B">
        <w:rPr>
          <w:i/>
          <w:sz w:val="24"/>
          <w:szCs w:val="24"/>
        </w:rPr>
        <w:t>rationes</w:t>
      </w:r>
      <w:r w:rsidRPr="00326A2B">
        <w:rPr>
          <w:sz w:val="24"/>
          <w:szCs w:val="24"/>
        </w:rPr>
        <w:t xml:space="preserve"> (spesso non espressamente sancite ma date come presupposte dalla giurisprudenza di legittimità) sottese alla conformazione dell’istituto. </w:t>
      </w:r>
    </w:p>
    <w:p w14:paraId="6425A3A9" w14:textId="2E00B2C3" w:rsidR="0042416E" w:rsidRPr="00E47830" w:rsidRDefault="00326A2B" w:rsidP="00501996">
      <w:pPr>
        <w:contextualSpacing/>
        <w:jc w:val="both"/>
        <w:rPr>
          <w:sz w:val="24"/>
          <w:szCs w:val="24"/>
        </w:rPr>
      </w:pPr>
      <w:r>
        <w:rPr>
          <w:sz w:val="24"/>
          <w:szCs w:val="24"/>
        </w:rPr>
        <w:t>L</w:t>
      </w:r>
      <w:r w:rsidR="00501996">
        <w:rPr>
          <w:sz w:val="24"/>
          <w:szCs w:val="24"/>
        </w:rPr>
        <w:t>a</w:t>
      </w:r>
      <w:r w:rsidR="00E87C4D" w:rsidRPr="00E47830">
        <w:rPr>
          <w:sz w:val="24"/>
          <w:szCs w:val="24"/>
        </w:rPr>
        <w:t xml:space="preserve"> </w:t>
      </w:r>
      <w:r w:rsidR="00771936">
        <w:rPr>
          <w:sz w:val="24"/>
          <w:szCs w:val="24"/>
        </w:rPr>
        <w:t>«</w:t>
      </w:r>
      <w:r w:rsidR="00E87C4D" w:rsidRPr="00853A2D">
        <w:rPr>
          <w:i/>
          <w:sz w:val="24"/>
          <w:szCs w:val="24"/>
        </w:rPr>
        <w:t>sentenza Demitry</w:t>
      </w:r>
      <w:r w:rsidR="00771936">
        <w:rPr>
          <w:i/>
          <w:sz w:val="24"/>
          <w:szCs w:val="24"/>
        </w:rPr>
        <w:t>»</w:t>
      </w:r>
      <w:r w:rsidR="00E87C4D" w:rsidRPr="00E47830">
        <w:rPr>
          <w:sz w:val="24"/>
          <w:szCs w:val="24"/>
        </w:rPr>
        <w:t xml:space="preserve"> </w:t>
      </w:r>
      <w:r w:rsidR="00501996">
        <w:rPr>
          <w:sz w:val="24"/>
          <w:szCs w:val="24"/>
        </w:rPr>
        <w:t xml:space="preserve">ha sancito l’adesione della Suprema Corte di Cassazione al generale principio della ammissibilità del concorso esterno in associazione mafiosa. Tuttavia, l’apertura giurisprudenziale è stata calibrata su due requisiti che </w:t>
      </w:r>
      <w:r w:rsidR="00847C33">
        <w:rPr>
          <w:sz w:val="24"/>
          <w:szCs w:val="24"/>
        </w:rPr>
        <w:t>aderivano</w:t>
      </w:r>
      <w:r w:rsidR="00501996">
        <w:rPr>
          <w:sz w:val="24"/>
          <w:szCs w:val="24"/>
        </w:rPr>
        <w:t xml:space="preserve"> perfettamente a</w:t>
      </w:r>
      <w:r w:rsidR="00847C33">
        <w:rPr>
          <w:sz w:val="24"/>
          <w:szCs w:val="24"/>
        </w:rPr>
        <w:t>i precedenti giurisprudenziali ed al</w:t>
      </w:r>
      <w:r w:rsidR="00501996">
        <w:rPr>
          <w:sz w:val="24"/>
          <w:szCs w:val="24"/>
        </w:rPr>
        <w:t xml:space="preserve"> caso </w:t>
      </w:r>
      <w:r w:rsidR="00847C33">
        <w:rPr>
          <w:sz w:val="24"/>
          <w:szCs w:val="24"/>
        </w:rPr>
        <w:t xml:space="preserve">concreto </w:t>
      </w:r>
      <w:r w:rsidR="00501996">
        <w:rPr>
          <w:sz w:val="24"/>
          <w:szCs w:val="24"/>
        </w:rPr>
        <w:t>sottoposto al vaglio delle Sezioni Unite: la</w:t>
      </w:r>
      <w:r w:rsidR="004E50B5" w:rsidRPr="00E47830">
        <w:rPr>
          <w:sz w:val="24"/>
          <w:szCs w:val="24"/>
        </w:rPr>
        <w:t xml:space="preserve"> situazione di percepibile decadimento </w:t>
      </w:r>
      <w:r w:rsidR="0042416E" w:rsidRPr="00E47830">
        <w:rPr>
          <w:sz w:val="24"/>
          <w:szCs w:val="24"/>
        </w:rPr>
        <w:t xml:space="preserve">associativo </w:t>
      </w:r>
      <w:r w:rsidR="00501996">
        <w:rPr>
          <w:sz w:val="24"/>
          <w:szCs w:val="24"/>
        </w:rPr>
        <w:t xml:space="preserve">e l’intervento di un contributo </w:t>
      </w:r>
      <w:r w:rsidR="000B4B80">
        <w:rPr>
          <w:sz w:val="24"/>
          <w:szCs w:val="24"/>
        </w:rPr>
        <w:t>istantaneo</w:t>
      </w:r>
      <w:r w:rsidR="00853A2D">
        <w:rPr>
          <w:sz w:val="24"/>
          <w:szCs w:val="24"/>
        </w:rPr>
        <w:t xml:space="preserve"> </w:t>
      </w:r>
      <w:r w:rsidR="00501996">
        <w:rPr>
          <w:sz w:val="24"/>
          <w:szCs w:val="24"/>
        </w:rPr>
        <w:t>diretto a scongiurare spiacevoli evenienze per la vita dell’organizzazione</w:t>
      </w:r>
      <w:r w:rsidR="0042416E" w:rsidRPr="00E47830">
        <w:rPr>
          <w:sz w:val="24"/>
          <w:szCs w:val="24"/>
        </w:rPr>
        <w:t xml:space="preserve">. </w:t>
      </w:r>
    </w:p>
    <w:p w14:paraId="13046FED" w14:textId="33F9BCEF" w:rsidR="00E87C4D" w:rsidRPr="00E47830" w:rsidRDefault="00847C33" w:rsidP="00C24B0B">
      <w:pPr>
        <w:contextualSpacing/>
        <w:jc w:val="both"/>
        <w:rPr>
          <w:sz w:val="24"/>
          <w:szCs w:val="24"/>
        </w:rPr>
      </w:pPr>
      <w:r>
        <w:rPr>
          <w:sz w:val="24"/>
          <w:szCs w:val="24"/>
        </w:rPr>
        <w:lastRenderedPageBreak/>
        <w:t>Una simile perimetrazione della fattispecie</w:t>
      </w:r>
      <w:r w:rsidR="00501996">
        <w:rPr>
          <w:sz w:val="24"/>
          <w:szCs w:val="24"/>
        </w:rPr>
        <w:t xml:space="preserve"> si fonda su </w:t>
      </w:r>
      <w:r>
        <w:rPr>
          <w:sz w:val="24"/>
          <w:szCs w:val="24"/>
        </w:rPr>
        <w:t>presupposti oggettivi di evidenza lampante.</w:t>
      </w:r>
    </w:p>
    <w:p w14:paraId="1312DE43" w14:textId="4DC8AEFB" w:rsidR="007F5B2F" w:rsidRDefault="0042416E" w:rsidP="00C24B0B">
      <w:pPr>
        <w:contextualSpacing/>
        <w:jc w:val="both"/>
        <w:rPr>
          <w:sz w:val="24"/>
          <w:szCs w:val="24"/>
        </w:rPr>
      </w:pPr>
      <w:r w:rsidRPr="00E47830">
        <w:rPr>
          <w:sz w:val="24"/>
          <w:szCs w:val="24"/>
        </w:rPr>
        <w:t>In un diritto penale del fatto</w:t>
      </w:r>
      <w:r w:rsidR="008C3789" w:rsidRPr="00485469">
        <w:rPr>
          <w:rStyle w:val="Rimandonotaapidipagina"/>
          <w:sz w:val="22"/>
          <w:szCs w:val="22"/>
        </w:rPr>
        <w:footnoteReference w:id="70"/>
      </w:r>
      <w:r w:rsidR="00CE642E">
        <w:rPr>
          <w:sz w:val="24"/>
          <w:szCs w:val="24"/>
        </w:rPr>
        <w:t>, un istituto</w:t>
      </w:r>
      <w:r w:rsidRPr="00E47830">
        <w:rPr>
          <w:sz w:val="24"/>
          <w:szCs w:val="24"/>
        </w:rPr>
        <w:t xml:space="preserve"> </w:t>
      </w:r>
      <w:r w:rsidR="00CE642E">
        <w:rPr>
          <w:sz w:val="24"/>
          <w:szCs w:val="24"/>
        </w:rPr>
        <w:t>che fa</w:t>
      </w:r>
      <w:r w:rsidR="00485469">
        <w:rPr>
          <w:sz w:val="24"/>
          <w:szCs w:val="24"/>
        </w:rPr>
        <w:t xml:space="preserve"> del modello di tipizzazione unitaria basato sul </w:t>
      </w:r>
      <w:r w:rsidR="00CE642E">
        <w:rPr>
          <w:sz w:val="24"/>
          <w:szCs w:val="24"/>
        </w:rPr>
        <w:t>criterio dell’efficienza causale</w:t>
      </w:r>
      <w:r w:rsidR="007F5B2F" w:rsidRPr="00485469">
        <w:rPr>
          <w:rStyle w:val="Rimandonotaapidipagina"/>
          <w:sz w:val="22"/>
          <w:szCs w:val="22"/>
        </w:rPr>
        <w:footnoteReference w:id="71"/>
      </w:r>
      <w:r w:rsidR="00CE642E" w:rsidRPr="00485469">
        <w:rPr>
          <w:sz w:val="22"/>
          <w:szCs w:val="22"/>
        </w:rPr>
        <w:t xml:space="preserve"> </w:t>
      </w:r>
      <w:r w:rsidR="00CE642E">
        <w:rPr>
          <w:sz w:val="24"/>
          <w:szCs w:val="24"/>
        </w:rPr>
        <w:t xml:space="preserve">il centro motore che spiega la proiezione degli effetti estensivi non può prescindere dal giudizio di rilevanza eziologica del contributo. </w:t>
      </w:r>
    </w:p>
    <w:p w14:paraId="2C468F4C" w14:textId="3C9740FB" w:rsidR="00BD456D" w:rsidRDefault="007F5B2F" w:rsidP="00C24B0B">
      <w:pPr>
        <w:contextualSpacing/>
        <w:jc w:val="both"/>
        <w:rPr>
          <w:sz w:val="24"/>
          <w:szCs w:val="24"/>
        </w:rPr>
      </w:pPr>
      <w:r>
        <w:rPr>
          <w:sz w:val="24"/>
          <w:szCs w:val="24"/>
        </w:rPr>
        <w:t>A fortiori, c</w:t>
      </w:r>
      <w:r w:rsidR="00CE642E">
        <w:rPr>
          <w:sz w:val="24"/>
          <w:szCs w:val="24"/>
        </w:rPr>
        <w:t xml:space="preserve">iò appare ancora più </w:t>
      </w:r>
      <w:r>
        <w:rPr>
          <w:sz w:val="24"/>
          <w:szCs w:val="24"/>
        </w:rPr>
        <w:t>percepibile</w:t>
      </w:r>
      <w:r w:rsidR="00CE642E">
        <w:rPr>
          <w:sz w:val="24"/>
          <w:szCs w:val="24"/>
        </w:rPr>
        <w:t xml:space="preserve"> </w:t>
      </w:r>
      <w:r>
        <w:rPr>
          <w:sz w:val="24"/>
          <w:szCs w:val="24"/>
        </w:rPr>
        <w:t xml:space="preserve">laddove il concorso eventuale attenga ad un </w:t>
      </w:r>
      <w:r w:rsidR="00017BE1">
        <w:rPr>
          <w:sz w:val="24"/>
          <w:szCs w:val="24"/>
        </w:rPr>
        <w:t>reato d’evento</w:t>
      </w:r>
      <w:r w:rsidR="00017BE1" w:rsidRPr="00485469">
        <w:rPr>
          <w:rStyle w:val="Rimandonotaapidipagina"/>
          <w:sz w:val="22"/>
          <w:szCs w:val="22"/>
        </w:rPr>
        <w:footnoteReference w:id="72"/>
      </w:r>
      <w:r>
        <w:rPr>
          <w:sz w:val="24"/>
          <w:szCs w:val="24"/>
        </w:rPr>
        <w:t>.</w:t>
      </w:r>
      <w:r w:rsidR="0042416E" w:rsidRPr="00E47830">
        <w:rPr>
          <w:sz w:val="24"/>
          <w:szCs w:val="24"/>
        </w:rPr>
        <w:t xml:space="preserve"> </w:t>
      </w:r>
    </w:p>
    <w:p w14:paraId="6A84A1E0" w14:textId="77777777" w:rsidR="00A96F1F" w:rsidRDefault="0042416E" w:rsidP="00C24B0B">
      <w:pPr>
        <w:contextualSpacing/>
        <w:jc w:val="both"/>
        <w:rPr>
          <w:sz w:val="24"/>
          <w:szCs w:val="24"/>
        </w:rPr>
      </w:pPr>
      <w:r w:rsidRPr="00E47830">
        <w:rPr>
          <w:sz w:val="24"/>
          <w:szCs w:val="24"/>
        </w:rPr>
        <w:t xml:space="preserve">Del resto, </w:t>
      </w:r>
      <w:r w:rsidR="00A96F1F">
        <w:rPr>
          <w:sz w:val="24"/>
          <w:szCs w:val="24"/>
        </w:rPr>
        <w:t xml:space="preserve">la peculiarità della questione è ulteriormente comprovata dalla natura permanente della fattispecie delittuosa. </w:t>
      </w:r>
    </w:p>
    <w:p w14:paraId="29F412EE" w14:textId="60F322A3" w:rsidR="00BD456D" w:rsidRDefault="00A96F1F" w:rsidP="00C24B0B">
      <w:pPr>
        <w:contextualSpacing/>
        <w:jc w:val="both"/>
        <w:rPr>
          <w:sz w:val="24"/>
          <w:szCs w:val="24"/>
        </w:rPr>
      </w:pPr>
      <w:r>
        <w:rPr>
          <w:sz w:val="24"/>
          <w:szCs w:val="24"/>
        </w:rPr>
        <w:t>In tale prospettiva, dunque, il delitto si perfeziona con l’integrazione degli elementi costitutivi e la riconnessa instaurazione del decorso delittuoso.</w:t>
      </w:r>
    </w:p>
    <w:p w14:paraId="1386F068" w14:textId="77777777" w:rsidR="00BD456D" w:rsidRDefault="00E87C4D" w:rsidP="00C24B0B">
      <w:pPr>
        <w:contextualSpacing/>
        <w:jc w:val="both"/>
        <w:rPr>
          <w:sz w:val="24"/>
          <w:szCs w:val="24"/>
        </w:rPr>
      </w:pPr>
      <w:r w:rsidRPr="00E47830">
        <w:rPr>
          <w:sz w:val="24"/>
          <w:szCs w:val="24"/>
        </w:rPr>
        <w:t xml:space="preserve">L’apporto del concorrente esterno in una fattispecie di durata non può che apprezzarsi se non in una logica che </w:t>
      </w:r>
      <w:r w:rsidR="009717C8" w:rsidRPr="00E47830">
        <w:rPr>
          <w:sz w:val="24"/>
          <w:szCs w:val="24"/>
        </w:rPr>
        <w:t xml:space="preserve">tenti di cogliere l’effettivo influsso eziologico. </w:t>
      </w:r>
    </w:p>
    <w:p w14:paraId="71CF4EE4" w14:textId="2302E63A" w:rsidR="00FA0D0B" w:rsidRDefault="009717C8" w:rsidP="00C24B0B">
      <w:pPr>
        <w:contextualSpacing/>
        <w:jc w:val="both"/>
        <w:rPr>
          <w:sz w:val="24"/>
          <w:szCs w:val="24"/>
        </w:rPr>
      </w:pPr>
      <w:r w:rsidRPr="00E47830">
        <w:rPr>
          <w:sz w:val="24"/>
          <w:szCs w:val="24"/>
        </w:rPr>
        <w:t xml:space="preserve">In tale prospettiva, </w:t>
      </w:r>
      <w:r w:rsidR="00936495">
        <w:rPr>
          <w:sz w:val="24"/>
          <w:szCs w:val="24"/>
        </w:rPr>
        <w:t>appare evidente come la «</w:t>
      </w:r>
      <w:r w:rsidR="00DE7AE1" w:rsidRPr="00BB75BC">
        <w:rPr>
          <w:i/>
          <w:sz w:val="24"/>
          <w:szCs w:val="24"/>
        </w:rPr>
        <w:t>sentenza Demitry</w:t>
      </w:r>
      <w:r w:rsidR="00936495">
        <w:rPr>
          <w:sz w:val="24"/>
          <w:szCs w:val="24"/>
        </w:rPr>
        <w:t>»</w:t>
      </w:r>
      <w:r w:rsidR="00DE7AE1">
        <w:rPr>
          <w:sz w:val="24"/>
          <w:szCs w:val="24"/>
        </w:rPr>
        <w:t xml:space="preserve"> abbia, in realtà, optato per una soluzione ermeneutica che si instrada implicitamente (ma consapevolmente</w:t>
      </w:r>
      <w:r w:rsidR="003F0282">
        <w:rPr>
          <w:sz w:val="24"/>
          <w:szCs w:val="24"/>
        </w:rPr>
        <w:t>) nella medesima direzione (non certamente sottaciuta, né data per scontata) dalla giurisprudenza successiva</w:t>
      </w:r>
      <w:r w:rsidR="003F0282" w:rsidRPr="002033EF">
        <w:rPr>
          <w:rStyle w:val="Rimandonotaapidipagina"/>
          <w:sz w:val="22"/>
          <w:szCs w:val="22"/>
        </w:rPr>
        <w:footnoteReference w:id="73"/>
      </w:r>
      <w:r w:rsidR="003F0282">
        <w:rPr>
          <w:sz w:val="24"/>
          <w:szCs w:val="24"/>
        </w:rPr>
        <w:t>.</w:t>
      </w:r>
    </w:p>
    <w:p w14:paraId="3AC1853F" w14:textId="559DE343" w:rsidR="00BD456D" w:rsidRDefault="003F0282" w:rsidP="00C24B0B">
      <w:pPr>
        <w:contextualSpacing/>
        <w:jc w:val="both"/>
        <w:rPr>
          <w:sz w:val="24"/>
          <w:szCs w:val="24"/>
        </w:rPr>
      </w:pPr>
      <w:r>
        <w:rPr>
          <w:sz w:val="24"/>
          <w:szCs w:val="24"/>
        </w:rPr>
        <w:t>In quest</w:t>
      </w:r>
      <w:r w:rsidR="00950F0B">
        <w:rPr>
          <w:sz w:val="24"/>
          <w:szCs w:val="24"/>
        </w:rPr>
        <w:t>’ottica</w:t>
      </w:r>
      <w:r>
        <w:rPr>
          <w:sz w:val="24"/>
          <w:szCs w:val="24"/>
        </w:rPr>
        <w:t xml:space="preserve">, si comprende la ragione per la quale </w:t>
      </w:r>
      <w:r w:rsidR="009717C8" w:rsidRPr="00E47830">
        <w:rPr>
          <w:sz w:val="24"/>
          <w:szCs w:val="24"/>
        </w:rPr>
        <w:t xml:space="preserve">la Corte di Cassazione </w:t>
      </w:r>
      <w:r>
        <w:rPr>
          <w:sz w:val="24"/>
          <w:szCs w:val="24"/>
        </w:rPr>
        <w:t>abbia</w:t>
      </w:r>
      <w:r w:rsidR="009717C8" w:rsidRPr="00E47830">
        <w:rPr>
          <w:sz w:val="24"/>
          <w:szCs w:val="24"/>
        </w:rPr>
        <w:t xml:space="preserve"> </w:t>
      </w:r>
      <w:r>
        <w:rPr>
          <w:sz w:val="24"/>
          <w:szCs w:val="24"/>
        </w:rPr>
        <w:t>adottato</w:t>
      </w:r>
      <w:r w:rsidR="009717C8" w:rsidRPr="00E47830">
        <w:rPr>
          <w:sz w:val="24"/>
          <w:szCs w:val="24"/>
        </w:rPr>
        <w:t xml:space="preserve"> una chiave di lettura </w:t>
      </w:r>
      <w:r w:rsidR="00EF5800">
        <w:rPr>
          <w:sz w:val="24"/>
          <w:szCs w:val="24"/>
        </w:rPr>
        <w:t>che riflette sul dinamismo degli eventi</w:t>
      </w:r>
      <w:r w:rsidR="00847C33" w:rsidRPr="00950F0B">
        <w:rPr>
          <w:rStyle w:val="Rimandonotaapidipagina"/>
          <w:sz w:val="22"/>
          <w:szCs w:val="22"/>
        </w:rPr>
        <w:footnoteReference w:id="74"/>
      </w:r>
      <w:r w:rsidR="009717C8" w:rsidRPr="00E47830">
        <w:rPr>
          <w:sz w:val="24"/>
          <w:szCs w:val="24"/>
        </w:rPr>
        <w:t xml:space="preserve">. </w:t>
      </w:r>
    </w:p>
    <w:p w14:paraId="2F2CD11D" w14:textId="44F765E4" w:rsidR="002033EF" w:rsidRDefault="009717C8" w:rsidP="00C24B0B">
      <w:pPr>
        <w:contextualSpacing/>
        <w:jc w:val="both"/>
        <w:rPr>
          <w:sz w:val="24"/>
          <w:szCs w:val="24"/>
        </w:rPr>
      </w:pPr>
      <w:r w:rsidRPr="00E47830">
        <w:rPr>
          <w:sz w:val="24"/>
          <w:szCs w:val="24"/>
        </w:rPr>
        <w:t xml:space="preserve">Se una associazione vive una fase di fibrillazione e decadimento, è chiaro che il contributo esterno che consenta di evitarne l’estinzione non può che porsi in termini eziologicamente efficienti rispetto alla </w:t>
      </w:r>
      <w:r w:rsidR="00EF5800">
        <w:rPr>
          <w:sz w:val="24"/>
          <w:szCs w:val="24"/>
        </w:rPr>
        <w:t>sua stessa esistenza</w:t>
      </w:r>
      <w:r w:rsidR="00847C33" w:rsidRPr="00950F0B">
        <w:rPr>
          <w:rStyle w:val="Rimandonotaapidipagina"/>
          <w:sz w:val="22"/>
          <w:szCs w:val="22"/>
        </w:rPr>
        <w:footnoteReference w:id="75"/>
      </w:r>
      <w:r w:rsidRPr="00E47830">
        <w:rPr>
          <w:sz w:val="24"/>
          <w:szCs w:val="24"/>
        </w:rPr>
        <w:t xml:space="preserve">. </w:t>
      </w:r>
    </w:p>
    <w:p w14:paraId="7C82AA32" w14:textId="443DD059" w:rsidR="009717C8" w:rsidRPr="00E47830" w:rsidRDefault="00BB75BC" w:rsidP="00C24B0B">
      <w:pPr>
        <w:contextualSpacing/>
        <w:jc w:val="both"/>
        <w:rPr>
          <w:sz w:val="24"/>
          <w:szCs w:val="24"/>
        </w:rPr>
      </w:pPr>
      <w:r>
        <w:rPr>
          <w:sz w:val="24"/>
          <w:szCs w:val="24"/>
        </w:rPr>
        <w:t xml:space="preserve">Tuttavia, </w:t>
      </w:r>
      <w:r w:rsidR="002033EF">
        <w:rPr>
          <w:sz w:val="24"/>
          <w:szCs w:val="24"/>
        </w:rPr>
        <w:t xml:space="preserve">come si è già avuto modo di rilevare, </w:t>
      </w:r>
      <w:r>
        <w:rPr>
          <w:sz w:val="24"/>
          <w:szCs w:val="24"/>
        </w:rPr>
        <w:t xml:space="preserve">ancorchè </w:t>
      </w:r>
      <w:r w:rsidR="009717C8" w:rsidRPr="00E47830">
        <w:rPr>
          <w:sz w:val="24"/>
          <w:szCs w:val="24"/>
        </w:rPr>
        <w:t>plausibile</w:t>
      </w:r>
      <w:r>
        <w:rPr>
          <w:sz w:val="24"/>
          <w:szCs w:val="24"/>
        </w:rPr>
        <w:t>, questa soluzione ermeneutica</w:t>
      </w:r>
      <w:r w:rsidR="009717C8" w:rsidRPr="00E47830">
        <w:rPr>
          <w:sz w:val="24"/>
          <w:szCs w:val="24"/>
        </w:rPr>
        <w:t xml:space="preserve"> coglie solo una parte del fenomeno </w:t>
      </w:r>
      <w:r>
        <w:rPr>
          <w:sz w:val="24"/>
          <w:szCs w:val="24"/>
        </w:rPr>
        <w:t>del concorso eventuale nel delitto di associazione mafiosa</w:t>
      </w:r>
      <w:r w:rsidRPr="002033EF">
        <w:rPr>
          <w:rStyle w:val="Rimandonotaapidipagina"/>
          <w:sz w:val="22"/>
          <w:szCs w:val="22"/>
        </w:rPr>
        <w:footnoteReference w:id="76"/>
      </w:r>
      <w:r>
        <w:rPr>
          <w:sz w:val="24"/>
          <w:szCs w:val="24"/>
        </w:rPr>
        <w:t>.</w:t>
      </w:r>
    </w:p>
    <w:p w14:paraId="455C015E" w14:textId="1795EAD9" w:rsidR="00345ECC" w:rsidRDefault="009717C8" w:rsidP="00C24B0B">
      <w:pPr>
        <w:contextualSpacing/>
        <w:jc w:val="both"/>
        <w:rPr>
          <w:sz w:val="24"/>
          <w:szCs w:val="24"/>
        </w:rPr>
      </w:pPr>
      <w:r w:rsidRPr="00E47830">
        <w:rPr>
          <w:sz w:val="24"/>
          <w:szCs w:val="24"/>
        </w:rPr>
        <w:lastRenderedPageBreak/>
        <w:t xml:space="preserve">L’ambito </w:t>
      </w:r>
      <w:r w:rsidR="00BB75BC">
        <w:rPr>
          <w:sz w:val="24"/>
          <w:szCs w:val="24"/>
        </w:rPr>
        <w:t>esplicativo</w:t>
      </w:r>
      <w:r w:rsidRPr="00E47830">
        <w:rPr>
          <w:sz w:val="24"/>
          <w:szCs w:val="24"/>
        </w:rPr>
        <w:t xml:space="preserve"> dell</w:t>
      </w:r>
      <w:r w:rsidR="00BB75BC">
        <w:rPr>
          <w:sz w:val="24"/>
          <w:szCs w:val="24"/>
        </w:rPr>
        <w:t xml:space="preserve">a </w:t>
      </w:r>
      <w:r w:rsidR="00771936">
        <w:rPr>
          <w:sz w:val="24"/>
          <w:szCs w:val="24"/>
        </w:rPr>
        <w:t>fattispecie tratteggiato dalla «</w:t>
      </w:r>
      <w:r w:rsidR="00BB75BC" w:rsidRPr="005861F1">
        <w:rPr>
          <w:i/>
          <w:sz w:val="24"/>
          <w:szCs w:val="24"/>
        </w:rPr>
        <w:t>sentenza Demitry</w:t>
      </w:r>
      <w:r w:rsidR="00771936">
        <w:rPr>
          <w:sz w:val="24"/>
          <w:szCs w:val="24"/>
        </w:rPr>
        <w:t>»</w:t>
      </w:r>
      <w:r w:rsidR="00345ECC">
        <w:rPr>
          <w:sz w:val="24"/>
          <w:szCs w:val="24"/>
        </w:rPr>
        <w:t xml:space="preserve"> </w:t>
      </w:r>
      <w:r w:rsidR="00BD1CA2">
        <w:rPr>
          <w:sz w:val="24"/>
          <w:szCs w:val="24"/>
        </w:rPr>
        <w:t xml:space="preserve">è apparso, fin dal principio, </w:t>
      </w:r>
      <w:r w:rsidR="00345ECC">
        <w:rPr>
          <w:sz w:val="24"/>
          <w:szCs w:val="24"/>
        </w:rPr>
        <w:t>piuttosto riduttivo</w:t>
      </w:r>
      <w:r w:rsidR="00BD1CA2" w:rsidRPr="00950F0B">
        <w:rPr>
          <w:rStyle w:val="Rimandonotaapidipagina"/>
          <w:sz w:val="22"/>
          <w:szCs w:val="22"/>
        </w:rPr>
        <w:footnoteReference w:id="77"/>
      </w:r>
      <w:r w:rsidR="00345ECC">
        <w:rPr>
          <w:sz w:val="24"/>
          <w:szCs w:val="24"/>
        </w:rPr>
        <w:t>.</w:t>
      </w:r>
      <w:r w:rsidR="00BB75BC">
        <w:rPr>
          <w:sz w:val="24"/>
          <w:szCs w:val="24"/>
        </w:rPr>
        <w:t xml:space="preserve"> </w:t>
      </w:r>
    </w:p>
    <w:p w14:paraId="5377A85A" w14:textId="77777777" w:rsidR="007909BC" w:rsidRDefault="007909BC" w:rsidP="00C24B0B">
      <w:pPr>
        <w:contextualSpacing/>
        <w:jc w:val="both"/>
        <w:rPr>
          <w:sz w:val="24"/>
          <w:szCs w:val="24"/>
        </w:rPr>
      </w:pPr>
      <w:r>
        <w:rPr>
          <w:sz w:val="24"/>
          <w:szCs w:val="24"/>
        </w:rPr>
        <w:t xml:space="preserve">Il contributo dell’estraneo non può essere letto soltanto in termini salvifici. </w:t>
      </w:r>
    </w:p>
    <w:p w14:paraId="0DD876A0" w14:textId="061BA5F3" w:rsidR="001224CD" w:rsidRPr="00E47830" w:rsidRDefault="007909BC" w:rsidP="00C24B0B">
      <w:pPr>
        <w:contextualSpacing/>
        <w:jc w:val="both"/>
        <w:rPr>
          <w:sz w:val="24"/>
          <w:szCs w:val="24"/>
        </w:rPr>
      </w:pPr>
      <w:r>
        <w:rPr>
          <w:sz w:val="24"/>
          <w:szCs w:val="24"/>
        </w:rPr>
        <w:t xml:space="preserve">La corretta applicazione dell’istituto di cui all’art. 110 c.p. </w:t>
      </w:r>
      <w:r w:rsidR="00950F0B">
        <w:rPr>
          <w:sz w:val="24"/>
          <w:szCs w:val="24"/>
        </w:rPr>
        <w:t>impone</w:t>
      </w:r>
      <w:r>
        <w:rPr>
          <w:sz w:val="24"/>
          <w:szCs w:val="24"/>
        </w:rPr>
        <w:t xml:space="preserve"> di </w:t>
      </w:r>
      <w:r w:rsidR="00950F0B">
        <w:rPr>
          <w:sz w:val="24"/>
          <w:szCs w:val="24"/>
        </w:rPr>
        <w:t>qualificare</w:t>
      </w:r>
      <w:r>
        <w:rPr>
          <w:sz w:val="24"/>
          <w:szCs w:val="24"/>
        </w:rPr>
        <w:t xml:space="preserve"> la fattispeci</w:t>
      </w:r>
      <w:r w:rsidR="00A352B4">
        <w:rPr>
          <w:sz w:val="24"/>
          <w:szCs w:val="24"/>
        </w:rPr>
        <w:t xml:space="preserve">e incriminatrice </w:t>
      </w:r>
      <w:r w:rsidR="00950F0B">
        <w:rPr>
          <w:sz w:val="24"/>
          <w:szCs w:val="24"/>
        </w:rPr>
        <w:t xml:space="preserve">secondo una logica estensiva che va </w:t>
      </w:r>
      <w:r w:rsidR="00A352B4">
        <w:rPr>
          <w:sz w:val="24"/>
          <w:szCs w:val="24"/>
        </w:rPr>
        <w:t xml:space="preserve">al di là </w:t>
      </w:r>
      <w:r w:rsidR="00950F0B">
        <w:rPr>
          <w:sz w:val="24"/>
          <w:szCs w:val="24"/>
        </w:rPr>
        <w:t>del mero contributo</w:t>
      </w:r>
      <w:r>
        <w:rPr>
          <w:sz w:val="24"/>
          <w:szCs w:val="24"/>
        </w:rPr>
        <w:t xml:space="preserve"> </w:t>
      </w:r>
      <w:r w:rsidR="00950F0B">
        <w:rPr>
          <w:sz w:val="24"/>
          <w:szCs w:val="24"/>
        </w:rPr>
        <w:t>che sopperisce alle assenze e ai (</w:t>
      </w:r>
      <w:r w:rsidR="00911DAE">
        <w:rPr>
          <w:sz w:val="24"/>
          <w:szCs w:val="24"/>
        </w:rPr>
        <w:t>temporanei</w:t>
      </w:r>
      <w:r w:rsidR="00950F0B">
        <w:rPr>
          <w:sz w:val="24"/>
          <w:szCs w:val="24"/>
        </w:rPr>
        <w:t>)</w:t>
      </w:r>
      <w:r w:rsidR="00911DAE">
        <w:rPr>
          <w:sz w:val="24"/>
          <w:szCs w:val="24"/>
        </w:rPr>
        <w:t xml:space="preserve"> </w:t>
      </w:r>
      <w:r w:rsidR="001224CD" w:rsidRPr="00E47830">
        <w:rPr>
          <w:sz w:val="24"/>
          <w:szCs w:val="24"/>
        </w:rPr>
        <w:t xml:space="preserve">deficit associativi. </w:t>
      </w:r>
    </w:p>
    <w:p w14:paraId="444B8023" w14:textId="04A7DD60" w:rsidR="00BD456D" w:rsidRDefault="007909BC" w:rsidP="00C24B0B">
      <w:pPr>
        <w:contextualSpacing/>
        <w:jc w:val="both"/>
        <w:rPr>
          <w:sz w:val="24"/>
          <w:szCs w:val="24"/>
        </w:rPr>
      </w:pPr>
      <w:r>
        <w:rPr>
          <w:sz w:val="24"/>
          <w:szCs w:val="24"/>
        </w:rPr>
        <w:t>Ed invero, i</w:t>
      </w:r>
      <w:r w:rsidR="00911DAE">
        <w:rPr>
          <w:sz w:val="24"/>
          <w:szCs w:val="24"/>
        </w:rPr>
        <w:t xml:space="preserve"> </w:t>
      </w:r>
      <w:r>
        <w:rPr>
          <w:sz w:val="24"/>
          <w:szCs w:val="24"/>
        </w:rPr>
        <w:t xml:space="preserve">seguenti </w:t>
      </w:r>
      <w:r w:rsidR="00CF6165" w:rsidRPr="00E47830">
        <w:rPr>
          <w:sz w:val="24"/>
          <w:szCs w:val="24"/>
        </w:rPr>
        <w:t xml:space="preserve">pronunciamenti </w:t>
      </w:r>
      <w:r w:rsidR="00950F0B">
        <w:rPr>
          <w:sz w:val="24"/>
          <w:szCs w:val="24"/>
        </w:rPr>
        <w:t>giurisprudenziali e</w:t>
      </w:r>
      <w:r>
        <w:rPr>
          <w:sz w:val="24"/>
          <w:szCs w:val="24"/>
        </w:rPr>
        <w:t>, in particolare, il successivo orientamento</w:t>
      </w:r>
      <w:r w:rsidR="00CF6165" w:rsidRPr="00E47830">
        <w:rPr>
          <w:sz w:val="24"/>
          <w:szCs w:val="24"/>
        </w:rPr>
        <w:t xml:space="preserve"> delle Sezioni Unite </w:t>
      </w:r>
      <w:r w:rsidR="00345ECC" w:rsidRPr="002033EF">
        <w:rPr>
          <w:rStyle w:val="Rimandonotaapidipagina"/>
          <w:sz w:val="22"/>
          <w:szCs w:val="22"/>
        </w:rPr>
        <w:footnoteReference w:id="78"/>
      </w:r>
      <w:r w:rsidR="00345ECC" w:rsidRPr="002033EF">
        <w:rPr>
          <w:sz w:val="22"/>
          <w:szCs w:val="22"/>
        </w:rPr>
        <w:t xml:space="preserve"> </w:t>
      </w:r>
      <w:r w:rsidR="00A352B4">
        <w:rPr>
          <w:sz w:val="24"/>
          <w:szCs w:val="24"/>
        </w:rPr>
        <w:t>colgono</w:t>
      </w:r>
      <w:r w:rsidR="00BD456D">
        <w:rPr>
          <w:sz w:val="24"/>
          <w:szCs w:val="24"/>
        </w:rPr>
        <w:t xml:space="preserve"> questo aspetto. </w:t>
      </w:r>
    </w:p>
    <w:p w14:paraId="34089508" w14:textId="03FD94A7" w:rsidR="00950F0B" w:rsidRDefault="00BD456D" w:rsidP="00C24B0B">
      <w:pPr>
        <w:contextualSpacing/>
        <w:jc w:val="both"/>
        <w:rPr>
          <w:sz w:val="24"/>
          <w:szCs w:val="24"/>
        </w:rPr>
      </w:pPr>
      <w:r>
        <w:rPr>
          <w:sz w:val="24"/>
          <w:szCs w:val="24"/>
        </w:rPr>
        <w:t xml:space="preserve">In tale quadro ermeneutico </w:t>
      </w:r>
      <w:r w:rsidR="00950F0B">
        <w:rPr>
          <w:sz w:val="24"/>
          <w:szCs w:val="24"/>
        </w:rPr>
        <w:t>la Suprema Corte</w:t>
      </w:r>
      <w:r w:rsidR="00A352B4">
        <w:rPr>
          <w:sz w:val="24"/>
          <w:szCs w:val="24"/>
        </w:rPr>
        <w:t xml:space="preserve"> </w:t>
      </w:r>
      <w:r w:rsidR="00950F0B">
        <w:rPr>
          <w:sz w:val="24"/>
          <w:szCs w:val="24"/>
        </w:rPr>
        <w:t xml:space="preserve">opera una </w:t>
      </w:r>
      <w:r w:rsidR="00771936">
        <w:rPr>
          <w:sz w:val="24"/>
          <w:szCs w:val="24"/>
        </w:rPr>
        <w:t>«</w:t>
      </w:r>
      <w:r w:rsidR="00950F0B" w:rsidRPr="002678D8">
        <w:rPr>
          <w:i/>
          <w:sz w:val="24"/>
          <w:szCs w:val="24"/>
        </w:rPr>
        <w:t>reductio ad unitatem</w:t>
      </w:r>
      <w:r w:rsidR="00771936">
        <w:rPr>
          <w:sz w:val="24"/>
          <w:szCs w:val="24"/>
        </w:rPr>
        <w:t>»</w:t>
      </w:r>
      <w:r w:rsidR="00950F0B">
        <w:rPr>
          <w:sz w:val="24"/>
          <w:szCs w:val="24"/>
        </w:rPr>
        <w:t xml:space="preserve"> della figura, raccordando l’elemento materiale a quello psicologico.</w:t>
      </w:r>
    </w:p>
    <w:p w14:paraId="1F7F9868" w14:textId="01A3833F" w:rsidR="00CF6165" w:rsidRPr="00E47830" w:rsidRDefault="00950F0B" w:rsidP="00C24B0B">
      <w:pPr>
        <w:contextualSpacing/>
        <w:jc w:val="both"/>
        <w:rPr>
          <w:sz w:val="24"/>
          <w:szCs w:val="24"/>
        </w:rPr>
      </w:pPr>
      <w:r>
        <w:rPr>
          <w:sz w:val="24"/>
          <w:szCs w:val="24"/>
        </w:rPr>
        <w:t>In particolare, il</w:t>
      </w:r>
      <w:r w:rsidR="00BD456D">
        <w:rPr>
          <w:sz w:val="24"/>
          <w:szCs w:val="24"/>
        </w:rPr>
        <w:t xml:space="preserve"> concorrente esterno </w:t>
      </w:r>
      <w:r>
        <w:rPr>
          <w:sz w:val="24"/>
          <w:szCs w:val="24"/>
        </w:rPr>
        <w:t>è</w:t>
      </w:r>
      <w:r w:rsidR="00CF6165" w:rsidRPr="00E47830">
        <w:rPr>
          <w:sz w:val="24"/>
          <w:szCs w:val="24"/>
        </w:rPr>
        <w:t xml:space="preserve"> </w:t>
      </w:r>
      <w:r w:rsidR="001224CD" w:rsidRPr="00E47830">
        <w:rPr>
          <w:sz w:val="24"/>
          <w:szCs w:val="24"/>
        </w:rPr>
        <w:t xml:space="preserve">il soggetto che apporta un contributo </w:t>
      </w:r>
      <w:r w:rsidR="00771936">
        <w:rPr>
          <w:sz w:val="24"/>
          <w:szCs w:val="24"/>
        </w:rPr>
        <w:t>«</w:t>
      </w:r>
      <w:r w:rsidR="00BD1CA2" w:rsidRPr="00BD1CA2">
        <w:rPr>
          <w:i/>
          <w:sz w:val="24"/>
          <w:szCs w:val="24"/>
        </w:rPr>
        <w:t>concreto, specifico, consapevole e volontario</w:t>
      </w:r>
      <w:r w:rsidR="00771936">
        <w:rPr>
          <w:sz w:val="24"/>
          <w:szCs w:val="24"/>
        </w:rPr>
        <w:t>»</w:t>
      </w:r>
      <w:r>
        <w:rPr>
          <w:sz w:val="24"/>
          <w:szCs w:val="24"/>
        </w:rPr>
        <w:t>,</w:t>
      </w:r>
      <w:r w:rsidR="00CF6165" w:rsidRPr="00E47830">
        <w:rPr>
          <w:sz w:val="24"/>
          <w:szCs w:val="24"/>
        </w:rPr>
        <w:t xml:space="preserve"> </w:t>
      </w:r>
      <w:r w:rsidR="00BD456D">
        <w:rPr>
          <w:sz w:val="24"/>
          <w:szCs w:val="24"/>
        </w:rPr>
        <w:t xml:space="preserve">a prescindere dalla fase </w:t>
      </w:r>
      <w:r w:rsidR="00B30147">
        <w:rPr>
          <w:sz w:val="24"/>
          <w:szCs w:val="24"/>
        </w:rPr>
        <w:t xml:space="preserve">(sia essa </w:t>
      </w:r>
      <w:r w:rsidR="00BD456D">
        <w:rPr>
          <w:sz w:val="24"/>
          <w:szCs w:val="24"/>
        </w:rPr>
        <w:t>fisiologica, patologica, ascendente o discendente</w:t>
      </w:r>
      <w:r w:rsidR="00B30147">
        <w:rPr>
          <w:sz w:val="24"/>
          <w:szCs w:val="24"/>
        </w:rPr>
        <w:t>)</w:t>
      </w:r>
      <w:r w:rsidR="00BD456D">
        <w:rPr>
          <w:sz w:val="24"/>
          <w:szCs w:val="24"/>
        </w:rPr>
        <w:t xml:space="preserve"> in cui </w:t>
      </w:r>
      <w:r w:rsidR="003829BD">
        <w:rPr>
          <w:sz w:val="24"/>
          <w:szCs w:val="24"/>
        </w:rPr>
        <w:t>versa</w:t>
      </w:r>
      <w:r w:rsidR="00BD456D">
        <w:rPr>
          <w:sz w:val="24"/>
          <w:szCs w:val="24"/>
        </w:rPr>
        <w:t xml:space="preserve"> </w:t>
      </w:r>
      <w:r w:rsidR="00911DAE">
        <w:rPr>
          <w:sz w:val="24"/>
          <w:szCs w:val="24"/>
        </w:rPr>
        <w:t>l’organizzazione di stampo</w:t>
      </w:r>
      <w:r w:rsidR="00BD456D">
        <w:rPr>
          <w:sz w:val="24"/>
          <w:szCs w:val="24"/>
        </w:rPr>
        <w:t xml:space="preserve"> mafios</w:t>
      </w:r>
      <w:r w:rsidR="00911DAE">
        <w:rPr>
          <w:sz w:val="24"/>
          <w:szCs w:val="24"/>
        </w:rPr>
        <w:t>o</w:t>
      </w:r>
      <w:r w:rsidR="00CF6165" w:rsidRPr="00E47830">
        <w:rPr>
          <w:sz w:val="24"/>
          <w:szCs w:val="24"/>
        </w:rPr>
        <w:t xml:space="preserve">. </w:t>
      </w:r>
    </w:p>
    <w:p w14:paraId="66C6023E" w14:textId="5177F3B3" w:rsidR="00BD1CA2" w:rsidRDefault="00CF6165" w:rsidP="00C24B0B">
      <w:pPr>
        <w:contextualSpacing/>
        <w:jc w:val="both"/>
        <w:rPr>
          <w:sz w:val="24"/>
          <w:szCs w:val="24"/>
        </w:rPr>
      </w:pPr>
      <w:r w:rsidRPr="00E47830">
        <w:rPr>
          <w:sz w:val="24"/>
          <w:szCs w:val="24"/>
        </w:rPr>
        <w:t>In tale ordine di idee, l’apporto</w:t>
      </w:r>
      <w:r w:rsidR="00F93A2D" w:rsidRPr="00E47830">
        <w:rPr>
          <w:sz w:val="24"/>
          <w:szCs w:val="24"/>
        </w:rPr>
        <w:t xml:space="preserve"> </w:t>
      </w:r>
      <w:r w:rsidRPr="00E47830">
        <w:rPr>
          <w:sz w:val="24"/>
          <w:szCs w:val="24"/>
        </w:rPr>
        <w:t>del</w:t>
      </w:r>
      <w:r w:rsidR="00950F0B">
        <w:rPr>
          <w:sz w:val="24"/>
          <w:szCs w:val="24"/>
        </w:rPr>
        <w:t>l’extraneus</w:t>
      </w:r>
      <w:r w:rsidRPr="00E47830">
        <w:rPr>
          <w:sz w:val="24"/>
          <w:szCs w:val="24"/>
        </w:rPr>
        <w:t xml:space="preserve"> </w:t>
      </w:r>
      <w:r w:rsidR="00BD1CA2">
        <w:rPr>
          <w:sz w:val="24"/>
          <w:szCs w:val="24"/>
        </w:rPr>
        <w:t xml:space="preserve">non </w:t>
      </w:r>
      <w:r w:rsidR="00950F0B">
        <w:rPr>
          <w:sz w:val="24"/>
          <w:szCs w:val="24"/>
        </w:rPr>
        <w:t>potrebbe</w:t>
      </w:r>
      <w:r w:rsidR="00BD1CA2">
        <w:rPr>
          <w:sz w:val="24"/>
          <w:szCs w:val="24"/>
        </w:rPr>
        <w:t xml:space="preserve"> prescindere dalla natura della fattispecie sulla quale si incardina. </w:t>
      </w:r>
    </w:p>
    <w:p w14:paraId="7D069183" w14:textId="7223F193" w:rsidR="003829BD" w:rsidRDefault="00BD1CA2" w:rsidP="00C24B0B">
      <w:pPr>
        <w:contextualSpacing/>
        <w:jc w:val="both"/>
        <w:rPr>
          <w:sz w:val="24"/>
          <w:szCs w:val="24"/>
        </w:rPr>
      </w:pPr>
      <w:r>
        <w:rPr>
          <w:sz w:val="24"/>
          <w:szCs w:val="24"/>
        </w:rPr>
        <w:t>Il concorrente apporta un contributo causalmente efficiente rispetto ad un reato</w:t>
      </w:r>
      <w:r w:rsidR="003829BD">
        <w:rPr>
          <w:sz w:val="24"/>
          <w:szCs w:val="24"/>
        </w:rPr>
        <w:t xml:space="preserve"> in itinere</w:t>
      </w:r>
      <w:r w:rsidR="008223DC" w:rsidRPr="002033EF">
        <w:rPr>
          <w:rStyle w:val="Rimandonotaapidipagina"/>
          <w:sz w:val="22"/>
          <w:szCs w:val="22"/>
        </w:rPr>
        <w:footnoteReference w:id="79"/>
      </w:r>
      <w:r w:rsidR="00246EF9">
        <w:rPr>
          <w:sz w:val="24"/>
          <w:szCs w:val="24"/>
        </w:rPr>
        <w:t>, dunque, perfezionato ed in corso di consumazione.</w:t>
      </w:r>
      <w:r w:rsidR="001224CD" w:rsidRPr="00E47830">
        <w:rPr>
          <w:sz w:val="24"/>
          <w:szCs w:val="24"/>
        </w:rPr>
        <w:t xml:space="preserve"> </w:t>
      </w:r>
    </w:p>
    <w:p w14:paraId="320B61D9" w14:textId="49F9A2F1" w:rsidR="00074407" w:rsidRDefault="00074407" w:rsidP="00C24B0B">
      <w:pPr>
        <w:contextualSpacing/>
        <w:jc w:val="both"/>
        <w:rPr>
          <w:sz w:val="24"/>
          <w:szCs w:val="24"/>
        </w:rPr>
      </w:pPr>
      <w:r>
        <w:rPr>
          <w:sz w:val="24"/>
          <w:szCs w:val="24"/>
        </w:rPr>
        <w:t xml:space="preserve">In termini generali, dunque, la giurisprudenza in una prospettiva simmetrica e conforme ai canoni normativi dell’istituto di cui all’art. 110 c.p. riconosce nel contributo dell’extraneus un apporto </w:t>
      </w:r>
      <w:r w:rsidR="00F96D61">
        <w:rPr>
          <w:sz w:val="24"/>
          <w:szCs w:val="24"/>
        </w:rPr>
        <w:t>dall’ontologia</w:t>
      </w:r>
      <w:r>
        <w:rPr>
          <w:sz w:val="24"/>
          <w:szCs w:val="24"/>
        </w:rPr>
        <w:t xml:space="preserve"> tendenzialmente permanente.</w:t>
      </w:r>
    </w:p>
    <w:p w14:paraId="34B1D2F4" w14:textId="7AC18371" w:rsidR="00B30147" w:rsidRDefault="00074407" w:rsidP="00C24B0B">
      <w:pPr>
        <w:contextualSpacing/>
        <w:jc w:val="both"/>
        <w:rPr>
          <w:sz w:val="24"/>
          <w:szCs w:val="24"/>
        </w:rPr>
      </w:pPr>
      <w:r>
        <w:rPr>
          <w:sz w:val="24"/>
          <w:szCs w:val="24"/>
        </w:rPr>
        <w:t>La condotta del concorrente, infatti, non potrebbe</w:t>
      </w:r>
      <w:r w:rsidR="003829BD">
        <w:rPr>
          <w:sz w:val="24"/>
          <w:szCs w:val="24"/>
        </w:rPr>
        <w:t xml:space="preserve"> che atteggiarsi come fattispecie di durata destinata a compenetrarsi con il reato associativo</w:t>
      </w:r>
      <w:r>
        <w:rPr>
          <w:sz w:val="24"/>
          <w:szCs w:val="24"/>
        </w:rPr>
        <w:t xml:space="preserve"> del quale condivide la natura</w:t>
      </w:r>
      <w:r w:rsidR="00B30147">
        <w:rPr>
          <w:sz w:val="24"/>
          <w:szCs w:val="24"/>
        </w:rPr>
        <w:t>.</w:t>
      </w:r>
      <w:r w:rsidR="003829BD">
        <w:rPr>
          <w:sz w:val="24"/>
          <w:szCs w:val="24"/>
        </w:rPr>
        <w:t xml:space="preserve"> </w:t>
      </w:r>
    </w:p>
    <w:p w14:paraId="2403222D" w14:textId="77777777" w:rsidR="001F64EA" w:rsidRDefault="00074407" w:rsidP="00C24B0B">
      <w:pPr>
        <w:contextualSpacing/>
        <w:jc w:val="both"/>
        <w:rPr>
          <w:sz w:val="24"/>
          <w:szCs w:val="24"/>
        </w:rPr>
      </w:pPr>
      <w:r>
        <w:rPr>
          <w:sz w:val="24"/>
          <w:szCs w:val="24"/>
        </w:rPr>
        <w:t xml:space="preserve">Del resto, la stessa Suprema Corte ha più volte ribadito come la qualificazione in termini di reato permanente </w:t>
      </w:r>
      <w:r w:rsidR="001F64EA">
        <w:rPr>
          <w:sz w:val="24"/>
          <w:szCs w:val="24"/>
        </w:rPr>
        <w:t>del concorso esterno</w:t>
      </w:r>
      <w:r w:rsidR="006F06B0">
        <w:rPr>
          <w:sz w:val="24"/>
          <w:szCs w:val="24"/>
        </w:rPr>
        <w:t xml:space="preserve"> costituisca</w:t>
      </w:r>
      <w:r w:rsidR="00B30147">
        <w:rPr>
          <w:sz w:val="24"/>
          <w:szCs w:val="24"/>
        </w:rPr>
        <w:t xml:space="preserve"> un dato soltanto tendenziale e non di sistematica configurazione.</w:t>
      </w:r>
    </w:p>
    <w:p w14:paraId="760BC940" w14:textId="467B9681" w:rsidR="00B30147" w:rsidRDefault="001F64EA" w:rsidP="00C24B0B">
      <w:pPr>
        <w:contextualSpacing/>
        <w:jc w:val="both"/>
        <w:rPr>
          <w:sz w:val="24"/>
          <w:szCs w:val="24"/>
        </w:rPr>
      </w:pPr>
      <w:r>
        <w:rPr>
          <w:sz w:val="24"/>
          <w:szCs w:val="24"/>
        </w:rPr>
        <w:t>Eppure la necessaria permanenza della fattispecie sembra costituire un elemento di struttura del tipo legale</w:t>
      </w:r>
      <w:r w:rsidRPr="001F64EA">
        <w:rPr>
          <w:rStyle w:val="Rimandonotaapidipagina"/>
          <w:sz w:val="22"/>
          <w:szCs w:val="22"/>
        </w:rPr>
        <w:footnoteReference w:id="80"/>
      </w:r>
      <w:r w:rsidR="00ED128A">
        <w:rPr>
          <w:sz w:val="24"/>
          <w:szCs w:val="24"/>
        </w:rPr>
        <w:t>,</w:t>
      </w:r>
      <w:r>
        <w:rPr>
          <w:sz w:val="24"/>
          <w:szCs w:val="24"/>
        </w:rPr>
        <w:t xml:space="preserve"> tale da non lasciare spazio ad alternative </w:t>
      </w:r>
      <w:r w:rsidR="00ED128A">
        <w:rPr>
          <w:sz w:val="24"/>
          <w:szCs w:val="24"/>
        </w:rPr>
        <w:t>di qualificazione</w:t>
      </w:r>
      <w:r>
        <w:rPr>
          <w:sz w:val="24"/>
          <w:szCs w:val="24"/>
        </w:rPr>
        <w:t xml:space="preserve">.  </w:t>
      </w:r>
      <w:r w:rsidR="00B30147">
        <w:rPr>
          <w:sz w:val="24"/>
          <w:szCs w:val="24"/>
        </w:rPr>
        <w:t xml:space="preserve"> </w:t>
      </w:r>
    </w:p>
    <w:p w14:paraId="088D5158" w14:textId="772996FA" w:rsidR="00B30147" w:rsidRDefault="001F64EA" w:rsidP="00C24B0B">
      <w:pPr>
        <w:contextualSpacing/>
        <w:jc w:val="both"/>
        <w:rPr>
          <w:sz w:val="24"/>
          <w:szCs w:val="24"/>
        </w:rPr>
      </w:pPr>
      <w:r>
        <w:rPr>
          <w:sz w:val="24"/>
          <w:szCs w:val="24"/>
        </w:rPr>
        <w:lastRenderedPageBreak/>
        <w:t>Stando all’enunciazione giurisprudenziale, invece</w:t>
      </w:r>
      <w:r w:rsidR="006F06B0">
        <w:rPr>
          <w:sz w:val="24"/>
          <w:szCs w:val="24"/>
        </w:rPr>
        <w:t>,</w:t>
      </w:r>
      <w:r w:rsidR="00B30147">
        <w:rPr>
          <w:sz w:val="24"/>
          <w:szCs w:val="24"/>
        </w:rPr>
        <w:t xml:space="preserve"> </w:t>
      </w:r>
      <w:r>
        <w:rPr>
          <w:sz w:val="24"/>
          <w:szCs w:val="24"/>
        </w:rPr>
        <w:t xml:space="preserve">se </w:t>
      </w:r>
      <w:r w:rsidR="00B30147">
        <w:rPr>
          <w:sz w:val="24"/>
          <w:szCs w:val="24"/>
        </w:rPr>
        <w:t>il contegno del</w:t>
      </w:r>
      <w:r w:rsidR="006F06B0">
        <w:rPr>
          <w:sz w:val="24"/>
          <w:szCs w:val="24"/>
        </w:rPr>
        <w:t>l’associato</w:t>
      </w:r>
      <w:r w:rsidR="00B30147">
        <w:rPr>
          <w:sz w:val="24"/>
          <w:szCs w:val="24"/>
        </w:rPr>
        <w:t xml:space="preserve"> si connota per la sua natura temporalmente protratta</w:t>
      </w:r>
      <w:r w:rsidR="008223DC" w:rsidRPr="00F96D61">
        <w:rPr>
          <w:rStyle w:val="Rimandonotaapidipagina"/>
          <w:sz w:val="22"/>
          <w:szCs w:val="22"/>
        </w:rPr>
        <w:footnoteReference w:id="81"/>
      </w:r>
      <w:r w:rsidR="00B30147">
        <w:rPr>
          <w:sz w:val="24"/>
          <w:szCs w:val="24"/>
        </w:rPr>
        <w:t>, quello del conco</w:t>
      </w:r>
      <w:r w:rsidR="00771936">
        <w:rPr>
          <w:sz w:val="24"/>
          <w:szCs w:val="24"/>
        </w:rPr>
        <w:t>rrente si erge a comportamento «</w:t>
      </w:r>
      <w:r w:rsidR="00B30147" w:rsidRPr="00BC290B">
        <w:rPr>
          <w:i/>
          <w:sz w:val="24"/>
          <w:szCs w:val="24"/>
        </w:rPr>
        <w:t>di regola</w:t>
      </w:r>
      <w:r w:rsidR="00771936">
        <w:rPr>
          <w:sz w:val="24"/>
          <w:szCs w:val="24"/>
        </w:rPr>
        <w:t>»</w:t>
      </w:r>
      <w:r w:rsidR="00B30147" w:rsidRPr="00F96D61">
        <w:rPr>
          <w:rStyle w:val="Rimandonotaapidipagina"/>
          <w:sz w:val="22"/>
          <w:szCs w:val="22"/>
        </w:rPr>
        <w:footnoteReference w:id="82"/>
      </w:r>
      <w:r w:rsidR="00B30147" w:rsidRPr="00F96D61">
        <w:rPr>
          <w:sz w:val="22"/>
          <w:szCs w:val="22"/>
        </w:rPr>
        <w:t xml:space="preserve"> </w:t>
      </w:r>
      <w:r w:rsidR="00B30147">
        <w:rPr>
          <w:sz w:val="24"/>
          <w:szCs w:val="24"/>
        </w:rPr>
        <w:t xml:space="preserve">permanente. </w:t>
      </w:r>
    </w:p>
    <w:p w14:paraId="4F0E7BC6" w14:textId="5927F155" w:rsidR="006F06B0" w:rsidRDefault="006F06B0" w:rsidP="00C24B0B">
      <w:pPr>
        <w:contextualSpacing/>
        <w:jc w:val="both"/>
        <w:rPr>
          <w:sz w:val="24"/>
          <w:szCs w:val="24"/>
        </w:rPr>
      </w:pPr>
      <w:r>
        <w:rPr>
          <w:sz w:val="24"/>
          <w:szCs w:val="24"/>
        </w:rPr>
        <w:t>Ebbene, una simile elaborazione ermeneutica</w:t>
      </w:r>
      <w:r w:rsidRPr="00F96D61">
        <w:rPr>
          <w:rStyle w:val="Rimandonotaapidipagina"/>
          <w:sz w:val="22"/>
          <w:szCs w:val="22"/>
        </w:rPr>
        <w:footnoteReference w:id="83"/>
      </w:r>
      <w:r>
        <w:rPr>
          <w:sz w:val="24"/>
          <w:szCs w:val="24"/>
        </w:rPr>
        <w:t xml:space="preserve"> </w:t>
      </w:r>
      <w:r w:rsidR="00FF6DC4">
        <w:rPr>
          <w:sz w:val="24"/>
          <w:szCs w:val="24"/>
        </w:rPr>
        <w:t xml:space="preserve">coincide con una presa di posizione ondivaga </w:t>
      </w:r>
      <w:r w:rsidR="00F47D87">
        <w:rPr>
          <w:sz w:val="24"/>
          <w:szCs w:val="24"/>
        </w:rPr>
        <w:t xml:space="preserve">che </w:t>
      </w:r>
      <w:r>
        <w:rPr>
          <w:sz w:val="24"/>
          <w:szCs w:val="24"/>
        </w:rPr>
        <w:t>sembra in realtà contraddire la stessa ratio dell’istituto che regge la premessa maggiore del sillogismo giuridico</w:t>
      </w:r>
      <w:r w:rsidRPr="00F96D61">
        <w:rPr>
          <w:rStyle w:val="Rimandonotaapidipagina"/>
          <w:sz w:val="22"/>
          <w:szCs w:val="22"/>
        </w:rPr>
        <w:footnoteReference w:id="84"/>
      </w:r>
      <w:r>
        <w:rPr>
          <w:sz w:val="24"/>
          <w:szCs w:val="24"/>
        </w:rPr>
        <w:t>.</w:t>
      </w:r>
    </w:p>
    <w:p w14:paraId="09498967" w14:textId="77777777" w:rsidR="00F47D87" w:rsidRDefault="00F47D87" w:rsidP="00C24B0B">
      <w:pPr>
        <w:contextualSpacing/>
        <w:jc w:val="both"/>
        <w:rPr>
          <w:sz w:val="24"/>
          <w:szCs w:val="24"/>
        </w:rPr>
      </w:pPr>
      <w:r>
        <w:rPr>
          <w:sz w:val="24"/>
          <w:szCs w:val="24"/>
        </w:rPr>
        <w:t>I dubbi appaiono ragionevoli nella misura in cui si raffronti requisito del “medesimo reato” con l’esito della applicazione dell’art. 110 c.p.</w:t>
      </w:r>
    </w:p>
    <w:p w14:paraId="4AC954F2" w14:textId="1CA0F053" w:rsidR="00F47D87" w:rsidRDefault="00F47D87" w:rsidP="00C24B0B">
      <w:pPr>
        <w:contextualSpacing/>
        <w:jc w:val="both"/>
        <w:rPr>
          <w:sz w:val="24"/>
          <w:szCs w:val="24"/>
        </w:rPr>
      </w:pPr>
      <w:r>
        <w:rPr>
          <w:sz w:val="24"/>
          <w:szCs w:val="24"/>
        </w:rPr>
        <w:t xml:space="preserve">Nella condotta atipica viene riconosciuta una natura differente </w:t>
      </w:r>
      <w:r w:rsidR="00412436">
        <w:rPr>
          <w:sz w:val="24"/>
          <w:szCs w:val="24"/>
        </w:rPr>
        <w:t xml:space="preserve">(eventualmente permanente) </w:t>
      </w:r>
      <w:r>
        <w:rPr>
          <w:sz w:val="24"/>
          <w:szCs w:val="24"/>
        </w:rPr>
        <w:t>rispetto a quella della fattispecie incriminatrice (necessariamente permanente)</w:t>
      </w:r>
      <w:r w:rsidRPr="00F47D87">
        <w:rPr>
          <w:rStyle w:val="Rimandonotaapidipagina"/>
          <w:sz w:val="22"/>
          <w:szCs w:val="22"/>
        </w:rPr>
        <w:footnoteReference w:id="85"/>
      </w:r>
      <w:r>
        <w:rPr>
          <w:sz w:val="24"/>
          <w:szCs w:val="24"/>
        </w:rPr>
        <w:t>.</w:t>
      </w:r>
    </w:p>
    <w:p w14:paraId="238B3928" w14:textId="19FC90C1" w:rsidR="00246EF9" w:rsidRDefault="00537796" w:rsidP="00C24B0B">
      <w:pPr>
        <w:contextualSpacing/>
        <w:jc w:val="both"/>
        <w:rPr>
          <w:sz w:val="24"/>
          <w:szCs w:val="24"/>
        </w:rPr>
      </w:pPr>
      <w:r>
        <w:rPr>
          <w:sz w:val="24"/>
          <w:szCs w:val="24"/>
        </w:rPr>
        <w:t xml:space="preserve">La riflessione sull’ontologia della fattispecie di concorso </w:t>
      </w:r>
      <w:r w:rsidR="00584D94">
        <w:rPr>
          <w:sz w:val="24"/>
          <w:szCs w:val="24"/>
        </w:rPr>
        <w:t>apre un varco a considerazion</w:t>
      </w:r>
      <w:r w:rsidR="00A352B4">
        <w:rPr>
          <w:sz w:val="24"/>
          <w:szCs w:val="24"/>
        </w:rPr>
        <w:t xml:space="preserve">i </w:t>
      </w:r>
      <w:r>
        <w:rPr>
          <w:sz w:val="24"/>
          <w:szCs w:val="24"/>
        </w:rPr>
        <w:t>più profonde sul sillogismo giuridico che regge la figura</w:t>
      </w:r>
      <w:r w:rsidRPr="00B1588C">
        <w:rPr>
          <w:rStyle w:val="Rimandonotaapidipagina"/>
          <w:sz w:val="22"/>
          <w:szCs w:val="22"/>
        </w:rPr>
        <w:footnoteReference w:id="86"/>
      </w:r>
      <w:r>
        <w:rPr>
          <w:sz w:val="24"/>
          <w:szCs w:val="24"/>
        </w:rPr>
        <w:t xml:space="preserve">. </w:t>
      </w:r>
    </w:p>
    <w:p w14:paraId="06967CCA" w14:textId="1170DD5B" w:rsidR="00A352B4" w:rsidRDefault="00F96D61" w:rsidP="00C24B0B">
      <w:pPr>
        <w:contextualSpacing/>
        <w:jc w:val="both"/>
        <w:rPr>
          <w:sz w:val="24"/>
          <w:szCs w:val="24"/>
        </w:rPr>
      </w:pPr>
      <w:r>
        <w:rPr>
          <w:sz w:val="24"/>
          <w:szCs w:val="24"/>
        </w:rPr>
        <w:t>L</w:t>
      </w:r>
      <w:r w:rsidR="00B54321">
        <w:rPr>
          <w:sz w:val="24"/>
          <w:szCs w:val="24"/>
        </w:rPr>
        <w:t xml:space="preserve">a chiave </w:t>
      </w:r>
      <w:r>
        <w:rPr>
          <w:sz w:val="24"/>
          <w:szCs w:val="24"/>
        </w:rPr>
        <w:t>esegetica</w:t>
      </w:r>
      <w:r w:rsidR="00B54321">
        <w:rPr>
          <w:sz w:val="24"/>
          <w:szCs w:val="24"/>
        </w:rPr>
        <w:t xml:space="preserve"> fornita dalla giurisprudenza induce</w:t>
      </w:r>
      <w:r w:rsidR="00537796">
        <w:rPr>
          <w:sz w:val="24"/>
          <w:szCs w:val="24"/>
        </w:rPr>
        <w:t>,</w:t>
      </w:r>
      <w:r w:rsidR="00B54321">
        <w:rPr>
          <w:sz w:val="24"/>
          <w:szCs w:val="24"/>
        </w:rPr>
        <w:t xml:space="preserve"> </w:t>
      </w:r>
      <w:r w:rsidR="00537796">
        <w:rPr>
          <w:sz w:val="24"/>
          <w:szCs w:val="24"/>
        </w:rPr>
        <w:t>infatti,</w:t>
      </w:r>
      <w:r w:rsidR="00A352B4">
        <w:rPr>
          <w:sz w:val="24"/>
          <w:szCs w:val="24"/>
        </w:rPr>
        <w:t xml:space="preserve"> ad interrogarsi sul fondamento giuridico della figura del </w:t>
      </w:r>
      <w:r w:rsidR="00B1588C">
        <w:rPr>
          <w:sz w:val="24"/>
          <w:szCs w:val="24"/>
        </w:rPr>
        <w:t>concorso</w:t>
      </w:r>
      <w:r w:rsidR="00A352B4">
        <w:rPr>
          <w:sz w:val="24"/>
          <w:szCs w:val="24"/>
        </w:rPr>
        <w:t xml:space="preserve"> eventuale nel reato di associazione mafiosa. </w:t>
      </w:r>
    </w:p>
    <w:p w14:paraId="679A89AE" w14:textId="6F94268B" w:rsidR="000C7FD3" w:rsidRDefault="00A352B4" w:rsidP="00C24B0B">
      <w:pPr>
        <w:contextualSpacing/>
        <w:jc w:val="both"/>
        <w:rPr>
          <w:sz w:val="24"/>
          <w:szCs w:val="24"/>
        </w:rPr>
      </w:pPr>
      <w:r>
        <w:rPr>
          <w:sz w:val="24"/>
          <w:szCs w:val="24"/>
        </w:rPr>
        <w:t xml:space="preserve">In termini generali, una lettura ragionata </w:t>
      </w:r>
      <w:r w:rsidR="006367C5">
        <w:rPr>
          <w:sz w:val="24"/>
          <w:szCs w:val="24"/>
        </w:rPr>
        <w:t>dell’approdo ermeneutico</w:t>
      </w:r>
      <w:r w:rsidR="006367C5" w:rsidRPr="00F96D61">
        <w:rPr>
          <w:rStyle w:val="Rimandonotaapidipagina"/>
          <w:sz w:val="22"/>
          <w:szCs w:val="22"/>
        </w:rPr>
        <w:footnoteReference w:id="87"/>
      </w:r>
      <w:r>
        <w:rPr>
          <w:sz w:val="24"/>
          <w:szCs w:val="24"/>
        </w:rPr>
        <w:t xml:space="preserve"> </w:t>
      </w:r>
      <w:r w:rsidR="00B1588C">
        <w:rPr>
          <w:sz w:val="24"/>
          <w:szCs w:val="24"/>
        </w:rPr>
        <w:t>potrebbe legittimare l’ipotesi</w:t>
      </w:r>
      <w:r w:rsidR="006367C5">
        <w:rPr>
          <w:sz w:val="24"/>
          <w:szCs w:val="24"/>
        </w:rPr>
        <w:t xml:space="preserve"> </w:t>
      </w:r>
      <w:r>
        <w:rPr>
          <w:sz w:val="24"/>
          <w:szCs w:val="24"/>
        </w:rPr>
        <w:t xml:space="preserve">che </w:t>
      </w:r>
      <w:r w:rsidR="00B1588C">
        <w:rPr>
          <w:sz w:val="24"/>
          <w:szCs w:val="24"/>
        </w:rPr>
        <w:t>una corretta applicazione della tecnica della combinazione di norme non sarebbe sempre in grado di giustificare la punibilità dell’extraneus.</w:t>
      </w:r>
      <w:r w:rsidR="00BC290B">
        <w:rPr>
          <w:sz w:val="24"/>
          <w:szCs w:val="24"/>
        </w:rPr>
        <w:t xml:space="preserve"> </w:t>
      </w:r>
    </w:p>
    <w:p w14:paraId="4B688D66" w14:textId="183535B7" w:rsidR="006367C5" w:rsidRDefault="00492871" w:rsidP="00C24B0B">
      <w:pPr>
        <w:contextualSpacing/>
        <w:jc w:val="both"/>
        <w:rPr>
          <w:sz w:val="24"/>
          <w:szCs w:val="24"/>
        </w:rPr>
      </w:pPr>
      <w:r>
        <w:rPr>
          <w:sz w:val="24"/>
          <w:szCs w:val="24"/>
        </w:rPr>
        <w:lastRenderedPageBreak/>
        <w:t>In tale evenienza</w:t>
      </w:r>
      <w:r w:rsidR="006367C5">
        <w:rPr>
          <w:sz w:val="24"/>
          <w:szCs w:val="24"/>
        </w:rPr>
        <w:t>,</w:t>
      </w:r>
      <w:r>
        <w:rPr>
          <w:sz w:val="24"/>
          <w:szCs w:val="24"/>
        </w:rPr>
        <w:t xml:space="preserve"> il concorso esterno in associazione mafiosa</w:t>
      </w:r>
      <w:r w:rsidR="006367C5">
        <w:rPr>
          <w:sz w:val="24"/>
          <w:szCs w:val="24"/>
        </w:rPr>
        <w:t xml:space="preserve"> </w:t>
      </w:r>
      <w:r>
        <w:rPr>
          <w:sz w:val="24"/>
          <w:szCs w:val="24"/>
        </w:rPr>
        <w:t>rileverebbe come</w:t>
      </w:r>
      <w:r w:rsidR="006367C5">
        <w:rPr>
          <w:sz w:val="24"/>
          <w:szCs w:val="24"/>
        </w:rPr>
        <w:t xml:space="preserve"> fattispecie</w:t>
      </w:r>
      <w:r w:rsidR="00A145C5">
        <w:rPr>
          <w:sz w:val="24"/>
          <w:szCs w:val="24"/>
        </w:rPr>
        <w:t xml:space="preserve"> </w:t>
      </w:r>
      <w:r w:rsidR="00BC290B">
        <w:rPr>
          <w:sz w:val="24"/>
          <w:szCs w:val="24"/>
        </w:rPr>
        <w:t xml:space="preserve">fenomenologicamente </w:t>
      </w:r>
      <w:r w:rsidR="006367C5">
        <w:rPr>
          <w:sz w:val="24"/>
          <w:szCs w:val="24"/>
        </w:rPr>
        <w:t xml:space="preserve">e normativamente </w:t>
      </w:r>
      <w:r>
        <w:rPr>
          <w:sz w:val="24"/>
          <w:szCs w:val="24"/>
        </w:rPr>
        <w:t>autonoma</w:t>
      </w:r>
      <w:r w:rsidR="006367C5">
        <w:rPr>
          <w:sz w:val="24"/>
          <w:szCs w:val="24"/>
        </w:rPr>
        <w:t>, dotata di una propria tassativa dimensione tipologica</w:t>
      </w:r>
      <w:r>
        <w:rPr>
          <w:sz w:val="24"/>
          <w:szCs w:val="24"/>
        </w:rPr>
        <w:t xml:space="preserve">.  </w:t>
      </w:r>
    </w:p>
    <w:p w14:paraId="49D87E8B" w14:textId="1E883441" w:rsidR="00861BAA" w:rsidRDefault="006367C5" w:rsidP="00C24B0B">
      <w:pPr>
        <w:contextualSpacing/>
        <w:jc w:val="both"/>
        <w:rPr>
          <w:sz w:val="24"/>
          <w:szCs w:val="24"/>
        </w:rPr>
      </w:pPr>
      <w:r>
        <w:rPr>
          <w:sz w:val="24"/>
          <w:szCs w:val="24"/>
        </w:rPr>
        <w:t>Seguendo un simile percorso argomentativo</w:t>
      </w:r>
      <w:r w:rsidR="000C7FD3">
        <w:rPr>
          <w:sz w:val="24"/>
          <w:szCs w:val="24"/>
        </w:rPr>
        <w:t xml:space="preserve">, una parte </w:t>
      </w:r>
      <w:r w:rsidR="00771936">
        <w:rPr>
          <w:sz w:val="24"/>
          <w:szCs w:val="24"/>
        </w:rPr>
        <w:t>della dottrina riconosce nella «</w:t>
      </w:r>
      <w:r w:rsidR="000C7FD3" w:rsidRPr="005861F1">
        <w:rPr>
          <w:i/>
          <w:sz w:val="24"/>
          <w:szCs w:val="24"/>
        </w:rPr>
        <w:t>sentenza Mannino</w:t>
      </w:r>
      <w:r w:rsidR="00771936">
        <w:rPr>
          <w:sz w:val="24"/>
          <w:szCs w:val="24"/>
        </w:rPr>
        <w:t>»</w:t>
      </w:r>
      <w:r w:rsidR="000C7FD3">
        <w:rPr>
          <w:sz w:val="24"/>
          <w:szCs w:val="24"/>
        </w:rPr>
        <w:t xml:space="preserve"> il formante giurisprudenziale della fattispecie </w:t>
      </w:r>
      <w:r>
        <w:rPr>
          <w:sz w:val="24"/>
          <w:szCs w:val="24"/>
        </w:rPr>
        <w:t>in disamina</w:t>
      </w:r>
      <w:r w:rsidR="00BC290B" w:rsidRPr="00492871">
        <w:rPr>
          <w:rStyle w:val="Rimandonotaapidipagina"/>
          <w:sz w:val="22"/>
          <w:szCs w:val="22"/>
        </w:rPr>
        <w:footnoteReference w:id="88"/>
      </w:r>
      <w:r w:rsidR="00BC290B">
        <w:rPr>
          <w:sz w:val="24"/>
          <w:szCs w:val="24"/>
        </w:rPr>
        <w:t xml:space="preserve">. </w:t>
      </w:r>
    </w:p>
    <w:p w14:paraId="34DE8A4B" w14:textId="79F1A815" w:rsidR="00AF6322" w:rsidRDefault="00AF6322" w:rsidP="00C24B0B">
      <w:pPr>
        <w:contextualSpacing/>
        <w:jc w:val="both"/>
        <w:rPr>
          <w:sz w:val="24"/>
          <w:szCs w:val="24"/>
        </w:rPr>
      </w:pPr>
      <w:r>
        <w:rPr>
          <w:sz w:val="24"/>
          <w:szCs w:val="24"/>
        </w:rPr>
        <w:t>L’orientamento riconosce nella pronuncia del 2005 la pietra angolare del</w:t>
      </w:r>
      <w:r w:rsidRPr="00AF6322">
        <w:rPr>
          <w:sz w:val="24"/>
          <w:szCs w:val="24"/>
        </w:rPr>
        <w:t xml:space="preserve">la </w:t>
      </w:r>
      <w:r w:rsidR="00771936">
        <w:rPr>
          <w:sz w:val="24"/>
          <w:szCs w:val="24"/>
        </w:rPr>
        <w:t>«</w:t>
      </w:r>
      <w:r w:rsidRPr="00AF6322">
        <w:rPr>
          <w:i/>
          <w:sz w:val="24"/>
          <w:szCs w:val="24"/>
        </w:rPr>
        <w:t>istituzionalizzazione di un reato causale di evento, indiscutibilmente istantaneo</w:t>
      </w:r>
      <w:r w:rsidR="00771936">
        <w:rPr>
          <w:sz w:val="24"/>
          <w:szCs w:val="24"/>
        </w:rPr>
        <w:t>»</w:t>
      </w:r>
      <w:r w:rsidRPr="00AF6322">
        <w:rPr>
          <w:rStyle w:val="Rimandonotaapidipagina"/>
          <w:sz w:val="22"/>
          <w:szCs w:val="22"/>
        </w:rPr>
        <w:footnoteReference w:id="89"/>
      </w:r>
      <w:r w:rsidRPr="00AF6322">
        <w:rPr>
          <w:sz w:val="24"/>
          <w:szCs w:val="24"/>
        </w:rPr>
        <w:t>.</w:t>
      </w:r>
    </w:p>
    <w:p w14:paraId="2B1AB80F" w14:textId="07CF4033" w:rsidR="00492871" w:rsidRDefault="00492871" w:rsidP="00C24B0B">
      <w:pPr>
        <w:contextualSpacing/>
        <w:jc w:val="both"/>
        <w:rPr>
          <w:sz w:val="24"/>
          <w:szCs w:val="24"/>
        </w:rPr>
      </w:pPr>
      <w:r>
        <w:rPr>
          <w:sz w:val="24"/>
          <w:szCs w:val="24"/>
        </w:rPr>
        <w:t>L’ipotesi, se dimostrata, sortirebbe un impatto sistematico ed ermeneutico dirompente; per tale ragione essa merita di essere vagliata per gradi.</w:t>
      </w:r>
    </w:p>
    <w:p w14:paraId="0F732D26" w14:textId="6F37DCC1" w:rsidR="000C7FD3" w:rsidRPr="000C7FD3" w:rsidRDefault="000C7FD3" w:rsidP="00C24B0B">
      <w:pPr>
        <w:contextualSpacing/>
        <w:jc w:val="both"/>
        <w:rPr>
          <w:sz w:val="24"/>
          <w:szCs w:val="24"/>
        </w:rPr>
      </w:pPr>
      <w:r>
        <w:rPr>
          <w:sz w:val="24"/>
          <w:szCs w:val="24"/>
        </w:rPr>
        <w:t xml:space="preserve">In </w:t>
      </w:r>
      <w:r w:rsidR="00492871">
        <w:rPr>
          <w:sz w:val="24"/>
          <w:szCs w:val="24"/>
        </w:rPr>
        <w:t xml:space="preserve">via di prima approssimazione giova considerare come, </w:t>
      </w:r>
      <w:r>
        <w:rPr>
          <w:sz w:val="24"/>
          <w:szCs w:val="24"/>
        </w:rPr>
        <w:t xml:space="preserve">non senza nascondere l’incondizionato affidamento ai principi espressi delle Sezioni Unite, si sostiene che </w:t>
      </w:r>
      <w:r w:rsidR="00246EF9">
        <w:rPr>
          <w:sz w:val="24"/>
          <w:szCs w:val="24"/>
        </w:rPr>
        <w:t>“</w:t>
      </w:r>
      <w:r>
        <w:rPr>
          <w:sz w:val="24"/>
          <w:szCs w:val="24"/>
        </w:rPr>
        <w:t>partecipare</w:t>
      </w:r>
      <w:r w:rsidR="00246EF9">
        <w:rPr>
          <w:sz w:val="24"/>
          <w:szCs w:val="24"/>
        </w:rPr>
        <w:t>”</w:t>
      </w:r>
      <w:r>
        <w:rPr>
          <w:sz w:val="24"/>
          <w:szCs w:val="24"/>
        </w:rPr>
        <w:t xml:space="preserve"> è </w:t>
      </w:r>
      <w:r w:rsidR="00246EF9">
        <w:rPr>
          <w:sz w:val="24"/>
          <w:szCs w:val="24"/>
        </w:rPr>
        <w:t xml:space="preserve">qualcosa di empiricamente e giuridicamente </w:t>
      </w:r>
      <w:r>
        <w:rPr>
          <w:sz w:val="24"/>
          <w:szCs w:val="24"/>
        </w:rPr>
        <w:t xml:space="preserve">diverso da </w:t>
      </w:r>
      <w:r w:rsidR="00246EF9">
        <w:rPr>
          <w:sz w:val="24"/>
          <w:szCs w:val="24"/>
        </w:rPr>
        <w:t>“</w:t>
      </w:r>
      <w:r>
        <w:rPr>
          <w:sz w:val="24"/>
          <w:szCs w:val="24"/>
        </w:rPr>
        <w:t>contribuire</w:t>
      </w:r>
      <w:r w:rsidR="00246EF9">
        <w:rPr>
          <w:sz w:val="24"/>
          <w:szCs w:val="24"/>
        </w:rPr>
        <w:t>”</w:t>
      </w:r>
      <w:r w:rsidRPr="00246EF9">
        <w:rPr>
          <w:rStyle w:val="Rimandonotaapidipagina"/>
          <w:sz w:val="22"/>
          <w:szCs w:val="22"/>
        </w:rPr>
        <w:footnoteReference w:id="90"/>
      </w:r>
      <w:r>
        <w:rPr>
          <w:sz w:val="24"/>
          <w:szCs w:val="24"/>
        </w:rPr>
        <w:t>.</w:t>
      </w:r>
    </w:p>
    <w:p w14:paraId="5053BE1E" w14:textId="59347336" w:rsidR="00AF1E4F" w:rsidRDefault="00AF6322" w:rsidP="00C24B0B">
      <w:pPr>
        <w:contextualSpacing/>
        <w:jc w:val="both"/>
        <w:rPr>
          <w:sz w:val="24"/>
          <w:szCs w:val="24"/>
        </w:rPr>
      </w:pPr>
      <w:r>
        <w:rPr>
          <w:sz w:val="24"/>
          <w:szCs w:val="24"/>
        </w:rPr>
        <w:t>D</w:t>
      </w:r>
      <w:r w:rsidR="000C7FD3">
        <w:rPr>
          <w:sz w:val="24"/>
          <w:szCs w:val="24"/>
        </w:rPr>
        <w:t>unque,</w:t>
      </w:r>
      <w:r w:rsidR="00991FC0" w:rsidRPr="00E47830">
        <w:rPr>
          <w:sz w:val="24"/>
          <w:szCs w:val="24"/>
        </w:rPr>
        <w:t xml:space="preserve"> </w:t>
      </w:r>
      <w:r w:rsidR="00CF6165" w:rsidRPr="00E47830">
        <w:rPr>
          <w:sz w:val="24"/>
          <w:szCs w:val="24"/>
        </w:rPr>
        <w:t xml:space="preserve">il delitto </w:t>
      </w:r>
      <w:r w:rsidR="006367C5">
        <w:rPr>
          <w:sz w:val="24"/>
          <w:szCs w:val="24"/>
        </w:rPr>
        <w:t>di cui al</w:t>
      </w:r>
      <w:r>
        <w:rPr>
          <w:sz w:val="24"/>
          <w:szCs w:val="24"/>
        </w:rPr>
        <w:t xml:space="preserve"> primo comma del</w:t>
      </w:r>
      <w:r w:rsidR="006367C5">
        <w:rPr>
          <w:sz w:val="24"/>
          <w:szCs w:val="24"/>
        </w:rPr>
        <w:t xml:space="preserve">l’art. 416-bis c.p. </w:t>
      </w:r>
      <w:r>
        <w:rPr>
          <w:sz w:val="24"/>
          <w:szCs w:val="24"/>
        </w:rPr>
        <w:t xml:space="preserve">costituirebbe un’insenatura naturale, adatta ad accogliere la </w:t>
      </w:r>
      <w:r w:rsidR="00CF6165" w:rsidRPr="00E47830">
        <w:rPr>
          <w:sz w:val="24"/>
          <w:szCs w:val="24"/>
        </w:rPr>
        <w:t>prestazione del concorrente esterno</w:t>
      </w:r>
      <w:r>
        <w:rPr>
          <w:sz w:val="24"/>
          <w:szCs w:val="24"/>
        </w:rPr>
        <w:t>, combinandosi con essa</w:t>
      </w:r>
      <w:r w:rsidR="00CF6165" w:rsidRPr="00E47830">
        <w:rPr>
          <w:sz w:val="24"/>
          <w:szCs w:val="24"/>
        </w:rPr>
        <w:t xml:space="preserve"> in una chiara logica di continuità delittuosa</w:t>
      </w:r>
      <w:r w:rsidR="00AF1E4F">
        <w:rPr>
          <w:sz w:val="24"/>
          <w:szCs w:val="24"/>
        </w:rPr>
        <w:t>.</w:t>
      </w:r>
      <w:r w:rsidR="000C7FD3">
        <w:rPr>
          <w:sz w:val="24"/>
          <w:szCs w:val="24"/>
        </w:rPr>
        <w:t xml:space="preserve"> </w:t>
      </w:r>
    </w:p>
    <w:p w14:paraId="60F38D93" w14:textId="3F236AAD" w:rsidR="003A39DA" w:rsidRDefault="00AF1E4F" w:rsidP="00C24B0B">
      <w:pPr>
        <w:contextualSpacing/>
        <w:jc w:val="both"/>
        <w:rPr>
          <w:sz w:val="24"/>
          <w:szCs w:val="24"/>
        </w:rPr>
      </w:pPr>
      <w:r>
        <w:rPr>
          <w:sz w:val="24"/>
          <w:szCs w:val="24"/>
        </w:rPr>
        <w:t xml:space="preserve">Ciononostante </w:t>
      </w:r>
      <w:r w:rsidR="006367C5">
        <w:rPr>
          <w:sz w:val="24"/>
          <w:szCs w:val="24"/>
        </w:rPr>
        <w:t>potrebbe o</w:t>
      </w:r>
      <w:r w:rsidR="00492871">
        <w:rPr>
          <w:sz w:val="24"/>
          <w:szCs w:val="24"/>
        </w:rPr>
        <w:t>biettarsi</w:t>
      </w:r>
      <w:r w:rsidR="006367C5">
        <w:rPr>
          <w:sz w:val="24"/>
          <w:szCs w:val="24"/>
        </w:rPr>
        <w:t xml:space="preserve"> che esso</w:t>
      </w:r>
      <w:r>
        <w:rPr>
          <w:sz w:val="24"/>
          <w:szCs w:val="24"/>
        </w:rPr>
        <w:t xml:space="preserve"> resta un contributo </w:t>
      </w:r>
      <w:r w:rsidR="00AF6322">
        <w:rPr>
          <w:sz w:val="24"/>
          <w:szCs w:val="24"/>
        </w:rPr>
        <w:t>non qualificato</w:t>
      </w:r>
      <w:r>
        <w:rPr>
          <w:sz w:val="24"/>
          <w:szCs w:val="24"/>
        </w:rPr>
        <w:t xml:space="preserve"> </w:t>
      </w:r>
      <w:r w:rsidR="00AF6322">
        <w:rPr>
          <w:sz w:val="24"/>
          <w:szCs w:val="24"/>
        </w:rPr>
        <w:t>d</w:t>
      </w:r>
      <w:r>
        <w:rPr>
          <w:sz w:val="24"/>
          <w:szCs w:val="24"/>
        </w:rPr>
        <w:t>al</w:t>
      </w:r>
      <w:r w:rsidR="00492871">
        <w:rPr>
          <w:sz w:val="24"/>
          <w:szCs w:val="24"/>
        </w:rPr>
        <w:t>la norma incriminatrice</w:t>
      </w:r>
      <w:r>
        <w:rPr>
          <w:sz w:val="24"/>
          <w:szCs w:val="24"/>
        </w:rPr>
        <w:t xml:space="preserve"> </w:t>
      </w:r>
      <w:r w:rsidRPr="00AF1E4F">
        <w:rPr>
          <w:i/>
          <w:sz w:val="24"/>
          <w:szCs w:val="24"/>
        </w:rPr>
        <w:t>tout court</w:t>
      </w:r>
      <w:r w:rsidR="00492871">
        <w:rPr>
          <w:sz w:val="24"/>
          <w:szCs w:val="24"/>
        </w:rPr>
        <w:t xml:space="preserve"> considerata</w:t>
      </w:r>
      <w:r w:rsidR="003A39DA">
        <w:rPr>
          <w:sz w:val="24"/>
          <w:szCs w:val="24"/>
        </w:rPr>
        <w:t>.</w:t>
      </w:r>
    </w:p>
    <w:p w14:paraId="009B5C33" w14:textId="47BA998E" w:rsidR="003A39DA" w:rsidRDefault="003A39DA" w:rsidP="00C24B0B">
      <w:pPr>
        <w:contextualSpacing/>
        <w:jc w:val="both"/>
        <w:rPr>
          <w:sz w:val="24"/>
          <w:szCs w:val="24"/>
        </w:rPr>
      </w:pPr>
      <w:r>
        <w:rPr>
          <w:sz w:val="24"/>
          <w:szCs w:val="24"/>
        </w:rPr>
        <w:t xml:space="preserve">Ne conseguirebbe </w:t>
      </w:r>
      <w:r w:rsidR="00492871">
        <w:rPr>
          <w:sz w:val="24"/>
          <w:szCs w:val="24"/>
        </w:rPr>
        <w:t>la sua non autonoma</w:t>
      </w:r>
      <w:r>
        <w:rPr>
          <w:sz w:val="24"/>
          <w:szCs w:val="24"/>
        </w:rPr>
        <w:t xml:space="preserve"> </w:t>
      </w:r>
      <w:r w:rsidR="00492871">
        <w:rPr>
          <w:sz w:val="24"/>
          <w:szCs w:val="24"/>
        </w:rPr>
        <w:t>inferibilità</w:t>
      </w:r>
      <w:r w:rsidR="00AF1E4F">
        <w:rPr>
          <w:sz w:val="24"/>
          <w:szCs w:val="24"/>
        </w:rPr>
        <w:t xml:space="preserve"> se non grazie all’intercessione della tecnica della combinazione di norme.</w:t>
      </w:r>
    </w:p>
    <w:p w14:paraId="014B860C" w14:textId="5B086E73" w:rsidR="001224CD" w:rsidRPr="00E47830" w:rsidRDefault="003A39DA" w:rsidP="00C24B0B">
      <w:pPr>
        <w:contextualSpacing/>
        <w:jc w:val="both"/>
        <w:rPr>
          <w:sz w:val="24"/>
          <w:szCs w:val="24"/>
        </w:rPr>
      </w:pPr>
      <w:r>
        <w:rPr>
          <w:sz w:val="24"/>
          <w:szCs w:val="24"/>
        </w:rPr>
        <w:t>Sicchè, se la condotta, come evidenziato dalla giurisprudenza intervenuta sul punto, è atipica, l’unico modo per conferirne rilevanza penale sarebbe quella di ricorrere</w:t>
      </w:r>
      <w:r w:rsidR="00CF6165" w:rsidRPr="00E47830">
        <w:rPr>
          <w:sz w:val="24"/>
          <w:szCs w:val="24"/>
        </w:rPr>
        <w:t xml:space="preserve"> </w:t>
      </w:r>
      <w:r>
        <w:rPr>
          <w:sz w:val="24"/>
          <w:szCs w:val="24"/>
        </w:rPr>
        <w:t xml:space="preserve">all’istituto del concorso di persone nel reato. </w:t>
      </w:r>
    </w:p>
    <w:p w14:paraId="403077CE" w14:textId="2EBF9A86" w:rsidR="009B6156" w:rsidRDefault="003A39DA" w:rsidP="00C24B0B">
      <w:pPr>
        <w:contextualSpacing/>
        <w:jc w:val="both"/>
        <w:rPr>
          <w:sz w:val="24"/>
          <w:szCs w:val="24"/>
        </w:rPr>
      </w:pPr>
      <w:r>
        <w:rPr>
          <w:sz w:val="24"/>
          <w:szCs w:val="24"/>
        </w:rPr>
        <w:t xml:space="preserve">Tuttavia, </w:t>
      </w:r>
      <w:r w:rsidR="004C7BA4">
        <w:rPr>
          <w:sz w:val="24"/>
          <w:szCs w:val="24"/>
        </w:rPr>
        <w:t xml:space="preserve">adottando un’ottica visuale diametralmente opposta, </w:t>
      </w:r>
      <w:r>
        <w:rPr>
          <w:sz w:val="24"/>
          <w:szCs w:val="24"/>
        </w:rPr>
        <w:t xml:space="preserve">si potrebbe replicare </w:t>
      </w:r>
      <w:r w:rsidR="00492871">
        <w:rPr>
          <w:sz w:val="24"/>
          <w:szCs w:val="24"/>
        </w:rPr>
        <w:t xml:space="preserve">sottolineando come </w:t>
      </w:r>
      <w:r w:rsidR="009B6156">
        <w:rPr>
          <w:sz w:val="24"/>
          <w:szCs w:val="24"/>
        </w:rPr>
        <w:t>i profili di atipicità</w:t>
      </w:r>
      <w:r>
        <w:rPr>
          <w:sz w:val="24"/>
          <w:szCs w:val="24"/>
        </w:rPr>
        <w:t xml:space="preserve"> della fattispecie </w:t>
      </w:r>
      <w:r w:rsidR="009B6156">
        <w:rPr>
          <w:sz w:val="24"/>
          <w:szCs w:val="24"/>
        </w:rPr>
        <w:t xml:space="preserve">non siano desumibili se non dalle stesse pronunce che hanno contribuito, negli anni, a delineare e fondare i connotati </w:t>
      </w:r>
      <w:r w:rsidR="004C7BA4">
        <w:rPr>
          <w:sz w:val="24"/>
          <w:szCs w:val="24"/>
        </w:rPr>
        <w:t>caratteristici</w:t>
      </w:r>
      <w:r w:rsidR="009B6156">
        <w:rPr>
          <w:sz w:val="24"/>
          <w:szCs w:val="24"/>
        </w:rPr>
        <w:t xml:space="preserve"> della figura.</w:t>
      </w:r>
    </w:p>
    <w:p w14:paraId="070304A7" w14:textId="3DDDF0EA" w:rsidR="00665C9F" w:rsidRDefault="009B6156" w:rsidP="00C24B0B">
      <w:pPr>
        <w:contextualSpacing/>
        <w:jc w:val="both"/>
        <w:rPr>
          <w:sz w:val="24"/>
          <w:szCs w:val="24"/>
        </w:rPr>
      </w:pPr>
      <w:r>
        <w:rPr>
          <w:sz w:val="24"/>
          <w:szCs w:val="24"/>
        </w:rPr>
        <w:t>Con maggior sforzo esplicativo, dunque, la “tipicità giurisprudenziale” colma l’atipicità del concorso esterno in associazione mafiosa, distinguendola dalla figura tipica di diretta promanazione legale (art. 416-bis c.p.).</w:t>
      </w:r>
    </w:p>
    <w:p w14:paraId="6D0E1150" w14:textId="7E94EED4" w:rsidR="00665C9F" w:rsidRDefault="00665C9F" w:rsidP="00C24B0B">
      <w:pPr>
        <w:contextualSpacing/>
        <w:jc w:val="both"/>
        <w:rPr>
          <w:sz w:val="24"/>
          <w:szCs w:val="24"/>
        </w:rPr>
      </w:pPr>
      <w:r>
        <w:rPr>
          <w:sz w:val="24"/>
          <w:szCs w:val="24"/>
        </w:rPr>
        <w:t>Un</w:t>
      </w:r>
      <w:r w:rsidR="009B6156">
        <w:rPr>
          <w:sz w:val="24"/>
          <w:szCs w:val="24"/>
        </w:rPr>
        <w:t xml:space="preserve"> dato di</w:t>
      </w:r>
      <w:r>
        <w:rPr>
          <w:sz w:val="24"/>
          <w:szCs w:val="24"/>
        </w:rPr>
        <w:t xml:space="preserve"> lampante evidenza è</w:t>
      </w:r>
      <w:r w:rsidR="004C7BA4">
        <w:rPr>
          <w:sz w:val="24"/>
          <w:szCs w:val="24"/>
        </w:rPr>
        <w:t>, in effetti,</w:t>
      </w:r>
      <w:r>
        <w:rPr>
          <w:sz w:val="24"/>
          <w:szCs w:val="24"/>
        </w:rPr>
        <w:t xml:space="preserve"> </w:t>
      </w:r>
      <w:r w:rsidR="004C7BA4">
        <w:rPr>
          <w:sz w:val="24"/>
          <w:szCs w:val="24"/>
        </w:rPr>
        <w:t>costituito</w:t>
      </w:r>
      <w:r>
        <w:rPr>
          <w:sz w:val="24"/>
          <w:szCs w:val="24"/>
        </w:rPr>
        <w:t xml:space="preserve"> dalla ritenuta applicabilità della teoria condizionalistica</w:t>
      </w:r>
      <w:r w:rsidRPr="009B6156">
        <w:rPr>
          <w:rStyle w:val="Rimandonotaapidipagina"/>
          <w:sz w:val="22"/>
          <w:szCs w:val="22"/>
        </w:rPr>
        <w:footnoteReference w:id="91"/>
      </w:r>
      <w:r w:rsidR="00B31898">
        <w:rPr>
          <w:sz w:val="24"/>
          <w:szCs w:val="24"/>
        </w:rPr>
        <w:t>, nonché dal</w:t>
      </w:r>
      <w:r w:rsidR="00B31898" w:rsidRPr="00B31898">
        <w:rPr>
          <w:sz w:val="24"/>
          <w:szCs w:val="24"/>
        </w:rPr>
        <w:t>la puni</w:t>
      </w:r>
      <w:r w:rsidR="00B31898">
        <w:rPr>
          <w:sz w:val="24"/>
          <w:szCs w:val="24"/>
        </w:rPr>
        <w:t>bilità a titolo di dolo diretto e dalla</w:t>
      </w:r>
      <w:r w:rsidR="00B31898" w:rsidRPr="00B31898">
        <w:rPr>
          <w:sz w:val="24"/>
          <w:szCs w:val="24"/>
        </w:rPr>
        <w:t xml:space="preserve"> sottoposizione al regime sanzionatorio della sola partecipazione</w:t>
      </w:r>
      <w:r>
        <w:rPr>
          <w:sz w:val="24"/>
          <w:szCs w:val="24"/>
        </w:rPr>
        <w:t xml:space="preserve">.    </w:t>
      </w:r>
    </w:p>
    <w:p w14:paraId="60601B1B" w14:textId="7414CF25" w:rsidR="00AF1E4F" w:rsidRDefault="00665C9F" w:rsidP="00C24B0B">
      <w:pPr>
        <w:contextualSpacing/>
        <w:jc w:val="both"/>
        <w:rPr>
          <w:sz w:val="24"/>
          <w:szCs w:val="24"/>
        </w:rPr>
      </w:pPr>
      <w:r>
        <w:rPr>
          <w:sz w:val="24"/>
          <w:szCs w:val="24"/>
        </w:rPr>
        <w:lastRenderedPageBreak/>
        <w:t xml:space="preserve">In tal senso non può sfuggire all’occhio dell’interprete come </w:t>
      </w:r>
      <w:r w:rsidR="005763AA">
        <w:rPr>
          <w:sz w:val="24"/>
          <w:szCs w:val="24"/>
        </w:rPr>
        <w:t>il concorso eventuale di persone nel reato si incardini su una peculiare declinazione del criterio dell’efficienza causale</w:t>
      </w:r>
      <w:r w:rsidR="005763AA" w:rsidRPr="00B31898">
        <w:rPr>
          <w:rStyle w:val="Rimandonotaapidipagina"/>
          <w:sz w:val="22"/>
          <w:szCs w:val="22"/>
        </w:rPr>
        <w:footnoteReference w:id="92"/>
      </w:r>
      <w:r w:rsidR="005763AA">
        <w:rPr>
          <w:sz w:val="24"/>
          <w:szCs w:val="24"/>
        </w:rPr>
        <w:t xml:space="preserve">. </w:t>
      </w:r>
    </w:p>
    <w:p w14:paraId="56826A32" w14:textId="6A0E25B8" w:rsidR="00991FC0" w:rsidRDefault="005763AA" w:rsidP="00C24B0B">
      <w:pPr>
        <w:contextualSpacing/>
        <w:jc w:val="both"/>
        <w:rPr>
          <w:sz w:val="24"/>
          <w:szCs w:val="24"/>
        </w:rPr>
      </w:pPr>
      <w:r>
        <w:rPr>
          <w:sz w:val="24"/>
          <w:szCs w:val="24"/>
        </w:rPr>
        <w:t>La</w:t>
      </w:r>
      <w:r w:rsidR="00C519E6" w:rsidRPr="00E47830">
        <w:rPr>
          <w:sz w:val="24"/>
          <w:szCs w:val="24"/>
        </w:rPr>
        <w:t xml:space="preserve"> teoria della causalità agevolatrice o di rinforzo</w:t>
      </w:r>
      <w:r>
        <w:rPr>
          <w:sz w:val="24"/>
          <w:szCs w:val="24"/>
        </w:rPr>
        <w:t xml:space="preserve"> </w:t>
      </w:r>
      <w:r w:rsidR="004C7BA4">
        <w:rPr>
          <w:sz w:val="24"/>
          <w:szCs w:val="24"/>
        </w:rPr>
        <w:t>professa</w:t>
      </w:r>
      <w:r>
        <w:rPr>
          <w:sz w:val="24"/>
          <w:szCs w:val="24"/>
        </w:rPr>
        <w:t xml:space="preserve"> un adeguamento del </w:t>
      </w:r>
      <w:r w:rsidR="004C7BA4">
        <w:rPr>
          <w:sz w:val="24"/>
          <w:szCs w:val="24"/>
        </w:rPr>
        <w:t xml:space="preserve">giudizio sul </w:t>
      </w:r>
      <w:r>
        <w:rPr>
          <w:sz w:val="24"/>
          <w:szCs w:val="24"/>
        </w:rPr>
        <w:t xml:space="preserve">rapporto di causalità </w:t>
      </w:r>
      <w:r w:rsidR="004C7BA4">
        <w:rPr>
          <w:sz w:val="24"/>
          <w:szCs w:val="24"/>
        </w:rPr>
        <w:t>in conformità</w:t>
      </w:r>
      <w:r>
        <w:rPr>
          <w:sz w:val="24"/>
          <w:szCs w:val="24"/>
        </w:rPr>
        <w:t xml:space="preserve"> </w:t>
      </w:r>
      <w:r w:rsidR="004C7BA4">
        <w:rPr>
          <w:sz w:val="24"/>
          <w:szCs w:val="24"/>
        </w:rPr>
        <w:t>al</w:t>
      </w:r>
      <w:r>
        <w:rPr>
          <w:sz w:val="24"/>
          <w:szCs w:val="24"/>
        </w:rPr>
        <w:t xml:space="preserve">la ratio estensiva dell’istituto </w:t>
      </w:r>
      <w:r w:rsidR="004C7BA4">
        <w:rPr>
          <w:sz w:val="24"/>
          <w:szCs w:val="24"/>
        </w:rPr>
        <w:t>di cui all’art. 110 c.p.</w:t>
      </w:r>
      <w:r w:rsidRPr="00B31898">
        <w:rPr>
          <w:rStyle w:val="Rimandonotaapidipagina"/>
          <w:sz w:val="22"/>
          <w:szCs w:val="22"/>
        </w:rPr>
        <w:footnoteReference w:id="93"/>
      </w:r>
      <w:r w:rsidR="00C519E6" w:rsidRPr="00E47830">
        <w:rPr>
          <w:sz w:val="24"/>
          <w:szCs w:val="24"/>
        </w:rPr>
        <w:t xml:space="preserve">. </w:t>
      </w:r>
    </w:p>
    <w:p w14:paraId="5349945A" w14:textId="16EF9BF7" w:rsidR="005763AA" w:rsidRPr="00E47830" w:rsidRDefault="00771936" w:rsidP="00C24B0B">
      <w:pPr>
        <w:contextualSpacing/>
        <w:jc w:val="both"/>
        <w:rPr>
          <w:sz w:val="24"/>
          <w:szCs w:val="24"/>
        </w:rPr>
      </w:pPr>
      <w:r>
        <w:rPr>
          <w:sz w:val="24"/>
          <w:szCs w:val="24"/>
        </w:rPr>
        <w:t>Ebbene, in tal senso la «</w:t>
      </w:r>
      <w:r w:rsidR="005763AA" w:rsidRPr="005861F1">
        <w:rPr>
          <w:i/>
          <w:sz w:val="24"/>
          <w:szCs w:val="24"/>
        </w:rPr>
        <w:t>sentenza Mannino</w:t>
      </w:r>
      <w:r>
        <w:rPr>
          <w:sz w:val="24"/>
          <w:szCs w:val="24"/>
        </w:rPr>
        <w:t>»</w:t>
      </w:r>
      <w:r w:rsidR="005763AA">
        <w:rPr>
          <w:sz w:val="24"/>
          <w:szCs w:val="24"/>
        </w:rPr>
        <w:t xml:space="preserve"> sembra </w:t>
      </w:r>
      <w:r w:rsidR="004C7BA4">
        <w:rPr>
          <w:sz w:val="24"/>
          <w:szCs w:val="24"/>
        </w:rPr>
        <w:t xml:space="preserve">aver </w:t>
      </w:r>
      <w:r w:rsidR="00B31898">
        <w:rPr>
          <w:sz w:val="24"/>
          <w:szCs w:val="24"/>
        </w:rPr>
        <w:t xml:space="preserve">corroborato </w:t>
      </w:r>
      <w:r w:rsidR="004C7BA4">
        <w:rPr>
          <w:sz w:val="24"/>
          <w:szCs w:val="24"/>
        </w:rPr>
        <w:t xml:space="preserve">e precisato </w:t>
      </w:r>
      <w:r w:rsidR="00B31898">
        <w:rPr>
          <w:sz w:val="24"/>
          <w:szCs w:val="24"/>
        </w:rPr>
        <w:t>la</w:t>
      </w:r>
      <w:r w:rsidR="005763AA" w:rsidRPr="005763AA">
        <w:rPr>
          <w:sz w:val="24"/>
          <w:szCs w:val="24"/>
        </w:rPr>
        <w:t xml:space="preserve"> scelta interpretativa che disattende l</w:t>
      </w:r>
      <w:r w:rsidR="005763AA">
        <w:rPr>
          <w:sz w:val="24"/>
          <w:szCs w:val="24"/>
        </w:rPr>
        <w:t>’adesione al</w:t>
      </w:r>
      <w:r w:rsidR="005763AA" w:rsidRPr="005763AA">
        <w:rPr>
          <w:sz w:val="24"/>
          <w:szCs w:val="24"/>
        </w:rPr>
        <w:t xml:space="preserve"> tradizionale </w:t>
      </w:r>
      <w:r w:rsidR="004C7BA4">
        <w:rPr>
          <w:sz w:val="24"/>
          <w:szCs w:val="24"/>
        </w:rPr>
        <w:t xml:space="preserve">e dogmatico </w:t>
      </w:r>
      <w:r w:rsidR="005763AA">
        <w:rPr>
          <w:sz w:val="24"/>
          <w:szCs w:val="24"/>
        </w:rPr>
        <w:t xml:space="preserve">regime eziologico </w:t>
      </w:r>
      <w:r w:rsidR="004C7BA4">
        <w:rPr>
          <w:sz w:val="24"/>
          <w:szCs w:val="24"/>
        </w:rPr>
        <w:t>del concorso di persone nel reato</w:t>
      </w:r>
      <w:r w:rsidR="005763AA">
        <w:rPr>
          <w:sz w:val="24"/>
          <w:szCs w:val="24"/>
        </w:rPr>
        <w:t xml:space="preserve">. </w:t>
      </w:r>
    </w:p>
    <w:p w14:paraId="4BF87384" w14:textId="77777777" w:rsidR="005763AA" w:rsidRDefault="005763AA" w:rsidP="00C24B0B">
      <w:pPr>
        <w:contextualSpacing/>
        <w:jc w:val="both"/>
        <w:rPr>
          <w:sz w:val="24"/>
          <w:szCs w:val="24"/>
        </w:rPr>
      </w:pPr>
    </w:p>
    <w:p w14:paraId="2F5154FF" w14:textId="1D6EA77B" w:rsidR="00195A59" w:rsidRPr="00EE4F02" w:rsidRDefault="00EE4F02" w:rsidP="00C24B0B">
      <w:pPr>
        <w:contextualSpacing/>
        <w:jc w:val="both"/>
        <w:rPr>
          <w:i/>
          <w:sz w:val="24"/>
          <w:szCs w:val="24"/>
        </w:rPr>
      </w:pPr>
      <w:r w:rsidRPr="00EE4F02">
        <w:rPr>
          <w:i/>
          <w:sz w:val="24"/>
          <w:szCs w:val="24"/>
        </w:rPr>
        <w:t xml:space="preserve">5. </w:t>
      </w:r>
      <w:r w:rsidR="005763AA" w:rsidRPr="00EE4F02">
        <w:rPr>
          <w:i/>
          <w:sz w:val="24"/>
          <w:szCs w:val="24"/>
        </w:rPr>
        <w:t>L’ana</w:t>
      </w:r>
      <w:r>
        <w:rPr>
          <w:i/>
          <w:sz w:val="24"/>
          <w:szCs w:val="24"/>
        </w:rPr>
        <w:t xml:space="preserve">lisi critica della fattispecie. </w:t>
      </w:r>
      <w:r w:rsidR="00B31898">
        <w:rPr>
          <w:sz w:val="24"/>
          <w:szCs w:val="24"/>
        </w:rPr>
        <w:t xml:space="preserve">Le argomentazioni condotte inducono a riflessioni di carattere sistematico. </w:t>
      </w:r>
    </w:p>
    <w:p w14:paraId="15D0A139" w14:textId="2961FDC6" w:rsidR="00B31898" w:rsidRDefault="00B31898" w:rsidP="00C24B0B">
      <w:pPr>
        <w:contextualSpacing/>
        <w:jc w:val="both"/>
        <w:rPr>
          <w:sz w:val="24"/>
          <w:szCs w:val="24"/>
        </w:rPr>
      </w:pPr>
      <w:r>
        <w:rPr>
          <w:sz w:val="24"/>
          <w:szCs w:val="24"/>
        </w:rPr>
        <w:t xml:space="preserve">In questa sede, appare opportuno non abbandonarsi a recessivi atti </w:t>
      </w:r>
      <w:r w:rsidRPr="00B31898">
        <w:rPr>
          <w:sz w:val="24"/>
          <w:szCs w:val="24"/>
        </w:rPr>
        <w:t>di fede</w:t>
      </w:r>
      <w:r>
        <w:rPr>
          <w:sz w:val="24"/>
          <w:szCs w:val="24"/>
        </w:rPr>
        <w:t xml:space="preserve">, intesi a prendere </w:t>
      </w:r>
      <w:r w:rsidRPr="00B31898">
        <w:rPr>
          <w:sz w:val="24"/>
          <w:szCs w:val="24"/>
        </w:rPr>
        <w:t xml:space="preserve">coscienza </w:t>
      </w:r>
      <w:r>
        <w:rPr>
          <w:sz w:val="24"/>
          <w:szCs w:val="24"/>
        </w:rPr>
        <w:t>dell’</w:t>
      </w:r>
      <w:r w:rsidRPr="00B31898">
        <w:rPr>
          <w:sz w:val="24"/>
          <w:szCs w:val="24"/>
        </w:rPr>
        <w:t xml:space="preserve">anomalia </w:t>
      </w:r>
      <w:r>
        <w:rPr>
          <w:sz w:val="24"/>
          <w:szCs w:val="24"/>
        </w:rPr>
        <w:t xml:space="preserve">dogmatica insita nel </w:t>
      </w:r>
      <w:r w:rsidRPr="00B31898">
        <w:rPr>
          <w:sz w:val="24"/>
          <w:szCs w:val="24"/>
        </w:rPr>
        <w:t>sistema penalistico</w:t>
      </w:r>
      <w:r>
        <w:rPr>
          <w:sz w:val="24"/>
          <w:szCs w:val="24"/>
        </w:rPr>
        <w:t>.</w:t>
      </w:r>
    </w:p>
    <w:p w14:paraId="7956BF0D" w14:textId="13B79626" w:rsidR="00B31898" w:rsidRDefault="00B31898" w:rsidP="00C24B0B">
      <w:pPr>
        <w:contextualSpacing/>
        <w:jc w:val="both"/>
        <w:rPr>
          <w:sz w:val="24"/>
          <w:szCs w:val="24"/>
        </w:rPr>
      </w:pPr>
      <w:r>
        <w:rPr>
          <w:sz w:val="24"/>
          <w:szCs w:val="24"/>
        </w:rPr>
        <w:t>R</w:t>
      </w:r>
      <w:r w:rsidRPr="00B31898">
        <w:rPr>
          <w:sz w:val="24"/>
          <w:szCs w:val="24"/>
        </w:rPr>
        <w:t xml:space="preserve">isulta </w:t>
      </w:r>
      <w:r w:rsidR="00BD46D0">
        <w:rPr>
          <w:sz w:val="24"/>
          <w:szCs w:val="24"/>
        </w:rPr>
        <w:t>allora necessario</w:t>
      </w:r>
      <w:r w:rsidRPr="00B31898">
        <w:rPr>
          <w:sz w:val="24"/>
          <w:szCs w:val="24"/>
        </w:rPr>
        <w:t xml:space="preserve"> interrogarsi sulla qualificazione del fenomeno e sulle motivazioni che hanno indotto la Suprema Corte ad optare per</w:t>
      </w:r>
      <w:r>
        <w:rPr>
          <w:sz w:val="24"/>
          <w:szCs w:val="24"/>
        </w:rPr>
        <w:t xml:space="preserve"> l’attuale conformazione della fattispecie. </w:t>
      </w:r>
    </w:p>
    <w:p w14:paraId="10C2B61B" w14:textId="77777777" w:rsidR="00FB48AB" w:rsidRDefault="00FB48AB" w:rsidP="00C24B0B">
      <w:pPr>
        <w:contextualSpacing/>
        <w:jc w:val="both"/>
        <w:rPr>
          <w:sz w:val="24"/>
          <w:szCs w:val="24"/>
        </w:rPr>
      </w:pPr>
      <w:r>
        <w:rPr>
          <w:sz w:val="24"/>
          <w:szCs w:val="24"/>
        </w:rPr>
        <w:t>Si è visto come, combinando le letture ermeneutiche provenienti dalla giurisprudenza nazionale e convenzionale,</w:t>
      </w:r>
      <w:r w:rsidR="00B31898">
        <w:rPr>
          <w:sz w:val="24"/>
          <w:szCs w:val="24"/>
        </w:rPr>
        <w:t xml:space="preserve"> </w:t>
      </w:r>
      <w:r>
        <w:rPr>
          <w:sz w:val="24"/>
          <w:szCs w:val="24"/>
        </w:rPr>
        <w:t xml:space="preserve">è possibile conferire alla </w:t>
      </w:r>
      <w:r w:rsidR="00B31898">
        <w:rPr>
          <w:sz w:val="24"/>
          <w:szCs w:val="24"/>
        </w:rPr>
        <w:t xml:space="preserve">figura </w:t>
      </w:r>
      <w:r>
        <w:rPr>
          <w:sz w:val="24"/>
          <w:szCs w:val="24"/>
        </w:rPr>
        <w:t>un</w:t>
      </w:r>
      <w:r w:rsidR="00B31898">
        <w:rPr>
          <w:sz w:val="24"/>
          <w:szCs w:val="24"/>
        </w:rPr>
        <w:t xml:space="preserve"> fondamento giuridico</w:t>
      </w:r>
      <w:r w:rsidR="00195A59">
        <w:rPr>
          <w:sz w:val="24"/>
          <w:szCs w:val="24"/>
        </w:rPr>
        <w:t xml:space="preserve"> alternativo</w:t>
      </w:r>
      <w:r>
        <w:rPr>
          <w:sz w:val="24"/>
          <w:szCs w:val="24"/>
        </w:rPr>
        <w:t>.</w:t>
      </w:r>
    </w:p>
    <w:p w14:paraId="75BDD143" w14:textId="694EBCE7" w:rsidR="00B31898" w:rsidRDefault="00BD46D0" w:rsidP="00C24B0B">
      <w:pPr>
        <w:contextualSpacing/>
        <w:jc w:val="both"/>
        <w:rPr>
          <w:sz w:val="24"/>
          <w:szCs w:val="24"/>
        </w:rPr>
      </w:pPr>
      <w:r>
        <w:rPr>
          <w:sz w:val="24"/>
          <w:szCs w:val="24"/>
        </w:rPr>
        <w:t>In tal senso essa può essere spiegata attraverso due vie parallele, ora qualificandola come</w:t>
      </w:r>
      <w:r w:rsidR="00B31898">
        <w:rPr>
          <w:sz w:val="24"/>
          <w:szCs w:val="24"/>
        </w:rPr>
        <w:t xml:space="preserve"> forma di manifestazione del reato, ora come </w:t>
      </w:r>
      <w:r>
        <w:rPr>
          <w:sz w:val="24"/>
          <w:szCs w:val="24"/>
        </w:rPr>
        <w:t>prodotto ermeneutico</w:t>
      </w:r>
      <w:r w:rsidR="00B31898">
        <w:rPr>
          <w:sz w:val="24"/>
          <w:szCs w:val="24"/>
        </w:rPr>
        <w:t xml:space="preserve"> </w:t>
      </w:r>
      <w:r w:rsidR="00B537AE">
        <w:rPr>
          <w:sz w:val="24"/>
          <w:szCs w:val="24"/>
        </w:rPr>
        <w:t>della giurisprudenza normativa</w:t>
      </w:r>
      <w:r w:rsidR="00B31898">
        <w:rPr>
          <w:sz w:val="24"/>
          <w:szCs w:val="24"/>
        </w:rPr>
        <w:t>.</w:t>
      </w:r>
    </w:p>
    <w:p w14:paraId="6430F2F4" w14:textId="41F819E3" w:rsidR="004D36E2" w:rsidRPr="00E47830" w:rsidRDefault="00B537AE" w:rsidP="00C24B0B">
      <w:pPr>
        <w:contextualSpacing/>
        <w:jc w:val="both"/>
        <w:rPr>
          <w:sz w:val="24"/>
          <w:szCs w:val="24"/>
        </w:rPr>
      </w:pPr>
      <w:r>
        <w:rPr>
          <w:sz w:val="24"/>
          <w:szCs w:val="24"/>
        </w:rPr>
        <w:t xml:space="preserve">In effetti, un simile </w:t>
      </w:r>
      <w:r w:rsidR="00C519E6" w:rsidRPr="00E47830">
        <w:rPr>
          <w:sz w:val="24"/>
          <w:szCs w:val="24"/>
        </w:rPr>
        <w:t>assunto sembra essere</w:t>
      </w:r>
      <w:r>
        <w:rPr>
          <w:sz w:val="24"/>
          <w:szCs w:val="24"/>
        </w:rPr>
        <w:t xml:space="preserve"> </w:t>
      </w:r>
      <w:r w:rsidR="003E72B7">
        <w:rPr>
          <w:sz w:val="24"/>
          <w:szCs w:val="24"/>
        </w:rPr>
        <w:t>implicito nella</w:t>
      </w:r>
      <w:r w:rsidR="00B31898">
        <w:rPr>
          <w:sz w:val="24"/>
          <w:szCs w:val="24"/>
        </w:rPr>
        <w:t xml:space="preserve"> specificità della fenomenologia delittuosa</w:t>
      </w:r>
      <w:r w:rsidR="00195A59">
        <w:rPr>
          <w:sz w:val="24"/>
          <w:szCs w:val="24"/>
        </w:rPr>
        <w:t xml:space="preserve"> </w:t>
      </w:r>
      <w:r w:rsidR="003E72B7">
        <w:rPr>
          <w:sz w:val="24"/>
          <w:szCs w:val="24"/>
        </w:rPr>
        <w:t xml:space="preserve">e </w:t>
      </w:r>
      <w:r w:rsidR="00195A59">
        <w:rPr>
          <w:sz w:val="24"/>
          <w:szCs w:val="24"/>
        </w:rPr>
        <w:t>nel suo modo di manifestarsi sul piano della realtà materiale</w:t>
      </w:r>
      <w:r w:rsidR="00C519E6" w:rsidRPr="00E47830">
        <w:rPr>
          <w:sz w:val="24"/>
          <w:szCs w:val="24"/>
        </w:rPr>
        <w:t xml:space="preserve">. </w:t>
      </w:r>
    </w:p>
    <w:p w14:paraId="44E55EF8" w14:textId="19D947E6" w:rsidR="00C46449" w:rsidRPr="00E47830" w:rsidRDefault="00C46449" w:rsidP="00C24B0B">
      <w:pPr>
        <w:contextualSpacing/>
        <w:jc w:val="both"/>
        <w:rPr>
          <w:sz w:val="24"/>
          <w:szCs w:val="24"/>
        </w:rPr>
      </w:pPr>
      <w:r w:rsidRPr="00E47830">
        <w:rPr>
          <w:sz w:val="24"/>
          <w:szCs w:val="24"/>
        </w:rPr>
        <w:t>Nella prospettiva argomentativa delineata dalla Suprema Corte, la teoria condizionalistica troverebbe</w:t>
      </w:r>
      <w:r w:rsidR="00C519E6" w:rsidRPr="00E47830">
        <w:rPr>
          <w:sz w:val="24"/>
          <w:szCs w:val="24"/>
        </w:rPr>
        <w:t xml:space="preserve"> applicazione </w:t>
      </w:r>
      <w:r w:rsidRPr="00E47830">
        <w:rPr>
          <w:sz w:val="24"/>
          <w:szCs w:val="24"/>
        </w:rPr>
        <w:t>con riguardo a quello che è un</w:t>
      </w:r>
      <w:r w:rsidR="00C519E6" w:rsidRPr="00E47830">
        <w:rPr>
          <w:sz w:val="24"/>
          <w:szCs w:val="24"/>
        </w:rPr>
        <w:t xml:space="preserve"> contributo atipico </w:t>
      </w:r>
      <w:r w:rsidR="003E72B7">
        <w:rPr>
          <w:sz w:val="24"/>
          <w:szCs w:val="24"/>
        </w:rPr>
        <w:t>ad</w:t>
      </w:r>
      <w:r w:rsidRPr="00E47830">
        <w:rPr>
          <w:sz w:val="24"/>
          <w:szCs w:val="24"/>
        </w:rPr>
        <w:t xml:space="preserve"> </w:t>
      </w:r>
      <w:r w:rsidR="003E72B7">
        <w:rPr>
          <w:sz w:val="24"/>
          <w:szCs w:val="24"/>
        </w:rPr>
        <w:t>un fatto</w:t>
      </w:r>
      <w:r w:rsidRPr="00E47830">
        <w:rPr>
          <w:sz w:val="24"/>
          <w:szCs w:val="24"/>
        </w:rPr>
        <w:t xml:space="preserve"> tipico</w:t>
      </w:r>
      <w:r w:rsidR="003E72B7">
        <w:rPr>
          <w:sz w:val="24"/>
          <w:szCs w:val="24"/>
        </w:rPr>
        <w:t xml:space="preserve"> dal contesto pregnante</w:t>
      </w:r>
      <w:r w:rsidRPr="00E47830">
        <w:rPr>
          <w:sz w:val="24"/>
          <w:szCs w:val="24"/>
        </w:rPr>
        <w:t xml:space="preserve">. </w:t>
      </w:r>
    </w:p>
    <w:p w14:paraId="2E793240" w14:textId="67B176F4" w:rsidR="00F37EE7" w:rsidRDefault="00C46449" w:rsidP="00C24B0B">
      <w:pPr>
        <w:contextualSpacing/>
        <w:jc w:val="both"/>
        <w:rPr>
          <w:sz w:val="24"/>
          <w:szCs w:val="24"/>
        </w:rPr>
      </w:pPr>
      <w:r w:rsidRPr="00E47830">
        <w:rPr>
          <w:sz w:val="24"/>
          <w:szCs w:val="24"/>
        </w:rPr>
        <w:t xml:space="preserve">In realtà </w:t>
      </w:r>
      <w:r w:rsidR="00B31898">
        <w:rPr>
          <w:sz w:val="24"/>
          <w:szCs w:val="24"/>
        </w:rPr>
        <w:t>il rapporto tra tipicità ed atipicità</w:t>
      </w:r>
      <w:r w:rsidRPr="00E47830">
        <w:rPr>
          <w:sz w:val="24"/>
          <w:szCs w:val="24"/>
        </w:rPr>
        <w:t xml:space="preserve"> è </w:t>
      </w:r>
      <w:r w:rsidR="000A3493">
        <w:rPr>
          <w:sz w:val="24"/>
          <w:szCs w:val="24"/>
        </w:rPr>
        <w:t>il cardine del</w:t>
      </w:r>
      <w:r w:rsidRPr="00E47830">
        <w:rPr>
          <w:sz w:val="24"/>
          <w:szCs w:val="24"/>
        </w:rPr>
        <w:t xml:space="preserve"> concorso eventuale. </w:t>
      </w:r>
    </w:p>
    <w:p w14:paraId="7A899923" w14:textId="3621A6BC" w:rsidR="00002AD5" w:rsidRDefault="00C46449" w:rsidP="00C24B0B">
      <w:pPr>
        <w:contextualSpacing/>
        <w:jc w:val="both"/>
        <w:rPr>
          <w:sz w:val="24"/>
          <w:szCs w:val="24"/>
        </w:rPr>
      </w:pPr>
      <w:r w:rsidRPr="00E47830">
        <w:rPr>
          <w:sz w:val="24"/>
          <w:szCs w:val="24"/>
        </w:rPr>
        <w:t xml:space="preserve">Tuttavia, la specificità del caso è data dalla presenza di un contributo esterno atipico che </w:t>
      </w:r>
      <w:r w:rsidR="00C519E6" w:rsidRPr="00E47830">
        <w:rPr>
          <w:sz w:val="24"/>
          <w:szCs w:val="24"/>
        </w:rPr>
        <w:t xml:space="preserve">si </w:t>
      </w:r>
      <w:r w:rsidR="004D36E2" w:rsidRPr="00E47830">
        <w:rPr>
          <w:sz w:val="24"/>
          <w:szCs w:val="24"/>
        </w:rPr>
        <w:t>compenetra con condotte tipiche non facilment</w:t>
      </w:r>
      <w:r w:rsidRPr="00E47830">
        <w:rPr>
          <w:sz w:val="24"/>
          <w:szCs w:val="24"/>
        </w:rPr>
        <w:t>e distinguibili rispetto ad esso</w:t>
      </w:r>
      <w:r w:rsidR="003E72B7">
        <w:rPr>
          <w:sz w:val="24"/>
          <w:szCs w:val="24"/>
        </w:rPr>
        <w:t xml:space="preserve"> (ciò vale, in particolar modo, per la condotta del “facente parte”)</w:t>
      </w:r>
      <w:r w:rsidR="004D36E2" w:rsidRPr="00E47830">
        <w:rPr>
          <w:sz w:val="24"/>
          <w:szCs w:val="24"/>
        </w:rPr>
        <w:t xml:space="preserve">. </w:t>
      </w:r>
    </w:p>
    <w:p w14:paraId="10134146" w14:textId="77777777" w:rsidR="003A39DA" w:rsidRDefault="00557561" w:rsidP="00C24B0B">
      <w:pPr>
        <w:contextualSpacing/>
        <w:jc w:val="both"/>
        <w:rPr>
          <w:sz w:val="24"/>
          <w:szCs w:val="24"/>
        </w:rPr>
      </w:pPr>
      <w:r>
        <w:rPr>
          <w:sz w:val="24"/>
          <w:szCs w:val="24"/>
        </w:rPr>
        <w:t>Eppure, il contributo atipico</w:t>
      </w:r>
      <w:r w:rsidR="00427DBF">
        <w:rPr>
          <w:sz w:val="24"/>
          <w:szCs w:val="24"/>
        </w:rPr>
        <w:t xml:space="preserve"> è tale se non è tipico</w:t>
      </w:r>
      <w:r w:rsidR="003A39DA">
        <w:rPr>
          <w:sz w:val="24"/>
          <w:szCs w:val="24"/>
        </w:rPr>
        <w:t>.</w:t>
      </w:r>
    </w:p>
    <w:p w14:paraId="210235D9" w14:textId="40FEBC47" w:rsidR="003A39DA" w:rsidRDefault="003A39DA" w:rsidP="00C24B0B">
      <w:pPr>
        <w:contextualSpacing/>
        <w:jc w:val="both"/>
        <w:rPr>
          <w:sz w:val="24"/>
          <w:szCs w:val="24"/>
        </w:rPr>
      </w:pPr>
      <w:r>
        <w:rPr>
          <w:sz w:val="24"/>
          <w:szCs w:val="24"/>
        </w:rPr>
        <w:t xml:space="preserve">Dunque, se si vuole continuare a negare che la Suprema Corte si sia fatta Legislatore, estrapolando dal corpo dell’art. 416-bis c.p. una fattispecie </w:t>
      </w:r>
      <w:r w:rsidR="00E23D1B">
        <w:rPr>
          <w:sz w:val="24"/>
          <w:szCs w:val="24"/>
        </w:rPr>
        <w:t xml:space="preserve">al tempo stesso “autonoma” </w:t>
      </w:r>
      <w:proofErr w:type="gramStart"/>
      <w:r w:rsidR="00E23D1B">
        <w:rPr>
          <w:sz w:val="24"/>
          <w:szCs w:val="24"/>
        </w:rPr>
        <w:t xml:space="preserve">e </w:t>
      </w:r>
      <w:r>
        <w:rPr>
          <w:sz w:val="24"/>
          <w:szCs w:val="24"/>
        </w:rPr>
        <w:t>“</w:t>
      </w:r>
      <w:proofErr w:type="gramEnd"/>
      <w:r>
        <w:rPr>
          <w:sz w:val="24"/>
          <w:szCs w:val="24"/>
        </w:rPr>
        <w:t xml:space="preserve">satellitare”, è necessario ribadire </w:t>
      </w:r>
      <w:r w:rsidR="003E72B7">
        <w:rPr>
          <w:sz w:val="24"/>
          <w:szCs w:val="24"/>
        </w:rPr>
        <w:t xml:space="preserve">la natura non tipica </w:t>
      </w:r>
      <w:r>
        <w:rPr>
          <w:sz w:val="24"/>
          <w:szCs w:val="24"/>
        </w:rPr>
        <w:t>del contegno dell’estraneo</w:t>
      </w:r>
      <w:r w:rsidR="00E23D1B" w:rsidRPr="000A3493">
        <w:rPr>
          <w:rStyle w:val="Rimandonotaapidipagina"/>
          <w:sz w:val="22"/>
          <w:szCs w:val="22"/>
        </w:rPr>
        <w:footnoteReference w:id="94"/>
      </w:r>
      <w:r>
        <w:rPr>
          <w:sz w:val="24"/>
          <w:szCs w:val="24"/>
        </w:rPr>
        <w:t xml:space="preserve">. </w:t>
      </w:r>
    </w:p>
    <w:p w14:paraId="6F16C66F" w14:textId="359397CA" w:rsidR="00105EEE" w:rsidRDefault="00105EEE" w:rsidP="00C24B0B">
      <w:pPr>
        <w:contextualSpacing/>
        <w:jc w:val="both"/>
        <w:rPr>
          <w:sz w:val="24"/>
          <w:szCs w:val="24"/>
        </w:rPr>
      </w:pPr>
      <w:r>
        <w:rPr>
          <w:sz w:val="24"/>
          <w:szCs w:val="24"/>
        </w:rPr>
        <w:lastRenderedPageBreak/>
        <w:t xml:space="preserve">Tuttavia, per </w:t>
      </w:r>
      <w:r w:rsidR="003E72B7">
        <w:rPr>
          <w:sz w:val="24"/>
          <w:szCs w:val="24"/>
        </w:rPr>
        <w:t>professarne l’atipicità</w:t>
      </w:r>
      <w:r>
        <w:rPr>
          <w:sz w:val="24"/>
          <w:szCs w:val="24"/>
        </w:rPr>
        <w:t xml:space="preserve"> </w:t>
      </w:r>
      <w:r w:rsidR="003E72B7">
        <w:rPr>
          <w:sz w:val="24"/>
          <w:szCs w:val="24"/>
        </w:rPr>
        <w:t>è necessario innanzitutto carpire</w:t>
      </w:r>
      <w:r>
        <w:rPr>
          <w:sz w:val="24"/>
          <w:szCs w:val="24"/>
        </w:rPr>
        <w:t xml:space="preserve"> </w:t>
      </w:r>
      <w:r w:rsidR="002A2860">
        <w:rPr>
          <w:sz w:val="24"/>
          <w:szCs w:val="24"/>
        </w:rPr>
        <w:t>i</w:t>
      </w:r>
      <w:r>
        <w:rPr>
          <w:sz w:val="24"/>
          <w:szCs w:val="24"/>
        </w:rPr>
        <w:t xml:space="preserve"> </w:t>
      </w:r>
      <w:r w:rsidR="002A2860">
        <w:rPr>
          <w:sz w:val="24"/>
          <w:szCs w:val="24"/>
        </w:rPr>
        <w:t xml:space="preserve">“connotati” (desumibili dal menzionato dall’id quod </w:t>
      </w:r>
      <w:proofErr w:type="spellStart"/>
      <w:r w:rsidR="002A2860">
        <w:rPr>
          <w:sz w:val="24"/>
          <w:szCs w:val="24"/>
        </w:rPr>
        <w:t>plerumeque</w:t>
      </w:r>
      <w:proofErr w:type="spellEnd"/>
      <w:r w:rsidR="002A2860">
        <w:rPr>
          <w:sz w:val="24"/>
          <w:szCs w:val="24"/>
        </w:rPr>
        <w:t xml:space="preserve"> </w:t>
      </w:r>
      <w:proofErr w:type="spellStart"/>
      <w:r w:rsidR="002A2860">
        <w:rPr>
          <w:sz w:val="24"/>
          <w:szCs w:val="24"/>
        </w:rPr>
        <w:t>accidit</w:t>
      </w:r>
      <w:proofErr w:type="spellEnd"/>
      <w:r w:rsidR="002A2860">
        <w:rPr>
          <w:sz w:val="24"/>
          <w:szCs w:val="24"/>
        </w:rPr>
        <w:t>)</w:t>
      </w:r>
      <w:r>
        <w:rPr>
          <w:sz w:val="24"/>
          <w:szCs w:val="24"/>
        </w:rPr>
        <w:t xml:space="preserve"> che</w:t>
      </w:r>
      <w:r w:rsidR="00557561">
        <w:rPr>
          <w:sz w:val="24"/>
          <w:szCs w:val="24"/>
        </w:rPr>
        <w:t xml:space="preserve"> </w:t>
      </w:r>
      <w:r w:rsidR="002A2860">
        <w:rPr>
          <w:sz w:val="24"/>
          <w:szCs w:val="24"/>
        </w:rPr>
        <w:t>consentano di distinguere simili comportamenti</w:t>
      </w:r>
      <w:r w:rsidR="00427DBF">
        <w:rPr>
          <w:sz w:val="24"/>
          <w:szCs w:val="24"/>
        </w:rPr>
        <w:t xml:space="preserve"> </w:t>
      </w:r>
      <w:r w:rsidR="002A2860">
        <w:rPr>
          <w:sz w:val="24"/>
          <w:szCs w:val="24"/>
        </w:rPr>
        <w:t>dai contegni</w:t>
      </w:r>
      <w:r w:rsidR="00DE6FA9">
        <w:rPr>
          <w:sz w:val="24"/>
          <w:szCs w:val="24"/>
        </w:rPr>
        <w:t xml:space="preserve"> </w:t>
      </w:r>
      <w:r w:rsidR="002A2860">
        <w:rPr>
          <w:sz w:val="24"/>
          <w:szCs w:val="24"/>
        </w:rPr>
        <w:t>espressamente contemplati</w:t>
      </w:r>
      <w:r w:rsidR="00290F30">
        <w:rPr>
          <w:sz w:val="24"/>
          <w:szCs w:val="24"/>
        </w:rPr>
        <w:t xml:space="preserve"> dalla </w:t>
      </w:r>
      <w:r w:rsidR="002A2860">
        <w:rPr>
          <w:sz w:val="24"/>
          <w:szCs w:val="24"/>
        </w:rPr>
        <w:t>norma incriminatrice</w:t>
      </w:r>
      <w:r w:rsidR="00290F30">
        <w:rPr>
          <w:sz w:val="24"/>
          <w:szCs w:val="24"/>
        </w:rPr>
        <w:t>.</w:t>
      </w:r>
    </w:p>
    <w:p w14:paraId="12CF2787" w14:textId="1054C95A" w:rsidR="00105EEE" w:rsidRDefault="00105EEE" w:rsidP="00C24B0B">
      <w:pPr>
        <w:contextualSpacing/>
        <w:jc w:val="both"/>
        <w:rPr>
          <w:sz w:val="24"/>
          <w:szCs w:val="24"/>
        </w:rPr>
      </w:pPr>
      <w:r>
        <w:rPr>
          <w:sz w:val="24"/>
          <w:szCs w:val="24"/>
        </w:rPr>
        <w:t xml:space="preserve">In tal senso si percepisce lo snodo problematico dell’intero ragionamento: l’esistenza di </w:t>
      </w:r>
      <w:r w:rsidR="00E23D1B">
        <w:rPr>
          <w:sz w:val="24"/>
          <w:szCs w:val="24"/>
        </w:rPr>
        <w:t>“</w:t>
      </w:r>
      <w:r>
        <w:rPr>
          <w:sz w:val="24"/>
          <w:szCs w:val="24"/>
        </w:rPr>
        <w:t>tratti caratteristici</w:t>
      </w:r>
      <w:r w:rsidR="00E23D1B">
        <w:rPr>
          <w:sz w:val="24"/>
          <w:szCs w:val="24"/>
        </w:rPr>
        <w:t>”</w:t>
      </w:r>
      <w:r>
        <w:rPr>
          <w:sz w:val="24"/>
          <w:szCs w:val="24"/>
        </w:rPr>
        <w:t xml:space="preserve"> </w:t>
      </w:r>
      <w:r w:rsidR="002A2860">
        <w:rPr>
          <w:sz w:val="24"/>
          <w:szCs w:val="24"/>
        </w:rPr>
        <w:t>denotativi della non sussumibilità del fenomeno.</w:t>
      </w:r>
    </w:p>
    <w:p w14:paraId="0F6EFC49" w14:textId="1A2ED074" w:rsidR="002A2860" w:rsidRDefault="002A2860" w:rsidP="00C24B0B">
      <w:pPr>
        <w:contextualSpacing/>
        <w:jc w:val="both"/>
        <w:rPr>
          <w:sz w:val="24"/>
          <w:szCs w:val="24"/>
        </w:rPr>
      </w:pPr>
      <w:r>
        <w:rPr>
          <w:sz w:val="24"/>
          <w:szCs w:val="24"/>
        </w:rPr>
        <w:t xml:space="preserve">Inquadrato attraverso questo angolo visuale, </w:t>
      </w:r>
      <w:r w:rsidR="00EA5C25">
        <w:rPr>
          <w:sz w:val="24"/>
          <w:szCs w:val="24"/>
        </w:rPr>
        <w:t>l’originario</w:t>
      </w:r>
      <w:r>
        <w:rPr>
          <w:sz w:val="24"/>
          <w:szCs w:val="24"/>
        </w:rPr>
        <w:t xml:space="preserve"> proposito di rinvenire </w:t>
      </w:r>
      <w:r w:rsidR="00EA5C25">
        <w:rPr>
          <w:sz w:val="24"/>
          <w:szCs w:val="24"/>
        </w:rPr>
        <w:t>una legittimazione legale del fenomeno sembra completamente sovvertito.</w:t>
      </w:r>
      <w:r>
        <w:rPr>
          <w:sz w:val="24"/>
          <w:szCs w:val="24"/>
        </w:rPr>
        <w:t xml:space="preserve">   </w:t>
      </w:r>
    </w:p>
    <w:p w14:paraId="7186A2AE" w14:textId="0319C122" w:rsidR="00EA5C25" w:rsidRDefault="00105EEE" w:rsidP="00C24B0B">
      <w:pPr>
        <w:contextualSpacing/>
        <w:jc w:val="both"/>
        <w:rPr>
          <w:sz w:val="24"/>
          <w:szCs w:val="24"/>
        </w:rPr>
      </w:pPr>
      <w:r>
        <w:rPr>
          <w:sz w:val="24"/>
          <w:szCs w:val="24"/>
        </w:rPr>
        <w:t>A ben riflettere, è proprio l’esistenza di tali connotati a radicare il dubbio che si sia al cospetto di una tipicità giurisprudenziale</w:t>
      </w:r>
      <w:r w:rsidR="00EA5C25">
        <w:rPr>
          <w:sz w:val="24"/>
          <w:szCs w:val="24"/>
        </w:rPr>
        <w:t>.</w:t>
      </w:r>
      <w:r w:rsidR="004B6ED0">
        <w:rPr>
          <w:sz w:val="24"/>
          <w:szCs w:val="24"/>
        </w:rPr>
        <w:t xml:space="preserve"> </w:t>
      </w:r>
    </w:p>
    <w:p w14:paraId="13D710A9" w14:textId="39790FEC" w:rsidR="00105EEE" w:rsidRDefault="00EA5C25" w:rsidP="00C24B0B">
      <w:pPr>
        <w:contextualSpacing/>
        <w:jc w:val="both"/>
        <w:rPr>
          <w:sz w:val="24"/>
          <w:szCs w:val="24"/>
        </w:rPr>
      </w:pPr>
      <w:r>
        <w:rPr>
          <w:sz w:val="24"/>
          <w:szCs w:val="24"/>
        </w:rPr>
        <w:t xml:space="preserve">La riflessione fa emergere </w:t>
      </w:r>
      <w:r w:rsidR="004B6ED0">
        <w:rPr>
          <w:sz w:val="24"/>
          <w:szCs w:val="24"/>
        </w:rPr>
        <w:t xml:space="preserve">il ruolo nevralgico del </w:t>
      </w:r>
      <w:r>
        <w:rPr>
          <w:sz w:val="24"/>
          <w:szCs w:val="24"/>
        </w:rPr>
        <w:t>formante</w:t>
      </w:r>
      <w:r w:rsidR="004B6ED0">
        <w:rPr>
          <w:sz w:val="24"/>
          <w:szCs w:val="24"/>
        </w:rPr>
        <w:t xml:space="preserve"> giuridico</w:t>
      </w:r>
      <w:r>
        <w:rPr>
          <w:sz w:val="24"/>
          <w:szCs w:val="24"/>
        </w:rPr>
        <w:t xml:space="preserve"> della figura</w:t>
      </w:r>
      <w:r w:rsidR="004B6ED0">
        <w:rPr>
          <w:sz w:val="24"/>
          <w:szCs w:val="24"/>
        </w:rPr>
        <w:t>.</w:t>
      </w:r>
    </w:p>
    <w:p w14:paraId="5FE9B9EC" w14:textId="7336BDD3" w:rsidR="00557561" w:rsidRPr="00E47830" w:rsidRDefault="00105EEE" w:rsidP="00C24B0B">
      <w:pPr>
        <w:contextualSpacing/>
        <w:jc w:val="both"/>
        <w:rPr>
          <w:sz w:val="24"/>
          <w:szCs w:val="24"/>
        </w:rPr>
      </w:pPr>
      <w:r>
        <w:rPr>
          <w:sz w:val="24"/>
          <w:szCs w:val="24"/>
        </w:rPr>
        <w:t xml:space="preserve">Difatti, </w:t>
      </w:r>
      <w:r w:rsidR="00E23D1B">
        <w:rPr>
          <w:sz w:val="24"/>
          <w:szCs w:val="24"/>
        </w:rPr>
        <w:t xml:space="preserve">se che la condotta dell’extraneus si </w:t>
      </w:r>
      <w:r w:rsidR="000A3493">
        <w:rPr>
          <w:sz w:val="24"/>
          <w:szCs w:val="24"/>
        </w:rPr>
        <w:t>caratterizza per</w:t>
      </w:r>
      <w:r w:rsidR="00E23D1B">
        <w:rPr>
          <w:sz w:val="24"/>
          <w:szCs w:val="24"/>
        </w:rPr>
        <w:t xml:space="preserve"> connotati propri (che ne d</w:t>
      </w:r>
      <w:r w:rsidR="00EA5C25">
        <w:rPr>
          <w:sz w:val="24"/>
          <w:szCs w:val="24"/>
        </w:rPr>
        <w:t>isegnano le differenze</w:t>
      </w:r>
      <w:r w:rsidR="00E23D1B">
        <w:rPr>
          <w:sz w:val="24"/>
          <w:szCs w:val="24"/>
        </w:rPr>
        <w:t xml:space="preserve"> rispetto alle condotte previste dall’art. 416-bis c.p.) allora</w:t>
      </w:r>
      <w:r>
        <w:rPr>
          <w:sz w:val="24"/>
          <w:szCs w:val="24"/>
        </w:rPr>
        <w:t xml:space="preserve"> due l’una: o </w:t>
      </w:r>
      <w:r w:rsidR="00E23D1B">
        <w:rPr>
          <w:sz w:val="24"/>
          <w:szCs w:val="24"/>
        </w:rPr>
        <w:t>essi costituiscono il frutto</w:t>
      </w:r>
      <w:r>
        <w:rPr>
          <w:sz w:val="24"/>
          <w:szCs w:val="24"/>
        </w:rPr>
        <w:t xml:space="preserve"> dalla applicazione dell’istituto del concorso di persone nel reato</w:t>
      </w:r>
      <w:r w:rsidRPr="000A3493">
        <w:rPr>
          <w:rStyle w:val="Rimandonotaapidipagina"/>
          <w:sz w:val="22"/>
          <w:szCs w:val="22"/>
        </w:rPr>
        <w:footnoteReference w:id="95"/>
      </w:r>
      <w:r w:rsidR="004B6ED0">
        <w:rPr>
          <w:sz w:val="24"/>
          <w:szCs w:val="24"/>
        </w:rPr>
        <w:t xml:space="preserve">, oppure </w:t>
      </w:r>
      <w:r w:rsidR="001551D5">
        <w:rPr>
          <w:sz w:val="24"/>
          <w:szCs w:val="24"/>
        </w:rPr>
        <w:t xml:space="preserve">se ne deve desumere </w:t>
      </w:r>
      <w:r w:rsidR="00771936">
        <w:rPr>
          <w:sz w:val="24"/>
          <w:szCs w:val="24"/>
        </w:rPr>
        <w:t>«</w:t>
      </w:r>
      <w:r w:rsidR="001551D5" w:rsidRPr="000A3493">
        <w:rPr>
          <w:i/>
          <w:sz w:val="24"/>
          <w:szCs w:val="24"/>
        </w:rPr>
        <w:t>l’</w:t>
      </w:r>
      <w:r w:rsidR="000A3493" w:rsidRPr="000A3493">
        <w:rPr>
          <w:i/>
          <w:sz w:val="24"/>
          <w:szCs w:val="24"/>
        </w:rPr>
        <w:t xml:space="preserve">origine </w:t>
      </w:r>
      <w:proofErr w:type="spellStart"/>
      <w:r w:rsidR="000A3493" w:rsidRPr="000A3493">
        <w:rPr>
          <w:i/>
          <w:sz w:val="24"/>
          <w:szCs w:val="24"/>
        </w:rPr>
        <w:t>jurisprudentielle</w:t>
      </w:r>
      <w:proofErr w:type="spellEnd"/>
      <w:r w:rsidR="00771936">
        <w:rPr>
          <w:sz w:val="24"/>
          <w:szCs w:val="24"/>
        </w:rPr>
        <w:t>»</w:t>
      </w:r>
      <w:r w:rsidR="004B6ED0" w:rsidRPr="000A3493">
        <w:rPr>
          <w:rStyle w:val="Rimandonotaapidipagina"/>
          <w:sz w:val="22"/>
          <w:szCs w:val="22"/>
        </w:rPr>
        <w:footnoteReference w:id="96"/>
      </w:r>
      <w:r w:rsidR="00EA5C25">
        <w:rPr>
          <w:sz w:val="24"/>
          <w:szCs w:val="24"/>
        </w:rPr>
        <w:t>.</w:t>
      </w:r>
      <w:r w:rsidR="004B6ED0">
        <w:rPr>
          <w:sz w:val="24"/>
          <w:szCs w:val="24"/>
        </w:rPr>
        <w:t xml:space="preserve"> </w:t>
      </w:r>
      <w:r>
        <w:rPr>
          <w:sz w:val="24"/>
          <w:szCs w:val="24"/>
        </w:rPr>
        <w:t xml:space="preserve"> </w:t>
      </w:r>
      <w:r w:rsidR="00557561">
        <w:rPr>
          <w:sz w:val="24"/>
          <w:szCs w:val="24"/>
        </w:rPr>
        <w:t xml:space="preserve">  </w:t>
      </w:r>
    </w:p>
    <w:p w14:paraId="008F03CF" w14:textId="77777777" w:rsidR="00EA5C25" w:rsidRDefault="004B6ED0" w:rsidP="00C24B0B">
      <w:pPr>
        <w:contextualSpacing/>
        <w:jc w:val="both"/>
        <w:rPr>
          <w:sz w:val="24"/>
          <w:szCs w:val="24"/>
        </w:rPr>
      </w:pPr>
      <w:r>
        <w:rPr>
          <w:sz w:val="24"/>
          <w:szCs w:val="24"/>
        </w:rPr>
        <w:t>In quest’ultima direzione sembra deporre</w:t>
      </w:r>
      <w:r w:rsidR="00EA5C25">
        <w:rPr>
          <w:sz w:val="24"/>
          <w:szCs w:val="24"/>
        </w:rPr>
        <w:t xml:space="preserve"> proprio il medesimo consolidato approdo giurisprudenziale</w:t>
      </w:r>
      <w:r w:rsidR="001551D5">
        <w:rPr>
          <w:sz w:val="24"/>
          <w:szCs w:val="24"/>
        </w:rPr>
        <w:t xml:space="preserve"> che </w:t>
      </w:r>
      <w:r w:rsidR="00EA5C25">
        <w:rPr>
          <w:sz w:val="24"/>
          <w:szCs w:val="24"/>
        </w:rPr>
        <w:t xml:space="preserve">ne sostiene la natura concorsuale. </w:t>
      </w:r>
    </w:p>
    <w:p w14:paraId="1BCE60DF" w14:textId="7559B29A" w:rsidR="00290F30" w:rsidRDefault="00EA5C25" w:rsidP="00C24B0B">
      <w:pPr>
        <w:contextualSpacing/>
        <w:jc w:val="both"/>
        <w:rPr>
          <w:sz w:val="24"/>
          <w:szCs w:val="24"/>
        </w:rPr>
      </w:pPr>
      <w:r>
        <w:rPr>
          <w:sz w:val="24"/>
          <w:szCs w:val="24"/>
        </w:rPr>
        <w:t xml:space="preserve">E ciò nello stesso momento in cui </w:t>
      </w:r>
      <w:r w:rsidR="001551D5">
        <w:rPr>
          <w:sz w:val="24"/>
          <w:szCs w:val="24"/>
        </w:rPr>
        <w:t xml:space="preserve">richiede un </w:t>
      </w:r>
      <w:r w:rsidR="00290F30">
        <w:rPr>
          <w:sz w:val="24"/>
          <w:szCs w:val="24"/>
        </w:rPr>
        <w:t>accertamento causale condotto secondo i rigori della teoria condizionalistica</w:t>
      </w:r>
      <w:r w:rsidR="001551D5" w:rsidRPr="000A3493">
        <w:rPr>
          <w:rStyle w:val="Rimandonotaapidipagina"/>
          <w:sz w:val="22"/>
          <w:szCs w:val="22"/>
        </w:rPr>
        <w:footnoteReference w:id="97"/>
      </w:r>
      <w:r w:rsidR="00290F30">
        <w:rPr>
          <w:sz w:val="24"/>
          <w:szCs w:val="24"/>
        </w:rPr>
        <w:t xml:space="preserve">.  </w:t>
      </w:r>
    </w:p>
    <w:p w14:paraId="12C30F74" w14:textId="4C5BF07A" w:rsidR="00290F30" w:rsidRDefault="00290F30" w:rsidP="00C24B0B">
      <w:pPr>
        <w:contextualSpacing/>
        <w:jc w:val="both"/>
        <w:rPr>
          <w:sz w:val="24"/>
          <w:szCs w:val="24"/>
        </w:rPr>
      </w:pPr>
      <w:r>
        <w:rPr>
          <w:sz w:val="24"/>
          <w:szCs w:val="24"/>
        </w:rPr>
        <w:t xml:space="preserve">In tal senso, sul piano della relazione con l’evento, </w:t>
      </w:r>
      <w:r w:rsidR="004D36E2" w:rsidRPr="00E47830">
        <w:rPr>
          <w:sz w:val="24"/>
          <w:szCs w:val="24"/>
        </w:rPr>
        <w:t>l’apporto del</w:t>
      </w:r>
      <w:r w:rsidR="00C46449" w:rsidRPr="00E47830">
        <w:rPr>
          <w:sz w:val="24"/>
          <w:szCs w:val="24"/>
        </w:rPr>
        <w:t>l’extraneus</w:t>
      </w:r>
      <w:r w:rsidR="004D36E2" w:rsidRPr="00E47830">
        <w:rPr>
          <w:sz w:val="24"/>
          <w:szCs w:val="24"/>
        </w:rPr>
        <w:t xml:space="preserve"> in nulla differirebbe (quantomeno sotto il profilo </w:t>
      </w:r>
      <w:r w:rsidR="00C46449" w:rsidRPr="00E47830">
        <w:rPr>
          <w:sz w:val="24"/>
          <w:szCs w:val="24"/>
        </w:rPr>
        <w:t>del nesso eziologico</w:t>
      </w:r>
      <w:r w:rsidR="004D36E2" w:rsidRPr="00E47830">
        <w:rPr>
          <w:sz w:val="24"/>
          <w:szCs w:val="24"/>
        </w:rPr>
        <w:t>) rispe</w:t>
      </w:r>
      <w:r w:rsidR="00C46449" w:rsidRPr="00E47830">
        <w:rPr>
          <w:sz w:val="24"/>
          <w:szCs w:val="24"/>
        </w:rPr>
        <w:t>tto a</w:t>
      </w:r>
      <w:r>
        <w:rPr>
          <w:sz w:val="24"/>
          <w:szCs w:val="24"/>
        </w:rPr>
        <w:t xml:space="preserve"> qualsivoglia altro contributo associativo. </w:t>
      </w:r>
    </w:p>
    <w:p w14:paraId="3EB0E168" w14:textId="1E60C32F" w:rsidR="0011545D" w:rsidRDefault="0011545D" w:rsidP="00C24B0B">
      <w:pPr>
        <w:contextualSpacing/>
        <w:jc w:val="both"/>
        <w:rPr>
          <w:sz w:val="24"/>
          <w:szCs w:val="24"/>
        </w:rPr>
      </w:pPr>
      <w:r>
        <w:rPr>
          <w:sz w:val="24"/>
          <w:szCs w:val="24"/>
        </w:rPr>
        <w:t>A fortiori, rileva, l’analisi testuale del “formante giurisprudenziale” nella parte in cui enunci</w:t>
      </w:r>
      <w:r w:rsidR="00EA5C25">
        <w:rPr>
          <w:sz w:val="24"/>
          <w:szCs w:val="24"/>
        </w:rPr>
        <w:t>a</w:t>
      </w:r>
      <w:r>
        <w:rPr>
          <w:sz w:val="24"/>
          <w:szCs w:val="24"/>
        </w:rPr>
        <w:t xml:space="preserve"> lo statuto della causalità da applicare ai fini di ritenere configurato il reato.</w:t>
      </w:r>
    </w:p>
    <w:p w14:paraId="0CAB63D1" w14:textId="6C708373" w:rsidR="0011545D" w:rsidRDefault="0011545D" w:rsidP="00C24B0B">
      <w:pPr>
        <w:contextualSpacing/>
        <w:jc w:val="both"/>
        <w:rPr>
          <w:sz w:val="24"/>
          <w:szCs w:val="24"/>
        </w:rPr>
      </w:pPr>
      <w:r>
        <w:rPr>
          <w:sz w:val="24"/>
          <w:szCs w:val="24"/>
        </w:rPr>
        <w:t xml:space="preserve">Da una piana lettura della </w:t>
      </w:r>
      <w:r w:rsidR="00936495">
        <w:rPr>
          <w:sz w:val="24"/>
          <w:szCs w:val="24"/>
        </w:rPr>
        <w:t>«</w:t>
      </w:r>
      <w:r w:rsidRPr="00936495">
        <w:rPr>
          <w:i/>
          <w:sz w:val="24"/>
          <w:szCs w:val="24"/>
        </w:rPr>
        <w:t>sentenza Mannino</w:t>
      </w:r>
      <w:r w:rsidR="00936495">
        <w:rPr>
          <w:sz w:val="24"/>
          <w:szCs w:val="24"/>
        </w:rPr>
        <w:t>»</w:t>
      </w:r>
      <w:r>
        <w:rPr>
          <w:sz w:val="24"/>
          <w:szCs w:val="24"/>
        </w:rPr>
        <w:t xml:space="preserve"> sembra emergere in modo diretto come, nella integrazione della fattispecie, l’art. 416-bis c.p. costituisca il panorama, quasi occasiona</w:t>
      </w:r>
      <w:r w:rsidR="00771936">
        <w:rPr>
          <w:sz w:val="24"/>
          <w:szCs w:val="24"/>
        </w:rPr>
        <w:t>le, nel quale si inscrive il «</w:t>
      </w:r>
      <w:r w:rsidRPr="0011545D">
        <w:rPr>
          <w:i/>
          <w:sz w:val="24"/>
          <w:szCs w:val="24"/>
        </w:rPr>
        <w:t>contributo atipico del concorrente esterno, di natura materiale o morale, diverso ma operante in sinergia con quello dei partecipi interni</w:t>
      </w:r>
      <w:r w:rsidR="00771936">
        <w:rPr>
          <w:sz w:val="24"/>
          <w:szCs w:val="24"/>
        </w:rPr>
        <w:t>»</w:t>
      </w:r>
      <w:r>
        <w:rPr>
          <w:sz w:val="24"/>
          <w:szCs w:val="24"/>
        </w:rPr>
        <w:t>.</w:t>
      </w:r>
    </w:p>
    <w:p w14:paraId="2AB64772" w14:textId="7C08E938" w:rsidR="0011545D" w:rsidRDefault="0011545D" w:rsidP="00C24B0B">
      <w:pPr>
        <w:contextualSpacing/>
        <w:jc w:val="both"/>
        <w:rPr>
          <w:sz w:val="24"/>
          <w:szCs w:val="24"/>
        </w:rPr>
      </w:pPr>
      <w:r>
        <w:rPr>
          <w:sz w:val="24"/>
          <w:szCs w:val="24"/>
        </w:rPr>
        <w:t>Dunque, la fattispecie delittuosa sembra costituire lo sfondo</w:t>
      </w:r>
      <w:r w:rsidR="00936495">
        <w:rPr>
          <w:rStyle w:val="Rimandonotaapidipagina"/>
          <w:sz w:val="24"/>
          <w:szCs w:val="24"/>
        </w:rPr>
        <w:footnoteReference w:id="98"/>
      </w:r>
      <w:r>
        <w:rPr>
          <w:sz w:val="24"/>
          <w:szCs w:val="24"/>
        </w:rPr>
        <w:t xml:space="preserve"> della cornice delittuosa nella quale figura l’extraneus. </w:t>
      </w:r>
    </w:p>
    <w:p w14:paraId="470983E3" w14:textId="1E4FD9E0" w:rsidR="0011545D" w:rsidRDefault="0011545D" w:rsidP="00C24B0B">
      <w:pPr>
        <w:contextualSpacing/>
        <w:jc w:val="both"/>
        <w:rPr>
          <w:sz w:val="24"/>
          <w:szCs w:val="24"/>
        </w:rPr>
      </w:pPr>
      <w:r>
        <w:rPr>
          <w:sz w:val="24"/>
          <w:szCs w:val="24"/>
        </w:rPr>
        <w:lastRenderedPageBreak/>
        <w:t>Tuttavia, ai fini della configurazione della fattispecie ciò che conta è che l’a</w:t>
      </w:r>
      <w:r w:rsidR="00771936">
        <w:rPr>
          <w:sz w:val="24"/>
          <w:szCs w:val="24"/>
        </w:rPr>
        <w:t>pporto del concorrente esterno «</w:t>
      </w:r>
      <w:r w:rsidRPr="0011545D">
        <w:rPr>
          <w:i/>
          <w:sz w:val="24"/>
          <w:szCs w:val="24"/>
        </w:rPr>
        <w:t xml:space="preserve">abbia avuto una reale efficienza causale, sia stato condizione “necessaria” </w:t>
      </w:r>
      <w:r>
        <w:rPr>
          <w:sz w:val="24"/>
          <w:szCs w:val="24"/>
        </w:rPr>
        <w:t>[…]</w:t>
      </w:r>
      <w:r w:rsidRPr="0011545D">
        <w:rPr>
          <w:sz w:val="24"/>
          <w:szCs w:val="24"/>
        </w:rPr>
        <w:t xml:space="preserve"> </w:t>
      </w:r>
      <w:r w:rsidRPr="0011545D">
        <w:rPr>
          <w:i/>
          <w:sz w:val="24"/>
          <w:szCs w:val="24"/>
        </w:rPr>
        <w:t>per la concreta realizzazione del fatto criminoso collettivo e per la produzione dell’evento lesivo del bene giuridico protetto, che nella specie è costituito dall’integrità dell’ordine pubblico, violata dall’esistenza e dall’operatività del sodalizio e dal diffuso pericolo di attuazione dei delitti-scopo del programma criminoso</w:t>
      </w:r>
      <w:r w:rsidR="00771936">
        <w:rPr>
          <w:sz w:val="24"/>
          <w:szCs w:val="24"/>
        </w:rPr>
        <w:t>»</w:t>
      </w:r>
      <w:r w:rsidRPr="0011545D">
        <w:rPr>
          <w:sz w:val="24"/>
          <w:szCs w:val="24"/>
        </w:rPr>
        <w:t>.</w:t>
      </w:r>
    </w:p>
    <w:p w14:paraId="2423C01D" w14:textId="0E5C21E8" w:rsidR="006F2A2D" w:rsidRDefault="0011545D" w:rsidP="00C24B0B">
      <w:pPr>
        <w:contextualSpacing/>
        <w:jc w:val="both"/>
        <w:rPr>
          <w:sz w:val="24"/>
          <w:szCs w:val="24"/>
        </w:rPr>
      </w:pPr>
      <w:r>
        <w:rPr>
          <w:sz w:val="24"/>
          <w:szCs w:val="24"/>
        </w:rPr>
        <w:t xml:space="preserve">In tal senso si apprezza una qualificazione che trascende dall’innesto della condotta atipica </w:t>
      </w:r>
      <w:r w:rsidR="006F2A2D">
        <w:rPr>
          <w:sz w:val="24"/>
          <w:szCs w:val="24"/>
        </w:rPr>
        <w:t xml:space="preserve">su un determinato contributo tipico, così come imporrebbe l’istituto del concorso di persone nel reato. </w:t>
      </w:r>
    </w:p>
    <w:p w14:paraId="109C1141" w14:textId="6A78FED5" w:rsidR="006F2A2D" w:rsidRDefault="006F2A2D" w:rsidP="006F2A2D">
      <w:pPr>
        <w:contextualSpacing/>
        <w:jc w:val="both"/>
        <w:rPr>
          <w:sz w:val="24"/>
          <w:szCs w:val="24"/>
        </w:rPr>
      </w:pPr>
      <w:r>
        <w:rPr>
          <w:sz w:val="24"/>
          <w:szCs w:val="24"/>
        </w:rPr>
        <w:t xml:space="preserve">Il riferimento alla sinergia delle azioni conduce ad un </w:t>
      </w:r>
      <w:r w:rsidR="00EA5C25">
        <w:rPr>
          <w:sz w:val="24"/>
          <w:szCs w:val="24"/>
        </w:rPr>
        <w:t>esito interpretativo</w:t>
      </w:r>
      <w:r>
        <w:rPr>
          <w:sz w:val="24"/>
          <w:szCs w:val="24"/>
        </w:rPr>
        <w:t xml:space="preserve"> </w:t>
      </w:r>
      <w:r w:rsidR="00F50A76">
        <w:rPr>
          <w:sz w:val="24"/>
          <w:szCs w:val="24"/>
        </w:rPr>
        <w:t>che si pone completamente al di fuori dall’orbita ermeneutica</w:t>
      </w:r>
      <w:r>
        <w:rPr>
          <w:sz w:val="24"/>
          <w:szCs w:val="24"/>
        </w:rPr>
        <w:t xml:space="preserve"> </w:t>
      </w:r>
      <w:r w:rsidR="00F50A76">
        <w:rPr>
          <w:sz w:val="24"/>
          <w:szCs w:val="24"/>
        </w:rPr>
        <w:t>del</w:t>
      </w:r>
      <w:r>
        <w:rPr>
          <w:sz w:val="24"/>
          <w:szCs w:val="24"/>
        </w:rPr>
        <w:t>l’istituto di cui all’art. 110 c.p.</w:t>
      </w:r>
    </w:p>
    <w:p w14:paraId="6B13F541" w14:textId="6AEA5157" w:rsidR="00DF1459" w:rsidRDefault="006F2A2D" w:rsidP="006F2A2D">
      <w:pPr>
        <w:contextualSpacing/>
        <w:jc w:val="both"/>
        <w:rPr>
          <w:sz w:val="24"/>
          <w:szCs w:val="24"/>
        </w:rPr>
      </w:pPr>
      <w:r>
        <w:rPr>
          <w:sz w:val="24"/>
          <w:szCs w:val="24"/>
        </w:rPr>
        <w:t xml:space="preserve">In questa prospettiva argomentativa, il contributo dell’estraneo non viene eziologicamente calibrato </w:t>
      </w:r>
      <w:r w:rsidR="00F50A76">
        <w:rPr>
          <w:sz w:val="24"/>
          <w:szCs w:val="24"/>
        </w:rPr>
        <w:t>sull’intera fenomenologia delittuosa</w:t>
      </w:r>
      <w:r w:rsidR="00DF1459">
        <w:rPr>
          <w:sz w:val="24"/>
          <w:szCs w:val="24"/>
        </w:rPr>
        <w:t xml:space="preserve">. </w:t>
      </w:r>
    </w:p>
    <w:p w14:paraId="58FD1D35" w14:textId="588BA2CC" w:rsidR="006F2A2D" w:rsidRDefault="00DF1459" w:rsidP="006F2A2D">
      <w:pPr>
        <w:contextualSpacing/>
        <w:jc w:val="both"/>
        <w:rPr>
          <w:sz w:val="24"/>
          <w:szCs w:val="24"/>
        </w:rPr>
      </w:pPr>
      <w:r>
        <w:rPr>
          <w:sz w:val="24"/>
          <w:szCs w:val="24"/>
        </w:rPr>
        <w:t>Piuttosto, esso viene posto in correlazione direttamente con l’evento contemplato dalla fattispecie incriminatrice:</w:t>
      </w:r>
      <w:r w:rsidR="006F2A2D">
        <w:rPr>
          <w:sz w:val="24"/>
          <w:szCs w:val="24"/>
        </w:rPr>
        <w:t xml:space="preserve"> </w:t>
      </w:r>
      <w:r>
        <w:rPr>
          <w:sz w:val="24"/>
          <w:szCs w:val="24"/>
        </w:rPr>
        <w:t>la lesione</w:t>
      </w:r>
      <w:r w:rsidR="006F2A2D">
        <w:rPr>
          <w:sz w:val="24"/>
          <w:szCs w:val="24"/>
        </w:rPr>
        <w:t xml:space="preserve"> del bene giuridico</w:t>
      </w:r>
      <w:r>
        <w:rPr>
          <w:sz w:val="24"/>
          <w:szCs w:val="24"/>
        </w:rPr>
        <w:t xml:space="preserve"> dell’ordine pubblico</w:t>
      </w:r>
      <w:r w:rsidR="006F2A2D">
        <w:rPr>
          <w:sz w:val="24"/>
          <w:szCs w:val="24"/>
        </w:rPr>
        <w:t xml:space="preserve">. </w:t>
      </w:r>
    </w:p>
    <w:p w14:paraId="057EC7F1" w14:textId="68E66FE4" w:rsidR="00216342" w:rsidRDefault="00DF1459" w:rsidP="00C24B0B">
      <w:pPr>
        <w:contextualSpacing/>
        <w:jc w:val="both"/>
        <w:rPr>
          <w:sz w:val="24"/>
          <w:szCs w:val="24"/>
        </w:rPr>
      </w:pPr>
      <w:r>
        <w:rPr>
          <w:sz w:val="24"/>
          <w:szCs w:val="24"/>
        </w:rPr>
        <w:t>Dunque</w:t>
      </w:r>
      <w:r w:rsidR="00290F30">
        <w:rPr>
          <w:sz w:val="24"/>
          <w:szCs w:val="24"/>
        </w:rPr>
        <w:t xml:space="preserve">, giunti a questo punto della trattazione, giova </w:t>
      </w:r>
      <w:r w:rsidR="004B6ED0">
        <w:rPr>
          <w:sz w:val="24"/>
          <w:szCs w:val="24"/>
        </w:rPr>
        <w:t>effettuare un’ulteriore</w:t>
      </w:r>
      <w:r w:rsidR="00216342">
        <w:rPr>
          <w:sz w:val="24"/>
          <w:szCs w:val="24"/>
        </w:rPr>
        <w:t xml:space="preserve"> riflessione sistematica.</w:t>
      </w:r>
    </w:p>
    <w:p w14:paraId="0DA1B77A" w14:textId="688F1EAB" w:rsidR="00216342" w:rsidRDefault="00216342" w:rsidP="00C24B0B">
      <w:pPr>
        <w:contextualSpacing/>
        <w:jc w:val="both"/>
        <w:rPr>
          <w:sz w:val="24"/>
          <w:szCs w:val="24"/>
        </w:rPr>
      </w:pPr>
      <w:r>
        <w:rPr>
          <w:sz w:val="24"/>
          <w:szCs w:val="24"/>
        </w:rPr>
        <w:t>C</w:t>
      </w:r>
      <w:r w:rsidR="00290F30">
        <w:rPr>
          <w:sz w:val="24"/>
          <w:szCs w:val="24"/>
        </w:rPr>
        <w:t xml:space="preserve">oncorrere nel </w:t>
      </w:r>
      <w:r w:rsidR="00771936">
        <w:rPr>
          <w:sz w:val="24"/>
          <w:szCs w:val="24"/>
        </w:rPr>
        <w:t>«</w:t>
      </w:r>
      <w:r w:rsidR="00290F30" w:rsidRPr="00216342">
        <w:rPr>
          <w:i/>
          <w:sz w:val="24"/>
          <w:szCs w:val="24"/>
        </w:rPr>
        <w:t>medesimo reato</w:t>
      </w:r>
      <w:r w:rsidR="00771936">
        <w:rPr>
          <w:sz w:val="24"/>
          <w:szCs w:val="24"/>
        </w:rPr>
        <w:t xml:space="preserve">» </w:t>
      </w:r>
      <w:r w:rsidR="00290F30">
        <w:rPr>
          <w:sz w:val="24"/>
          <w:szCs w:val="24"/>
        </w:rPr>
        <w:t>non significa</w:t>
      </w:r>
      <w:r>
        <w:rPr>
          <w:sz w:val="24"/>
          <w:szCs w:val="24"/>
        </w:rPr>
        <w:t xml:space="preserve"> concorrere nel “medesimo evento”.</w:t>
      </w:r>
    </w:p>
    <w:p w14:paraId="06F8043D" w14:textId="41D5F375" w:rsidR="00290F30" w:rsidRDefault="00216342" w:rsidP="00C24B0B">
      <w:pPr>
        <w:contextualSpacing/>
        <w:jc w:val="both"/>
        <w:rPr>
          <w:sz w:val="24"/>
          <w:szCs w:val="24"/>
        </w:rPr>
      </w:pPr>
      <w:r>
        <w:rPr>
          <w:sz w:val="24"/>
          <w:szCs w:val="24"/>
        </w:rPr>
        <w:t>Piuttosto, in quest’ultimo caso si sarebbe al cospetto di un concorso di cause.</w:t>
      </w:r>
      <w:r w:rsidR="00290F30">
        <w:rPr>
          <w:sz w:val="24"/>
          <w:szCs w:val="24"/>
        </w:rPr>
        <w:t xml:space="preserve"> </w:t>
      </w:r>
    </w:p>
    <w:p w14:paraId="4FBF3B86" w14:textId="28A6FDD3" w:rsidR="00216342" w:rsidRDefault="00771936" w:rsidP="00C24B0B">
      <w:pPr>
        <w:contextualSpacing/>
        <w:jc w:val="both"/>
        <w:rPr>
          <w:sz w:val="24"/>
          <w:szCs w:val="24"/>
        </w:rPr>
      </w:pPr>
      <w:r>
        <w:rPr>
          <w:sz w:val="24"/>
          <w:szCs w:val="24"/>
        </w:rPr>
        <w:t>Concorrere nel «</w:t>
      </w:r>
      <w:r w:rsidR="00216342" w:rsidRPr="00216342">
        <w:rPr>
          <w:i/>
          <w:sz w:val="24"/>
          <w:szCs w:val="24"/>
        </w:rPr>
        <w:t>medesimo reato</w:t>
      </w:r>
      <w:r>
        <w:rPr>
          <w:sz w:val="24"/>
          <w:szCs w:val="24"/>
        </w:rPr>
        <w:t>»</w:t>
      </w:r>
      <w:r w:rsidR="00216342">
        <w:rPr>
          <w:sz w:val="24"/>
          <w:szCs w:val="24"/>
        </w:rPr>
        <w:t xml:space="preserve"> significa concorrere nel</w:t>
      </w:r>
      <w:r w:rsidR="001551D5">
        <w:rPr>
          <w:sz w:val="24"/>
          <w:szCs w:val="24"/>
        </w:rPr>
        <w:t>la medesima offesa</w:t>
      </w:r>
      <w:r w:rsidR="001551D5" w:rsidRPr="000A3493">
        <w:rPr>
          <w:rStyle w:val="Rimandonotaapidipagina"/>
          <w:sz w:val="22"/>
          <w:szCs w:val="22"/>
        </w:rPr>
        <w:footnoteReference w:id="99"/>
      </w:r>
      <w:r w:rsidR="001551D5">
        <w:rPr>
          <w:sz w:val="24"/>
          <w:szCs w:val="24"/>
        </w:rPr>
        <w:t xml:space="preserve"> </w:t>
      </w:r>
      <w:r w:rsidR="000A3493">
        <w:rPr>
          <w:sz w:val="24"/>
          <w:szCs w:val="24"/>
        </w:rPr>
        <w:t>da intendersi come il</w:t>
      </w:r>
      <w:r w:rsidR="001551D5">
        <w:rPr>
          <w:sz w:val="24"/>
          <w:szCs w:val="24"/>
        </w:rPr>
        <w:t xml:space="preserve"> </w:t>
      </w:r>
      <w:r w:rsidR="00216342">
        <w:rPr>
          <w:sz w:val="24"/>
          <w:szCs w:val="24"/>
        </w:rPr>
        <w:t xml:space="preserve">medesimo fatto di reato. </w:t>
      </w:r>
    </w:p>
    <w:p w14:paraId="7EADAA0F" w14:textId="77777777" w:rsidR="00216342" w:rsidRDefault="00216342" w:rsidP="00C24B0B">
      <w:pPr>
        <w:contextualSpacing/>
        <w:jc w:val="both"/>
        <w:rPr>
          <w:sz w:val="24"/>
          <w:szCs w:val="24"/>
        </w:rPr>
      </w:pPr>
      <w:r>
        <w:rPr>
          <w:sz w:val="24"/>
          <w:szCs w:val="24"/>
        </w:rPr>
        <w:t xml:space="preserve">Ne consegue che il concorrente pone in essere un contributo che si rapporta ad un determinato titolo di reato, inteso nella sua accezione tecnica, comprensiva di tutti gli elementi costitutivi della fattispecie. </w:t>
      </w:r>
    </w:p>
    <w:p w14:paraId="3C740E4E" w14:textId="6A7859BD" w:rsidR="00216342" w:rsidRDefault="00216342" w:rsidP="00C24B0B">
      <w:pPr>
        <w:contextualSpacing/>
        <w:jc w:val="both"/>
        <w:rPr>
          <w:sz w:val="24"/>
          <w:szCs w:val="24"/>
        </w:rPr>
      </w:pPr>
      <w:r>
        <w:rPr>
          <w:sz w:val="24"/>
          <w:szCs w:val="24"/>
        </w:rPr>
        <w:t xml:space="preserve">Sul piano della </w:t>
      </w:r>
      <w:r w:rsidR="00C03431">
        <w:rPr>
          <w:sz w:val="24"/>
          <w:szCs w:val="24"/>
        </w:rPr>
        <w:t xml:space="preserve">tassatività </w:t>
      </w:r>
      <w:r>
        <w:rPr>
          <w:sz w:val="24"/>
          <w:szCs w:val="24"/>
        </w:rPr>
        <w:t xml:space="preserve">l’evento è soltanto uno degli elementi che costituiscono il reato. </w:t>
      </w:r>
    </w:p>
    <w:p w14:paraId="0DF1E4C4" w14:textId="55426AAB" w:rsidR="00216342" w:rsidRDefault="00216342" w:rsidP="00C24B0B">
      <w:pPr>
        <w:contextualSpacing/>
        <w:jc w:val="both"/>
        <w:rPr>
          <w:sz w:val="24"/>
          <w:szCs w:val="24"/>
        </w:rPr>
      </w:pPr>
      <w:r>
        <w:rPr>
          <w:sz w:val="24"/>
          <w:szCs w:val="24"/>
        </w:rPr>
        <w:t>Su</w:t>
      </w:r>
      <w:r w:rsidR="00C03431">
        <w:rPr>
          <w:sz w:val="24"/>
          <w:szCs w:val="24"/>
        </w:rPr>
        <w:t>l</w:t>
      </w:r>
      <w:r>
        <w:rPr>
          <w:sz w:val="24"/>
          <w:szCs w:val="24"/>
        </w:rPr>
        <w:t xml:space="preserve"> piano eziologico, esso integra soltanto uno dei due estremi del rapporto causale.  </w:t>
      </w:r>
    </w:p>
    <w:p w14:paraId="5B856B60" w14:textId="2742A19D" w:rsidR="00C03431" w:rsidRDefault="00C03431" w:rsidP="00C24B0B">
      <w:pPr>
        <w:contextualSpacing/>
        <w:jc w:val="both"/>
        <w:rPr>
          <w:sz w:val="24"/>
          <w:szCs w:val="24"/>
        </w:rPr>
      </w:pPr>
      <w:r>
        <w:rPr>
          <w:sz w:val="24"/>
          <w:szCs w:val="24"/>
        </w:rPr>
        <w:t>In tal senso si apprezza la rilevanza della condotta sia come elemento costitutivo che come ineliminabile fotogramma della sequenza causale.</w:t>
      </w:r>
    </w:p>
    <w:p w14:paraId="1697EBA3" w14:textId="6CD04D52" w:rsidR="00C03431" w:rsidRDefault="00C03431" w:rsidP="00C24B0B">
      <w:pPr>
        <w:contextualSpacing/>
        <w:jc w:val="both"/>
        <w:rPr>
          <w:sz w:val="24"/>
          <w:szCs w:val="24"/>
        </w:rPr>
      </w:pPr>
      <w:r>
        <w:rPr>
          <w:sz w:val="24"/>
          <w:szCs w:val="24"/>
        </w:rPr>
        <w:t xml:space="preserve">Una simile considerazione consente di comprendere come una corretta applicazione dell’istituto </w:t>
      </w:r>
      <w:r w:rsidR="00D37200">
        <w:rPr>
          <w:sz w:val="24"/>
          <w:szCs w:val="24"/>
        </w:rPr>
        <w:t>di cui all’art. 110 c.p.</w:t>
      </w:r>
      <w:r>
        <w:rPr>
          <w:sz w:val="24"/>
          <w:szCs w:val="24"/>
        </w:rPr>
        <w:t xml:space="preserve"> </w:t>
      </w:r>
      <w:r w:rsidR="00D37200">
        <w:rPr>
          <w:sz w:val="24"/>
          <w:szCs w:val="24"/>
        </w:rPr>
        <w:t>induca a ritenere integrato il “concorso di persone nel reato”</w:t>
      </w:r>
      <w:r>
        <w:rPr>
          <w:sz w:val="24"/>
          <w:szCs w:val="24"/>
        </w:rPr>
        <w:t xml:space="preserve"> </w:t>
      </w:r>
      <w:r w:rsidR="00D37200">
        <w:rPr>
          <w:sz w:val="24"/>
          <w:szCs w:val="24"/>
        </w:rPr>
        <w:t>soltanto dopo aver rapportato (in termini soggettivi ed oggettivi)</w:t>
      </w:r>
      <w:r>
        <w:rPr>
          <w:sz w:val="24"/>
          <w:szCs w:val="24"/>
        </w:rPr>
        <w:t xml:space="preserve"> il contributo del concorrente esterno </w:t>
      </w:r>
      <w:r w:rsidR="00D37200">
        <w:rPr>
          <w:sz w:val="24"/>
          <w:szCs w:val="24"/>
        </w:rPr>
        <w:t>con</w:t>
      </w:r>
      <w:r>
        <w:rPr>
          <w:sz w:val="24"/>
          <w:szCs w:val="24"/>
        </w:rPr>
        <w:t xml:space="preserve"> reato complessivamente inteso. </w:t>
      </w:r>
    </w:p>
    <w:p w14:paraId="423ED6C2" w14:textId="695374B4" w:rsidR="00C03431" w:rsidRDefault="00C03431" w:rsidP="00C24B0B">
      <w:pPr>
        <w:contextualSpacing/>
        <w:jc w:val="both"/>
        <w:rPr>
          <w:sz w:val="24"/>
          <w:szCs w:val="24"/>
        </w:rPr>
      </w:pPr>
      <w:r>
        <w:rPr>
          <w:sz w:val="24"/>
          <w:szCs w:val="24"/>
        </w:rPr>
        <w:lastRenderedPageBreak/>
        <w:t xml:space="preserve">L’effetto estensivo va, dunque, calibrato sull’ente logico comprensivo tanto dell’evento, quanto degli altri elementi costitutivi, tra cui figura la condotta. </w:t>
      </w:r>
    </w:p>
    <w:p w14:paraId="6781657D" w14:textId="77777777" w:rsidR="00C03431" w:rsidRDefault="00C03431" w:rsidP="00C24B0B">
      <w:pPr>
        <w:contextualSpacing/>
        <w:jc w:val="both"/>
        <w:rPr>
          <w:sz w:val="24"/>
          <w:szCs w:val="24"/>
        </w:rPr>
      </w:pPr>
      <w:r>
        <w:rPr>
          <w:sz w:val="24"/>
          <w:szCs w:val="24"/>
        </w:rPr>
        <w:t>La premessa effettuata consente di riflettere sulla effettiva portata del contributo giurisprudenziale in materia.</w:t>
      </w:r>
    </w:p>
    <w:p w14:paraId="0AB94D5D" w14:textId="24777AD8" w:rsidR="0067422D" w:rsidRDefault="0067422D" w:rsidP="00C24B0B">
      <w:pPr>
        <w:contextualSpacing/>
        <w:jc w:val="both"/>
        <w:rPr>
          <w:sz w:val="24"/>
          <w:szCs w:val="24"/>
        </w:rPr>
      </w:pPr>
      <w:r>
        <w:rPr>
          <w:sz w:val="24"/>
          <w:szCs w:val="24"/>
        </w:rPr>
        <w:t>C</w:t>
      </w:r>
      <w:r w:rsidR="00C03431">
        <w:rPr>
          <w:sz w:val="24"/>
          <w:szCs w:val="24"/>
        </w:rPr>
        <w:t xml:space="preserve">oncorrere equivale a </w:t>
      </w:r>
      <w:r w:rsidR="00EC2BED">
        <w:rPr>
          <w:sz w:val="24"/>
          <w:szCs w:val="24"/>
        </w:rPr>
        <w:t>contribuire</w:t>
      </w:r>
      <w:r w:rsidRPr="0067422D">
        <w:rPr>
          <w:sz w:val="24"/>
          <w:szCs w:val="24"/>
        </w:rPr>
        <w:t xml:space="preserve"> alla realizzazione del “medesimo titolo di reato”</w:t>
      </w:r>
      <w:r w:rsidR="00C82130" w:rsidRPr="000A3493">
        <w:rPr>
          <w:rStyle w:val="Rimandonotaapidipagina"/>
          <w:sz w:val="22"/>
          <w:szCs w:val="22"/>
        </w:rPr>
        <w:footnoteReference w:id="100"/>
      </w:r>
      <w:r w:rsidR="00C03431">
        <w:rPr>
          <w:sz w:val="24"/>
          <w:szCs w:val="24"/>
        </w:rPr>
        <w:t xml:space="preserve"> </w:t>
      </w:r>
      <w:r>
        <w:rPr>
          <w:sz w:val="24"/>
          <w:szCs w:val="24"/>
        </w:rPr>
        <w:t>secondo forme</w:t>
      </w:r>
      <w:r w:rsidR="00F50A76">
        <w:rPr>
          <w:sz w:val="24"/>
          <w:szCs w:val="24"/>
        </w:rPr>
        <w:t xml:space="preserve"> e modalità</w:t>
      </w:r>
      <w:r w:rsidR="00C03431">
        <w:rPr>
          <w:sz w:val="24"/>
          <w:szCs w:val="24"/>
        </w:rPr>
        <w:t xml:space="preserve"> </w:t>
      </w:r>
      <w:r>
        <w:rPr>
          <w:sz w:val="24"/>
          <w:szCs w:val="24"/>
        </w:rPr>
        <w:t>diverse rispetto a quelle tipizzate</w:t>
      </w:r>
      <w:r w:rsidR="0039735F">
        <w:rPr>
          <w:sz w:val="24"/>
          <w:szCs w:val="24"/>
        </w:rPr>
        <w:t>,</w:t>
      </w:r>
      <w:r w:rsidR="00C03431">
        <w:rPr>
          <w:sz w:val="24"/>
          <w:szCs w:val="24"/>
        </w:rPr>
        <w:t xml:space="preserve"> </w:t>
      </w:r>
    </w:p>
    <w:p w14:paraId="4C99A73D" w14:textId="17DF96C1" w:rsidR="00C03431" w:rsidRDefault="0067422D" w:rsidP="00C24B0B">
      <w:pPr>
        <w:contextualSpacing/>
        <w:jc w:val="both"/>
        <w:rPr>
          <w:sz w:val="24"/>
          <w:szCs w:val="24"/>
        </w:rPr>
      </w:pPr>
      <w:r>
        <w:rPr>
          <w:sz w:val="24"/>
          <w:szCs w:val="24"/>
        </w:rPr>
        <w:t>C</w:t>
      </w:r>
      <w:r w:rsidR="00C03431">
        <w:rPr>
          <w:sz w:val="24"/>
          <w:szCs w:val="24"/>
        </w:rPr>
        <w:t xml:space="preserve">iò equivale ad affermare che chi concorre </w:t>
      </w:r>
      <w:r w:rsidR="0039735F">
        <w:rPr>
          <w:sz w:val="24"/>
          <w:szCs w:val="24"/>
        </w:rPr>
        <w:t xml:space="preserve">pone in essere un apporto che </w:t>
      </w:r>
      <w:r>
        <w:rPr>
          <w:sz w:val="24"/>
          <w:szCs w:val="24"/>
        </w:rPr>
        <w:t>viene sostanzialm</w:t>
      </w:r>
      <w:r w:rsidR="0019132F">
        <w:rPr>
          <w:sz w:val="24"/>
          <w:szCs w:val="24"/>
        </w:rPr>
        <w:t>ente assimilato ed</w:t>
      </w:r>
      <w:r>
        <w:rPr>
          <w:sz w:val="24"/>
          <w:szCs w:val="24"/>
        </w:rPr>
        <w:t xml:space="preserve"> assorbito</w:t>
      </w:r>
      <w:r w:rsidR="0039735F">
        <w:rPr>
          <w:sz w:val="24"/>
          <w:szCs w:val="24"/>
        </w:rPr>
        <w:t xml:space="preserve"> </w:t>
      </w:r>
      <w:r>
        <w:rPr>
          <w:sz w:val="24"/>
          <w:szCs w:val="24"/>
        </w:rPr>
        <w:t>dal</w:t>
      </w:r>
      <w:r w:rsidR="0039735F">
        <w:rPr>
          <w:sz w:val="24"/>
          <w:szCs w:val="24"/>
        </w:rPr>
        <w:t xml:space="preserve">le condotte </w:t>
      </w:r>
      <w:r>
        <w:rPr>
          <w:sz w:val="24"/>
          <w:szCs w:val="24"/>
        </w:rPr>
        <w:t>penalmente sanzionate</w:t>
      </w:r>
      <w:r w:rsidR="0039735F">
        <w:rPr>
          <w:sz w:val="24"/>
          <w:szCs w:val="24"/>
        </w:rPr>
        <w:t>.</w:t>
      </w:r>
      <w:r w:rsidR="00C03431">
        <w:rPr>
          <w:sz w:val="24"/>
          <w:szCs w:val="24"/>
        </w:rPr>
        <w:t xml:space="preserve">   </w:t>
      </w:r>
    </w:p>
    <w:p w14:paraId="331B665F" w14:textId="43948042" w:rsidR="0039735F" w:rsidRDefault="0039735F" w:rsidP="00C24B0B">
      <w:pPr>
        <w:contextualSpacing/>
        <w:jc w:val="both"/>
        <w:rPr>
          <w:sz w:val="24"/>
          <w:szCs w:val="24"/>
        </w:rPr>
      </w:pPr>
      <w:r>
        <w:rPr>
          <w:sz w:val="24"/>
          <w:szCs w:val="24"/>
        </w:rPr>
        <w:t>Dunque</w:t>
      </w:r>
      <w:r w:rsidR="0067422D">
        <w:rPr>
          <w:sz w:val="24"/>
          <w:szCs w:val="24"/>
        </w:rPr>
        <w:t>, tecnicamente</w:t>
      </w:r>
      <w:r>
        <w:rPr>
          <w:sz w:val="24"/>
          <w:szCs w:val="24"/>
        </w:rPr>
        <w:t xml:space="preserve"> il concorrente </w:t>
      </w:r>
      <w:r w:rsidR="0067422D">
        <w:rPr>
          <w:sz w:val="24"/>
          <w:szCs w:val="24"/>
        </w:rPr>
        <w:t>eventuale nel reato di cui all’art. 416-bis c.p.</w:t>
      </w:r>
      <w:r>
        <w:rPr>
          <w:sz w:val="24"/>
          <w:szCs w:val="24"/>
        </w:rPr>
        <w:t xml:space="preserve"> è colui che concorre nella condotta </w:t>
      </w:r>
      <w:r w:rsidR="0067422D">
        <w:rPr>
          <w:sz w:val="24"/>
          <w:szCs w:val="24"/>
        </w:rPr>
        <w:t>di coloro che promuovono, dirigono, organizzano o fanno parte</w:t>
      </w:r>
      <w:r w:rsidR="00F50A76">
        <w:rPr>
          <w:sz w:val="24"/>
          <w:szCs w:val="24"/>
        </w:rPr>
        <w:t>, contribuendo causalmente alla consumazione del delitto.</w:t>
      </w:r>
      <w:r>
        <w:rPr>
          <w:sz w:val="24"/>
          <w:szCs w:val="24"/>
        </w:rPr>
        <w:t xml:space="preserve"> </w:t>
      </w:r>
    </w:p>
    <w:p w14:paraId="62DD9553" w14:textId="03A44F76" w:rsidR="0039735F" w:rsidRDefault="0039735F" w:rsidP="00C24B0B">
      <w:pPr>
        <w:contextualSpacing/>
        <w:jc w:val="both"/>
        <w:rPr>
          <w:sz w:val="24"/>
          <w:szCs w:val="24"/>
        </w:rPr>
      </w:pPr>
      <w:r>
        <w:rPr>
          <w:sz w:val="24"/>
          <w:szCs w:val="24"/>
        </w:rPr>
        <w:t>Il “</w:t>
      </w:r>
      <w:r w:rsidRPr="0039735F">
        <w:rPr>
          <w:i/>
          <w:sz w:val="24"/>
          <w:szCs w:val="24"/>
        </w:rPr>
        <w:t>punctum dolens</w:t>
      </w:r>
      <w:r>
        <w:rPr>
          <w:sz w:val="24"/>
          <w:szCs w:val="24"/>
        </w:rPr>
        <w:t>” della questione attiene a</w:t>
      </w:r>
      <w:r w:rsidR="0067422D">
        <w:rPr>
          <w:sz w:val="24"/>
          <w:szCs w:val="24"/>
        </w:rPr>
        <w:t>llora alla qualificazione di</w:t>
      </w:r>
      <w:r>
        <w:rPr>
          <w:sz w:val="24"/>
          <w:szCs w:val="24"/>
        </w:rPr>
        <w:t xml:space="preserve"> quei contributi </w:t>
      </w:r>
      <w:r w:rsidR="0067422D">
        <w:rPr>
          <w:sz w:val="24"/>
          <w:szCs w:val="24"/>
        </w:rPr>
        <w:t xml:space="preserve">che non sono tecnicamente </w:t>
      </w:r>
      <w:r>
        <w:rPr>
          <w:sz w:val="24"/>
          <w:szCs w:val="24"/>
        </w:rPr>
        <w:t xml:space="preserve">inquadrabili </w:t>
      </w:r>
      <w:r w:rsidR="00DD1124">
        <w:rPr>
          <w:sz w:val="24"/>
          <w:szCs w:val="24"/>
        </w:rPr>
        <w:t>come</w:t>
      </w:r>
      <w:r w:rsidR="00F50A76">
        <w:rPr>
          <w:sz w:val="24"/>
          <w:szCs w:val="24"/>
        </w:rPr>
        <w:t xml:space="preserve"> apport</w:t>
      </w:r>
      <w:r w:rsidR="00DD1124">
        <w:rPr>
          <w:sz w:val="24"/>
          <w:szCs w:val="24"/>
        </w:rPr>
        <w:t>o</w:t>
      </w:r>
      <w:r w:rsidR="00F50A76">
        <w:rPr>
          <w:sz w:val="24"/>
          <w:szCs w:val="24"/>
        </w:rPr>
        <w:t xml:space="preserve"> estern</w:t>
      </w:r>
      <w:r w:rsidR="00DD1124">
        <w:rPr>
          <w:sz w:val="24"/>
          <w:szCs w:val="24"/>
        </w:rPr>
        <w:t>o</w:t>
      </w:r>
      <w:r w:rsidR="0067422D">
        <w:rPr>
          <w:sz w:val="24"/>
          <w:szCs w:val="24"/>
        </w:rPr>
        <w:t xml:space="preserve"> delle condotte </w:t>
      </w:r>
      <w:r>
        <w:rPr>
          <w:sz w:val="24"/>
          <w:szCs w:val="24"/>
        </w:rPr>
        <w:t>previste dall’art. 416-bis c.p.</w:t>
      </w:r>
    </w:p>
    <w:p w14:paraId="19CB09A4" w14:textId="5F0A2F5C" w:rsidR="0039735F" w:rsidRDefault="0039735F" w:rsidP="00C24B0B">
      <w:pPr>
        <w:contextualSpacing/>
        <w:jc w:val="both"/>
        <w:rPr>
          <w:sz w:val="24"/>
          <w:szCs w:val="24"/>
        </w:rPr>
      </w:pPr>
      <w:r>
        <w:rPr>
          <w:sz w:val="24"/>
          <w:szCs w:val="24"/>
        </w:rPr>
        <w:t>Ed invero</w:t>
      </w:r>
      <w:r w:rsidR="0067422D">
        <w:rPr>
          <w:sz w:val="24"/>
          <w:szCs w:val="24"/>
        </w:rPr>
        <w:t>,</w:t>
      </w:r>
      <w:r>
        <w:rPr>
          <w:sz w:val="24"/>
          <w:szCs w:val="24"/>
        </w:rPr>
        <w:t xml:space="preserve"> è proprio questa difficoltà di inquadramento a </w:t>
      </w:r>
      <w:r w:rsidR="0067422D">
        <w:rPr>
          <w:sz w:val="24"/>
          <w:szCs w:val="24"/>
        </w:rPr>
        <w:t xml:space="preserve">fornire un valido appiglio all’orientamento che professa la natura giurisprudenziale della figura. </w:t>
      </w:r>
    </w:p>
    <w:p w14:paraId="31F2B989" w14:textId="2D28A27E" w:rsidR="0019132F" w:rsidRDefault="006F1F5C" w:rsidP="00C24B0B">
      <w:pPr>
        <w:contextualSpacing/>
        <w:jc w:val="both"/>
        <w:rPr>
          <w:sz w:val="24"/>
          <w:szCs w:val="24"/>
        </w:rPr>
      </w:pPr>
      <w:r>
        <w:rPr>
          <w:sz w:val="24"/>
          <w:szCs w:val="24"/>
        </w:rPr>
        <w:t>Letta in questo senso, l</w:t>
      </w:r>
      <w:r w:rsidR="00DD1124">
        <w:rPr>
          <w:sz w:val="24"/>
          <w:szCs w:val="24"/>
        </w:rPr>
        <w:t xml:space="preserve">’elaborazione </w:t>
      </w:r>
      <w:r>
        <w:rPr>
          <w:sz w:val="24"/>
          <w:szCs w:val="24"/>
        </w:rPr>
        <w:t>operata dalla giurisprudenza di legit</w:t>
      </w:r>
      <w:r w:rsidR="0067422D">
        <w:rPr>
          <w:sz w:val="24"/>
          <w:szCs w:val="24"/>
        </w:rPr>
        <w:t xml:space="preserve">timità sembra aver coniato una </w:t>
      </w:r>
      <w:r w:rsidR="00C82130">
        <w:rPr>
          <w:sz w:val="24"/>
          <w:szCs w:val="24"/>
        </w:rPr>
        <w:t>figura delittuosa autonoma.</w:t>
      </w:r>
    </w:p>
    <w:p w14:paraId="09137C53" w14:textId="0BF67AC5" w:rsidR="00F22CC4" w:rsidRDefault="0019132F" w:rsidP="00C24B0B">
      <w:pPr>
        <w:contextualSpacing/>
        <w:jc w:val="both"/>
        <w:rPr>
          <w:sz w:val="24"/>
          <w:szCs w:val="24"/>
        </w:rPr>
      </w:pPr>
      <w:r>
        <w:rPr>
          <w:sz w:val="24"/>
          <w:szCs w:val="24"/>
        </w:rPr>
        <w:t xml:space="preserve">In definitiva, nel momento stesso in cui la Suprema Corte ha scolpito le differenze tra il “far parte” ed il “contribuire” (in un rapporto non biunivoco) essa avrebbe posto le premesse per la creazione giurisprudenziale dell’istituto. </w:t>
      </w:r>
      <w:r w:rsidR="00F22CC4">
        <w:rPr>
          <w:sz w:val="24"/>
          <w:szCs w:val="24"/>
        </w:rPr>
        <w:t xml:space="preserve"> </w:t>
      </w:r>
    </w:p>
    <w:p w14:paraId="40264263" w14:textId="58A5315E" w:rsidR="00C82130" w:rsidRDefault="00F22CC4" w:rsidP="00C24B0B">
      <w:pPr>
        <w:contextualSpacing/>
        <w:jc w:val="both"/>
        <w:rPr>
          <w:sz w:val="24"/>
          <w:szCs w:val="24"/>
        </w:rPr>
      </w:pPr>
      <w:r>
        <w:rPr>
          <w:sz w:val="24"/>
          <w:szCs w:val="24"/>
        </w:rPr>
        <w:t>Una “nuova tipicità” che</w:t>
      </w:r>
      <w:r w:rsidR="0019132F">
        <w:rPr>
          <w:sz w:val="24"/>
          <w:szCs w:val="24"/>
        </w:rPr>
        <w:t xml:space="preserve">, nelle ipotesi in </w:t>
      </w:r>
      <w:r w:rsidR="00DD1124">
        <w:rPr>
          <w:sz w:val="24"/>
          <w:szCs w:val="24"/>
        </w:rPr>
        <w:t>cui l’apporto non si ricongiunga</w:t>
      </w:r>
      <w:r w:rsidR="0019132F">
        <w:rPr>
          <w:sz w:val="24"/>
          <w:szCs w:val="24"/>
        </w:rPr>
        <w:t xml:space="preserve"> con condotte </w:t>
      </w:r>
      <w:r w:rsidR="0061564A">
        <w:rPr>
          <w:sz w:val="24"/>
          <w:szCs w:val="24"/>
        </w:rPr>
        <w:t>espressamente contemplate</w:t>
      </w:r>
      <w:r w:rsidR="0019132F">
        <w:rPr>
          <w:sz w:val="24"/>
          <w:szCs w:val="24"/>
        </w:rPr>
        <w:t>,</w:t>
      </w:r>
      <w:r>
        <w:rPr>
          <w:sz w:val="24"/>
          <w:szCs w:val="24"/>
        </w:rPr>
        <w:t xml:space="preserve"> non può essere intesa nel senso professato dalla teoria della fattispecie plurisoggettiva eventuale</w:t>
      </w:r>
      <w:r w:rsidR="0061564A">
        <w:rPr>
          <w:sz w:val="24"/>
          <w:szCs w:val="24"/>
        </w:rPr>
        <w:t>.</w:t>
      </w:r>
      <w:r w:rsidR="00C82130">
        <w:rPr>
          <w:sz w:val="24"/>
          <w:szCs w:val="24"/>
        </w:rPr>
        <w:t xml:space="preserve"> </w:t>
      </w:r>
    </w:p>
    <w:p w14:paraId="27CE57E2" w14:textId="1B748558" w:rsidR="006F1F5C" w:rsidRDefault="00C82130" w:rsidP="00C24B0B">
      <w:pPr>
        <w:contextualSpacing/>
        <w:jc w:val="both"/>
        <w:rPr>
          <w:sz w:val="24"/>
          <w:szCs w:val="24"/>
        </w:rPr>
      </w:pPr>
      <w:r>
        <w:rPr>
          <w:sz w:val="24"/>
          <w:szCs w:val="24"/>
        </w:rPr>
        <w:t>Tutt’al più essa sembra</w:t>
      </w:r>
      <w:r w:rsidR="00F22CC4">
        <w:rPr>
          <w:sz w:val="24"/>
          <w:szCs w:val="24"/>
        </w:rPr>
        <w:t xml:space="preserve"> </w:t>
      </w:r>
      <w:r>
        <w:rPr>
          <w:sz w:val="24"/>
          <w:szCs w:val="24"/>
        </w:rPr>
        <w:t>aderire</w:t>
      </w:r>
      <w:r w:rsidR="00F22CC4">
        <w:rPr>
          <w:sz w:val="24"/>
          <w:szCs w:val="24"/>
        </w:rPr>
        <w:t xml:space="preserve"> </w:t>
      </w:r>
      <w:r>
        <w:rPr>
          <w:sz w:val="24"/>
          <w:szCs w:val="24"/>
        </w:rPr>
        <w:t>perfettamente alla cornice definitoria implicitamente delineata</w:t>
      </w:r>
      <w:r w:rsidR="00DD1124">
        <w:rPr>
          <w:sz w:val="24"/>
          <w:szCs w:val="24"/>
        </w:rPr>
        <w:t xml:space="preserve"> dalla stessa Corte EDU</w:t>
      </w:r>
      <w:r w:rsidR="00F22CC4">
        <w:rPr>
          <w:sz w:val="24"/>
          <w:szCs w:val="24"/>
        </w:rPr>
        <w:t xml:space="preserve"> quando ha sostenuto la natura pretoria della fattispecie. </w:t>
      </w:r>
      <w:r w:rsidR="0067422D">
        <w:rPr>
          <w:sz w:val="24"/>
          <w:szCs w:val="24"/>
        </w:rPr>
        <w:t xml:space="preserve">  </w:t>
      </w:r>
    </w:p>
    <w:p w14:paraId="34217C13" w14:textId="48ADCD45" w:rsidR="006F1F5C" w:rsidRDefault="0019132F" w:rsidP="00C24B0B">
      <w:pPr>
        <w:contextualSpacing/>
        <w:jc w:val="both"/>
        <w:rPr>
          <w:sz w:val="24"/>
          <w:szCs w:val="24"/>
        </w:rPr>
      </w:pPr>
      <w:r>
        <w:rPr>
          <w:sz w:val="24"/>
          <w:szCs w:val="24"/>
        </w:rPr>
        <w:t>Eppure,</w:t>
      </w:r>
      <w:r w:rsidR="00F22CC4">
        <w:rPr>
          <w:sz w:val="24"/>
          <w:szCs w:val="24"/>
        </w:rPr>
        <w:t xml:space="preserve"> secondo</w:t>
      </w:r>
      <w:r w:rsidR="006F1F5C">
        <w:rPr>
          <w:sz w:val="24"/>
          <w:szCs w:val="24"/>
        </w:rPr>
        <w:t xml:space="preserve"> l’orientamento prevalente, l’istituto del concorso eventuale prende vita proprio attraverso la creazione di una nuova tipicità, scaturente dalla tecnica della combinazione. </w:t>
      </w:r>
    </w:p>
    <w:p w14:paraId="217830CF" w14:textId="0E262019" w:rsidR="004979D5" w:rsidRDefault="0019132F" w:rsidP="00C24B0B">
      <w:pPr>
        <w:contextualSpacing/>
        <w:jc w:val="both"/>
        <w:rPr>
          <w:sz w:val="24"/>
          <w:szCs w:val="24"/>
        </w:rPr>
      </w:pPr>
      <w:r>
        <w:rPr>
          <w:sz w:val="24"/>
          <w:szCs w:val="24"/>
        </w:rPr>
        <w:t>Tuttavia,</w:t>
      </w:r>
      <w:r w:rsidR="00F22CC4">
        <w:rPr>
          <w:sz w:val="24"/>
          <w:szCs w:val="24"/>
        </w:rPr>
        <w:t xml:space="preserve"> l’analisi condotta sembra </w:t>
      </w:r>
      <w:r>
        <w:rPr>
          <w:sz w:val="24"/>
          <w:szCs w:val="24"/>
        </w:rPr>
        <w:t>giungere</w:t>
      </w:r>
      <w:r w:rsidR="00F22CC4">
        <w:rPr>
          <w:sz w:val="24"/>
          <w:szCs w:val="24"/>
        </w:rPr>
        <w:t xml:space="preserve"> ad un dato inconfutabile: a meno di non voler forzatamente ricondurre </w:t>
      </w:r>
      <w:r w:rsidR="0061564A">
        <w:rPr>
          <w:sz w:val="24"/>
          <w:szCs w:val="24"/>
        </w:rPr>
        <w:t xml:space="preserve">le </w:t>
      </w:r>
      <w:r w:rsidR="00F22CC4">
        <w:rPr>
          <w:sz w:val="24"/>
          <w:szCs w:val="24"/>
        </w:rPr>
        <w:t>condotte palesemente estranee o marginali</w:t>
      </w:r>
      <w:r w:rsidR="00F22CC4" w:rsidRPr="0061564A">
        <w:rPr>
          <w:rStyle w:val="Rimandonotaapidipagina"/>
          <w:sz w:val="22"/>
          <w:szCs w:val="22"/>
        </w:rPr>
        <w:footnoteReference w:id="101"/>
      </w:r>
      <w:r w:rsidR="00DD1124">
        <w:rPr>
          <w:sz w:val="24"/>
          <w:szCs w:val="24"/>
        </w:rPr>
        <w:t xml:space="preserve"> alle fattispecie comportamentali </w:t>
      </w:r>
      <w:r w:rsidR="00F22CC4">
        <w:rPr>
          <w:sz w:val="24"/>
          <w:szCs w:val="24"/>
        </w:rPr>
        <w:t>tipizzate</w:t>
      </w:r>
      <w:r w:rsidR="00BD72F7" w:rsidRPr="0061564A">
        <w:rPr>
          <w:rStyle w:val="Rimandonotaapidipagina"/>
          <w:sz w:val="22"/>
          <w:szCs w:val="22"/>
        </w:rPr>
        <w:footnoteReference w:id="102"/>
      </w:r>
      <w:r w:rsidR="00F22CC4">
        <w:rPr>
          <w:sz w:val="24"/>
          <w:szCs w:val="24"/>
        </w:rPr>
        <w:t xml:space="preserve"> deve pervenirsi </w:t>
      </w:r>
      <w:r w:rsidR="00BD72F7">
        <w:rPr>
          <w:sz w:val="24"/>
          <w:szCs w:val="24"/>
        </w:rPr>
        <w:t>a</w:t>
      </w:r>
      <w:r w:rsidR="00F22CC4">
        <w:rPr>
          <w:sz w:val="24"/>
          <w:szCs w:val="24"/>
        </w:rPr>
        <w:t xml:space="preserve"> riconoscere </w:t>
      </w:r>
      <w:r w:rsidR="00BD72F7">
        <w:rPr>
          <w:sz w:val="24"/>
          <w:szCs w:val="24"/>
        </w:rPr>
        <w:t>negli approdi delle</w:t>
      </w:r>
      <w:r w:rsidR="006F1F5C">
        <w:rPr>
          <w:sz w:val="24"/>
          <w:szCs w:val="24"/>
        </w:rPr>
        <w:t xml:space="preserve"> Sezioni Unite </w:t>
      </w:r>
      <w:r w:rsidR="00771936">
        <w:rPr>
          <w:sz w:val="24"/>
          <w:szCs w:val="24"/>
        </w:rPr>
        <w:t>un vero e proprio «formante giurisprudenziale»</w:t>
      </w:r>
      <w:r w:rsidR="00BD72F7">
        <w:rPr>
          <w:sz w:val="24"/>
          <w:szCs w:val="24"/>
        </w:rPr>
        <w:t xml:space="preserve"> </w:t>
      </w:r>
      <w:r w:rsidR="00190596">
        <w:rPr>
          <w:sz w:val="24"/>
          <w:szCs w:val="24"/>
        </w:rPr>
        <w:t>veicolato attraverso</w:t>
      </w:r>
      <w:r w:rsidR="00BD72F7">
        <w:rPr>
          <w:sz w:val="24"/>
          <w:szCs w:val="24"/>
        </w:rPr>
        <w:t xml:space="preserve"> l’improprio riferimento all’istituto</w:t>
      </w:r>
      <w:r w:rsidR="004979D5">
        <w:rPr>
          <w:sz w:val="24"/>
          <w:szCs w:val="24"/>
        </w:rPr>
        <w:t xml:space="preserve"> </w:t>
      </w:r>
      <w:r w:rsidR="00BD72F7">
        <w:rPr>
          <w:sz w:val="24"/>
          <w:szCs w:val="24"/>
        </w:rPr>
        <w:t>concorsuale</w:t>
      </w:r>
      <w:r w:rsidR="00DD1124" w:rsidRPr="000D04F9">
        <w:rPr>
          <w:rStyle w:val="Rimandonotaapidipagina"/>
          <w:sz w:val="22"/>
          <w:szCs w:val="22"/>
        </w:rPr>
        <w:footnoteReference w:id="103"/>
      </w:r>
      <w:r w:rsidR="00BD72F7">
        <w:rPr>
          <w:sz w:val="24"/>
          <w:szCs w:val="24"/>
        </w:rPr>
        <w:t>.</w:t>
      </w:r>
      <w:r w:rsidR="004979D5">
        <w:rPr>
          <w:sz w:val="24"/>
          <w:szCs w:val="24"/>
        </w:rPr>
        <w:t xml:space="preserve"> </w:t>
      </w:r>
    </w:p>
    <w:p w14:paraId="081E960C" w14:textId="14BC2FF0" w:rsidR="0061564A" w:rsidRDefault="004979D5" w:rsidP="00190596">
      <w:pPr>
        <w:contextualSpacing/>
        <w:jc w:val="both"/>
        <w:rPr>
          <w:sz w:val="24"/>
          <w:szCs w:val="24"/>
        </w:rPr>
      </w:pPr>
      <w:r>
        <w:rPr>
          <w:sz w:val="24"/>
          <w:szCs w:val="24"/>
        </w:rPr>
        <w:lastRenderedPageBreak/>
        <w:t>La pros</w:t>
      </w:r>
      <w:r w:rsidR="00190596">
        <w:rPr>
          <w:sz w:val="24"/>
          <w:szCs w:val="24"/>
        </w:rPr>
        <w:t xml:space="preserve">pettiva che si dischiude apre un varco alla possibilità di </w:t>
      </w:r>
      <w:r w:rsidR="0061564A">
        <w:rPr>
          <w:sz w:val="24"/>
          <w:szCs w:val="24"/>
        </w:rPr>
        <w:t>intendere il concorso esterno in associazione mafiosa come un reato dotato di una tipicità alternativa</w:t>
      </w:r>
      <w:r w:rsidR="008417A0">
        <w:rPr>
          <w:sz w:val="24"/>
          <w:szCs w:val="24"/>
        </w:rPr>
        <w:t>, alla stregua di una categoria descrittiva di un peculiare fenomeno di collusione mafiosa</w:t>
      </w:r>
      <w:r w:rsidR="0061564A">
        <w:rPr>
          <w:sz w:val="24"/>
          <w:szCs w:val="24"/>
        </w:rPr>
        <w:t>.</w:t>
      </w:r>
    </w:p>
    <w:p w14:paraId="7328B793" w14:textId="4A1D6A30" w:rsidR="00DD1124" w:rsidRDefault="0061564A" w:rsidP="00190596">
      <w:pPr>
        <w:contextualSpacing/>
        <w:jc w:val="both"/>
        <w:rPr>
          <w:sz w:val="24"/>
          <w:szCs w:val="24"/>
        </w:rPr>
      </w:pPr>
      <w:r>
        <w:rPr>
          <w:sz w:val="24"/>
          <w:szCs w:val="24"/>
        </w:rPr>
        <w:t xml:space="preserve">Esso costituirebbe una forma di manifestazione del reato </w:t>
      </w:r>
      <w:r w:rsidR="008417A0">
        <w:rPr>
          <w:sz w:val="24"/>
          <w:szCs w:val="24"/>
        </w:rPr>
        <w:t xml:space="preserve">solo </w:t>
      </w:r>
      <w:r>
        <w:rPr>
          <w:sz w:val="24"/>
          <w:szCs w:val="24"/>
        </w:rPr>
        <w:t xml:space="preserve">laddove il soggetto agente apporti un contributo atipico che si innesta su una condotta tipica. </w:t>
      </w:r>
    </w:p>
    <w:p w14:paraId="07506EB9" w14:textId="776F187B" w:rsidR="0061564A" w:rsidRDefault="0061564A" w:rsidP="00190596">
      <w:pPr>
        <w:contextualSpacing/>
        <w:jc w:val="both"/>
        <w:rPr>
          <w:sz w:val="24"/>
          <w:szCs w:val="24"/>
        </w:rPr>
      </w:pPr>
      <w:r>
        <w:rPr>
          <w:sz w:val="24"/>
          <w:szCs w:val="24"/>
        </w:rPr>
        <w:t>Si pensi a</w:t>
      </w:r>
      <w:r w:rsidR="005426B5">
        <w:rPr>
          <w:sz w:val="24"/>
          <w:szCs w:val="24"/>
        </w:rPr>
        <w:t>l</w:t>
      </w:r>
      <w:r w:rsidR="00DD1124">
        <w:rPr>
          <w:sz w:val="24"/>
          <w:szCs w:val="24"/>
        </w:rPr>
        <w:t xml:space="preserve"> non associato</w:t>
      </w:r>
      <w:r w:rsidR="005426B5">
        <w:rPr>
          <w:sz w:val="24"/>
          <w:szCs w:val="24"/>
        </w:rPr>
        <w:t xml:space="preserve"> che, </w:t>
      </w:r>
      <w:r w:rsidR="00DD1124">
        <w:rPr>
          <w:sz w:val="24"/>
          <w:szCs w:val="24"/>
        </w:rPr>
        <w:t>per ragioni di amicizia</w:t>
      </w:r>
      <w:r w:rsidR="005426B5">
        <w:rPr>
          <w:sz w:val="24"/>
          <w:szCs w:val="24"/>
        </w:rPr>
        <w:t xml:space="preserve">, fornisca assistenza logistica al partecipe per consentirgli di svolgere le attività di pattugliamento del territorio. </w:t>
      </w:r>
      <w:r>
        <w:rPr>
          <w:sz w:val="24"/>
          <w:szCs w:val="24"/>
        </w:rPr>
        <w:t xml:space="preserve"> </w:t>
      </w:r>
    </w:p>
    <w:p w14:paraId="25365FA2" w14:textId="4D32C551" w:rsidR="005426B5" w:rsidRDefault="005426B5" w:rsidP="00190596">
      <w:pPr>
        <w:contextualSpacing/>
        <w:jc w:val="both"/>
        <w:rPr>
          <w:sz w:val="24"/>
          <w:szCs w:val="24"/>
        </w:rPr>
      </w:pPr>
      <w:r w:rsidRPr="005426B5">
        <w:rPr>
          <w:sz w:val="24"/>
          <w:szCs w:val="24"/>
        </w:rPr>
        <w:t xml:space="preserve">In termini pratici, se il comportamento dell’estraneo </w:t>
      </w:r>
      <w:r w:rsidR="00DD1124">
        <w:rPr>
          <w:sz w:val="24"/>
          <w:szCs w:val="24"/>
        </w:rPr>
        <w:t>si innesta</w:t>
      </w:r>
      <w:r w:rsidRPr="005426B5">
        <w:rPr>
          <w:sz w:val="24"/>
          <w:szCs w:val="24"/>
        </w:rPr>
        <w:t xml:space="preserve"> </w:t>
      </w:r>
      <w:r w:rsidR="00DD1124">
        <w:rPr>
          <w:sz w:val="24"/>
          <w:szCs w:val="24"/>
        </w:rPr>
        <w:t>sulla</w:t>
      </w:r>
      <w:r w:rsidRPr="005426B5">
        <w:rPr>
          <w:sz w:val="24"/>
          <w:szCs w:val="24"/>
        </w:rPr>
        <w:t xml:space="preserve"> condotta realizzata d</w:t>
      </w:r>
      <w:r w:rsidR="00DD1124">
        <w:rPr>
          <w:sz w:val="24"/>
          <w:szCs w:val="24"/>
        </w:rPr>
        <w:t xml:space="preserve">agli associati (siano essi qualificabili come </w:t>
      </w:r>
      <w:r w:rsidRPr="005426B5">
        <w:rPr>
          <w:sz w:val="24"/>
          <w:szCs w:val="24"/>
        </w:rPr>
        <w:t>partecip</w:t>
      </w:r>
      <w:r w:rsidR="00DD1124">
        <w:rPr>
          <w:sz w:val="24"/>
          <w:szCs w:val="24"/>
        </w:rPr>
        <w:t>i</w:t>
      </w:r>
      <w:r w:rsidRPr="005426B5">
        <w:rPr>
          <w:sz w:val="24"/>
          <w:szCs w:val="24"/>
        </w:rPr>
        <w:t>, organizzatori,</w:t>
      </w:r>
      <w:r w:rsidR="00DD1124">
        <w:rPr>
          <w:sz w:val="24"/>
          <w:szCs w:val="24"/>
        </w:rPr>
        <w:t xml:space="preserve"> promotori o </w:t>
      </w:r>
      <w:r w:rsidRPr="005426B5">
        <w:rPr>
          <w:sz w:val="24"/>
          <w:szCs w:val="24"/>
        </w:rPr>
        <w:t>dirigenti</w:t>
      </w:r>
      <w:r w:rsidR="00DD1124">
        <w:rPr>
          <w:sz w:val="24"/>
          <w:szCs w:val="24"/>
        </w:rPr>
        <w:t>)</w:t>
      </w:r>
      <w:r w:rsidRPr="005426B5">
        <w:rPr>
          <w:sz w:val="24"/>
          <w:szCs w:val="24"/>
        </w:rPr>
        <w:t xml:space="preserve"> non si pone un problema di atipicità (rectius, di legalità).</w:t>
      </w:r>
    </w:p>
    <w:p w14:paraId="572F4318" w14:textId="3A6C37FD" w:rsidR="00190596" w:rsidRDefault="005426B5" w:rsidP="00190596">
      <w:pPr>
        <w:contextualSpacing/>
        <w:jc w:val="both"/>
        <w:rPr>
          <w:sz w:val="24"/>
          <w:szCs w:val="24"/>
        </w:rPr>
      </w:pPr>
      <w:r>
        <w:rPr>
          <w:sz w:val="24"/>
          <w:szCs w:val="24"/>
        </w:rPr>
        <w:t>Per converso, l</w:t>
      </w:r>
      <w:r w:rsidR="0061564A">
        <w:rPr>
          <w:sz w:val="24"/>
          <w:szCs w:val="24"/>
        </w:rPr>
        <w:t xml:space="preserve">a fattispecie integrerebbe un delitto a </w:t>
      </w:r>
      <w:proofErr w:type="gramStart"/>
      <w:r w:rsidR="0061564A">
        <w:rPr>
          <w:sz w:val="24"/>
          <w:szCs w:val="24"/>
        </w:rPr>
        <w:t>se</w:t>
      </w:r>
      <w:proofErr w:type="gramEnd"/>
      <w:r w:rsidR="0061564A">
        <w:rPr>
          <w:sz w:val="24"/>
          <w:szCs w:val="24"/>
        </w:rPr>
        <w:t xml:space="preserve"> stante</w:t>
      </w:r>
      <w:r w:rsidR="00190596">
        <w:rPr>
          <w:sz w:val="24"/>
          <w:szCs w:val="24"/>
        </w:rPr>
        <w:t xml:space="preserve"> </w:t>
      </w:r>
      <w:r w:rsidR="0061564A">
        <w:rPr>
          <w:sz w:val="24"/>
          <w:szCs w:val="24"/>
        </w:rPr>
        <w:t xml:space="preserve">ove risulti non </w:t>
      </w:r>
      <w:r w:rsidR="00190596">
        <w:rPr>
          <w:sz w:val="24"/>
          <w:szCs w:val="24"/>
        </w:rPr>
        <w:t>compati</w:t>
      </w:r>
      <w:r w:rsidR="00DD1124">
        <w:rPr>
          <w:sz w:val="24"/>
          <w:szCs w:val="24"/>
        </w:rPr>
        <w:t xml:space="preserve">bile né con la tipicità testualmente ricavabile dall’art. 416-bis </w:t>
      </w:r>
      <w:r w:rsidR="00DD1124" w:rsidRPr="00DD1124">
        <w:rPr>
          <w:i/>
          <w:sz w:val="24"/>
          <w:szCs w:val="24"/>
        </w:rPr>
        <w:t>tout court</w:t>
      </w:r>
      <w:r w:rsidR="00190596">
        <w:rPr>
          <w:sz w:val="24"/>
          <w:szCs w:val="24"/>
        </w:rPr>
        <w:t xml:space="preserve"> né con quella assiologicamente desumibile dalla combinazione di norme.</w:t>
      </w:r>
    </w:p>
    <w:p w14:paraId="19619873" w14:textId="6F28E090" w:rsidR="005426B5" w:rsidRDefault="005426B5" w:rsidP="00190596">
      <w:pPr>
        <w:contextualSpacing/>
        <w:jc w:val="both"/>
        <w:rPr>
          <w:sz w:val="24"/>
          <w:szCs w:val="24"/>
        </w:rPr>
      </w:pPr>
    </w:p>
    <w:p w14:paraId="0587D6E1" w14:textId="621F56F4" w:rsidR="005C2DFB" w:rsidRPr="00EE4F02" w:rsidRDefault="00EE4F02" w:rsidP="00190596">
      <w:pPr>
        <w:contextualSpacing/>
        <w:jc w:val="both"/>
        <w:rPr>
          <w:i/>
          <w:sz w:val="24"/>
          <w:szCs w:val="24"/>
        </w:rPr>
      </w:pPr>
      <w:r w:rsidRPr="00EE4F02">
        <w:rPr>
          <w:i/>
          <w:sz w:val="24"/>
          <w:szCs w:val="24"/>
        </w:rPr>
        <w:t xml:space="preserve">6. </w:t>
      </w:r>
      <w:r w:rsidR="00EA0160">
        <w:rPr>
          <w:i/>
          <w:sz w:val="24"/>
          <w:szCs w:val="24"/>
        </w:rPr>
        <w:t xml:space="preserve">Conclusioni: </w:t>
      </w:r>
      <w:r w:rsidR="009A22EC">
        <w:rPr>
          <w:i/>
          <w:sz w:val="24"/>
          <w:szCs w:val="24"/>
        </w:rPr>
        <w:t>l’analisi</w:t>
      </w:r>
      <w:r w:rsidR="000E3292">
        <w:rPr>
          <w:i/>
          <w:sz w:val="24"/>
          <w:szCs w:val="24"/>
        </w:rPr>
        <w:t xml:space="preserve"> logica</w:t>
      </w:r>
      <w:r>
        <w:rPr>
          <w:i/>
          <w:sz w:val="24"/>
          <w:szCs w:val="24"/>
        </w:rPr>
        <w:t xml:space="preserve">. </w:t>
      </w:r>
      <w:r w:rsidR="005426B5">
        <w:rPr>
          <w:sz w:val="24"/>
          <w:szCs w:val="24"/>
        </w:rPr>
        <w:t>L</w:t>
      </w:r>
      <w:r w:rsidR="005C2DFB">
        <w:rPr>
          <w:sz w:val="24"/>
          <w:szCs w:val="24"/>
        </w:rPr>
        <w:t>a questione si fa assiologicamente più districata nell’ipotesi, non residuale, che la condotta dell’extraneus si connoti in termini non compatibili con le voci verbali che disegnano la tipicità: partecipare, promuovere, dirigere e organizzare.</w:t>
      </w:r>
    </w:p>
    <w:p w14:paraId="33173CD3" w14:textId="77777777" w:rsidR="00154FD9" w:rsidRDefault="005C2DFB" w:rsidP="00190596">
      <w:pPr>
        <w:contextualSpacing/>
        <w:jc w:val="both"/>
        <w:rPr>
          <w:sz w:val="24"/>
          <w:szCs w:val="24"/>
        </w:rPr>
      </w:pPr>
      <w:r>
        <w:rPr>
          <w:sz w:val="24"/>
          <w:szCs w:val="24"/>
        </w:rPr>
        <w:t>In tal senso, la strada percorribile sarebbe quella di r</w:t>
      </w:r>
      <w:r w:rsidR="007926BF">
        <w:rPr>
          <w:sz w:val="24"/>
          <w:szCs w:val="24"/>
        </w:rPr>
        <w:t>iconoscere nel</w:t>
      </w:r>
      <w:r w:rsidR="00154FD9">
        <w:rPr>
          <w:sz w:val="24"/>
          <w:szCs w:val="24"/>
        </w:rPr>
        <w:t>la locuzione</w:t>
      </w:r>
      <w:r w:rsidR="007926BF">
        <w:rPr>
          <w:sz w:val="24"/>
          <w:szCs w:val="24"/>
        </w:rPr>
        <w:t xml:space="preserve"> “concorso esterno” </w:t>
      </w:r>
      <w:r w:rsidR="00154FD9">
        <w:rPr>
          <w:sz w:val="24"/>
          <w:szCs w:val="24"/>
        </w:rPr>
        <w:t>una perifrasi esplicativa di una categoria.</w:t>
      </w:r>
    </w:p>
    <w:p w14:paraId="4AE9FF78" w14:textId="07860C8B" w:rsidR="00CD1073" w:rsidRDefault="00154FD9" w:rsidP="00190596">
      <w:pPr>
        <w:contextualSpacing/>
        <w:jc w:val="both"/>
        <w:rPr>
          <w:sz w:val="24"/>
          <w:szCs w:val="24"/>
        </w:rPr>
      </w:pPr>
      <w:r>
        <w:rPr>
          <w:sz w:val="24"/>
          <w:szCs w:val="24"/>
        </w:rPr>
        <w:t>Con riguardo all’associazione di tipo mafioso essa risulterebbe inclusiva di</w:t>
      </w:r>
      <w:r w:rsidR="007926BF">
        <w:rPr>
          <w:sz w:val="24"/>
          <w:szCs w:val="24"/>
        </w:rPr>
        <w:t xml:space="preserve"> </w:t>
      </w:r>
      <w:r>
        <w:rPr>
          <w:sz w:val="24"/>
          <w:szCs w:val="24"/>
        </w:rPr>
        <w:t xml:space="preserve">fatti ascrivibili a sue sottoinsiemi </w:t>
      </w:r>
      <w:r w:rsidR="00CD1073">
        <w:rPr>
          <w:sz w:val="24"/>
          <w:szCs w:val="24"/>
        </w:rPr>
        <w:t>giuridicamente distinguibili.</w:t>
      </w:r>
    </w:p>
    <w:p w14:paraId="724CFC30" w14:textId="129B2FB1" w:rsidR="00154FD9" w:rsidRDefault="00CD1073" w:rsidP="00190596">
      <w:pPr>
        <w:contextualSpacing/>
        <w:jc w:val="both"/>
        <w:rPr>
          <w:sz w:val="24"/>
          <w:szCs w:val="24"/>
        </w:rPr>
      </w:pPr>
      <w:r>
        <w:rPr>
          <w:sz w:val="24"/>
          <w:szCs w:val="24"/>
        </w:rPr>
        <w:t>Una differenza</w:t>
      </w:r>
      <w:r w:rsidR="00154FD9">
        <w:rPr>
          <w:sz w:val="24"/>
          <w:szCs w:val="24"/>
        </w:rPr>
        <w:t xml:space="preserve"> </w:t>
      </w:r>
      <w:r>
        <w:rPr>
          <w:sz w:val="24"/>
          <w:szCs w:val="24"/>
        </w:rPr>
        <w:t>stigmatizzata dalla diversità del sillogismo giuridico posto a fondamento</w:t>
      </w:r>
      <w:r w:rsidR="00154FD9">
        <w:rPr>
          <w:sz w:val="24"/>
          <w:szCs w:val="24"/>
        </w:rPr>
        <w:t xml:space="preserve">. </w:t>
      </w:r>
    </w:p>
    <w:p w14:paraId="194F4B6D" w14:textId="18AAD9AA" w:rsidR="007926BF" w:rsidRDefault="00CD1073" w:rsidP="00190596">
      <w:pPr>
        <w:contextualSpacing/>
        <w:jc w:val="both"/>
        <w:rPr>
          <w:sz w:val="24"/>
          <w:szCs w:val="24"/>
        </w:rPr>
      </w:pPr>
      <w:r>
        <w:rPr>
          <w:sz w:val="24"/>
          <w:szCs w:val="24"/>
        </w:rPr>
        <w:t>In questa prospettiva essa sarebbe in grado di accogliere una duplice accezione della complessa fattispecie delittuosa:</w:t>
      </w:r>
      <w:r w:rsidR="007926BF">
        <w:rPr>
          <w:sz w:val="24"/>
          <w:szCs w:val="24"/>
        </w:rPr>
        <w:t xml:space="preserve"> accessori</w:t>
      </w:r>
      <w:r>
        <w:rPr>
          <w:sz w:val="24"/>
          <w:szCs w:val="24"/>
        </w:rPr>
        <w:t>a</w:t>
      </w:r>
      <w:r w:rsidR="007926BF">
        <w:rPr>
          <w:sz w:val="24"/>
          <w:szCs w:val="24"/>
        </w:rPr>
        <w:t xml:space="preserve"> e plurisoggettiv</w:t>
      </w:r>
      <w:r>
        <w:rPr>
          <w:sz w:val="24"/>
          <w:szCs w:val="24"/>
        </w:rPr>
        <w:t>a</w:t>
      </w:r>
      <w:r w:rsidR="007926BF">
        <w:rPr>
          <w:sz w:val="24"/>
          <w:szCs w:val="24"/>
        </w:rPr>
        <w:t xml:space="preserve"> quando costituisce il frutto del “combinato disposto”, autonom</w:t>
      </w:r>
      <w:r>
        <w:rPr>
          <w:sz w:val="24"/>
          <w:szCs w:val="24"/>
        </w:rPr>
        <w:t>a</w:t>
      </w:r>
      <w:r w:rsidR="007926BF">
        <w:rPr>
          <w:sz w:val="24"/>
          <w:szCs w:val="24"/>
        </w:rPr>
        <w:t xml:space="preserve"> e monosoggettiv</w:t>
      </w:r>
      <w:r>
        <w:rPr>
          <w:sz w:val="24"/>
          <w:szCs w:val="24"/>
        </w:rPr>
        <w:t>a</w:t>
      </w:r>
      <w:r w:rsidR="007926BF">
        <w:rPr>
          <w:sz w:val="24"/>
          <w:szCs w:val="24"/>
        </w:rPr>
        <w:t xml:space="preserve"> quando si pone al di fuori del raggio d’azione della “nuova tipicità”. </w:t>
      </w:r>
    </w:p>
    <w:p w14:paraId="1851754E" w14:textId="77777777" w:rsidR="00CD1073" w:rsidRDefault="00BA3A94" w:rsidP="00190596">
      <w:pPr>
        <w:contextualSpacing/>
        <w:jc w:val="both"/>
        <w:rPr>
          <w:sz w:val="24"/>
          <w:szCs w:val="24"/>
        </w:rPr>
      </w:pPr>
      <w:r>
        <w:rPr>
          <w:sz w:val="24"/>
          <w:szCs w:val="24"/>
        </w:rPr>
        <w:t>La soluzione</w:t>
      </w:r>
      <w:r w:rsidR="00CD1073">
        <w:rPr>
          <w:sz w:val="24"/>
          <w:szCs w:val="24"/>
        </w:rPr>
        <w:t>, per quanto frutto di un processo di ponderata astrazione (e dunque di un ragionamento inferenziale induttivo)</w:t>
      </w:r>
      <w:r>
        <w:rPr>
          <w:sz w:val="24"/>
          <w:szCs w:val="24"/>
        </w:rPr>
        <w:t xml:space="preserve"> appare </w:t>
      </w:r>
      <w:r w:rsidR="00CD1073">
        <w:rPr>
          <w:sz w:val="24"/>
          <w:szCs w:val="24"/>
        </w:rPr>
        <w:t xml:space="preserve">asistematica. </w:t>
      </w:r>
    </w:p>
    <w:p w14:paraId="575E0275" w14:textId="5A7A43FE" w:rsidR="00BA3A94" w:rsidRDefault="00CD1073" w:rsidP="00190596">
      <w:pPr>
        <w:contextualSpacing/>
        <w:jc w:val="both"/>
        <w:rPr>
          <w:sz w:val="24"/>
          <w:szCs w:val="24"/>
        </w:rPr>
      </w:pPr>
      <w:r>
        <w:rPr>
          <w:sz w:val="24"/>
          <w:szCs w:val="24"/>
        </w:rPr>
        <w:t xml:space="preserve">A ben guardare, infatti, essa risulta </w:t>
      </w:r>
      <w:r w:rsidR="00BA3A94">
        <w:rPr>
          <w:sz w:val="24"/>
          <w:szCs w:val="24"/>
        </w:rPr>
        <w:t xml:space="preserve">disorganica e disallineata rispetto alle </w:t>
      </w:r>
      <w:r w:rsidR="000053B3">
        <w:rPr>
          <w:sz w:val="24"/>
          <w:szCs w:val="24"/>
        </w:rPr>
        <w:t xml:space="preserve">arterie </w:t>
      </w:r>
      <w:r w:rsidR="00BA3A94">
        <w:rPr>
          <w:sz w:val="24"/>
          <w:szCs w:val="24"/>
        </w:rPr>
        <w:t xml:space="preserve">assiomatiche </w:t>
      </w:r>
      <w:r w:rsidR="00710C2C">
        <w:rPr>
          <w:sz w:val="24"/>
          <w:szCs w:val="24"/>
        </w:rPr>
        <w:t xml:space="preserve">che si dispiegano, percorrono ed innervano l’intero </w:t>
      </w:r>
      <w:r w:rsidR="00BA3A94">
        <w:rPr>
          <w:sz w:val="24"/>
          <w:szCs w:val="24"/>
        </w:rPr>
        <w:t xml:space="preserve">sistema penale. </w:t>
      </w:r>
    </w:p>
    <w:p w14:paraId="2FD068F2" w14:textId="15F2685C" w:rsidR="00BA3A94" w:rsidRDefault="00BA3A94" w:rsidP="00190596">
      <w:pPr>
        <w:contextualSpacing/>
        <w:jc w:val="both"/>
        <w:rPr>
          <w:sz w:val="24"/>
          <w:szCs w:val="24"/>
        </w:rPr>
      </w:pPr>
      <w:r>
        <w:rPr>
          <w:sz w:val="24"/>
          <w:szCs w:val="24"/>
        </w:rPr>
        <w:t>Alla perdita di una visione unitaria del fenomeno fa da contraltare una precisa esigenza di fondo: la complessiva tenuta d</w:t>
      </w:r>
      <w:r w:rsidR="00036404">
        <w:rPr>
          <w:sz w:val="24"/>
          <w:szCs w:val="24"/>
        </w:rPr>
        <w:t>i un</w:t>
      </w:r>
      <w:r w:rsidR="00710C2C">
        <w:rPr>
          <w:sz w:val="24"/>
          <w:szCs w:val="24"/>
        </w:rPr>
        <w:t>a branca di quello stesso ordinamento</w:t>
      </w:r>
      <w:r>
        <w:rPr>
          <w:sz w:val="24"/>
          <w:szCs w:val="24"/>
        </w:rPr>
        <w:t xml:space="preserve"> </w:t>
      </w:r>
      <w:r w:rsidR="00710C2C">
        <w:rPr>
          <w:sz w:val="24"/>
          <w:szCs w:val="24"/>
        </w:rPr>
        <w:t>che fa dei</w:t>
      </w:r>
      <w:r w:rsidR="00036404">
        <w:rPr>
          <w:sz w:val="24"/>
          <w:szCs w:val="24"/>
        </w:rPr>
        <w:t xml:space="preserve"> canoni della logica giuridica</w:t>
      </w:r>
      <w:r w:rsidR="00710C2C">
        <w:rPr>
          <w:sz w:val="24"/>
          <w:szCs w:val="24"/>
        </w:rPr>
        <w:t xml:space="preserve"> il suo cuore pulsante.</w:t>
      </w:r>
      <w:r>
        <w:rPr>
          <w:sz w:val="24"/>
          <w:szCs w:val="24"/>
        </w:rPr>
        <w:t xml:space="preserve">   </w:t>
      </w:r>
    </w:p>
    <w:p w14:paraId="1443D778" w14:textId="52F7DB83" w:rsidR="00710C2C" w:rsidRDefault="00710C2C" w:rsidP="00190596">
      <w:pPr>
        <w:contextualSpacing/>
        <w:jc w:val="both"/>
        <w:rPr>
          <w:sz w:val="24"/>
          <w:szCs w:val="24"/>
        </w:rPr>
      </w:pPr>
      <w:r>
        <w:rPr>
          <w:sz w:val="24"/>
          <w:szCs w:val="24"/>
        </w:rPr>
        <w:t xml:space="preserve">A fortiori, ciò vale </w:t>
      </w:r>
      <w:r w:rsidR="00177D52">
        <w:rPr>
          <w:sz w:val="24"/>
          <w:szCs w:val="24"/>
        </w:rPr>
        <w:t>per un sistema, quale è quello penale, che, per eccellenza, costituisce il regno dell’</w:t>
      </w:r>
      <w:r>
        <w:rPr>
          <w:sz w:val="24"/>
          <w:szCs w:val="24"/>
        </w:rPr>
        <w:t>inferenza deduttiva</w:t>
      </w:r>
      <w:r w:rsidR="00177D52">
        <w:rPr>
          <w:sz w:val="24"/>
          <w:szCs w:val="24"/>
        </w:rPr>
        <w:t>.</w:t>
      </w:r>
      <w:r>
        <w:rPr>
          <w:sz w:val="24"/>
          <w:szCs w:val="24"/>
        </w:rPr>
        <w:t xml:space="preserve">   </w:t>
      </w:r>
    </w:p>
    <w:p w14:paraId="6FE19B51" w14:textId="00388B47" w:rsidR="00036404" w:rsidRDefault="000E3292" w:rsidP="00190596">
      <w:pPr>
        <w:contextualSpacing/>
        <w:jc w:val="both"/>
        <w:rPr>
          <w:sz w:val="24"/>
          <w:szCs w:val="24"/>
        </w:rPr>
      </w:pPr>
      <w:r>
        <w:rPr>
          <w:sz w:val="24"/>
          <w:szCs w:val="24"/>
        </w:rPr>
        <w:t>Con un ulteriore</w:t>
      </w:r>
      <w:r w:rsidR="00036404">
        <w:rPr>
          <w:sz w:val="24"/>
          <w:szCs w:val="24"/>
        </w:rPr>
        <w:t xml:space="preserve"> sforzo ermeneutico si può tentare di ricomporre la frattura per ipotizzare una visione </w:t>
      </w:r>
      <w:r w:rsidR="00A32266">
        <w:rPr>
          <w:sz w:val="24"/>
          <w:szCs w:val="24"/>
        </w:rPr>
        <w:t xml:space="preserve">assiologicamente </w:t>
      </w:r>
      <w:r w:rsidR="00036404">
        <w:rPr>
          <w:sz w:val="24"/>
          <w:szCs w:val="24"/>
        </w:rPr>
        <w:t xml:space="preserve">unitaria del </w:t>
      </w:r>
      <w:r w:rsidR="00710C2C">
        <w:rPr>
          <w:sz w:val="24"/>
          <w:szCs w:val="24"/>
        </w:rPr>
        <w:t>fenomeno</w:t>
      </w:r>
      <w:r w:rsidR="00036404">
        <w:rPr>
          <w:sz w:val="24"/>
          <w:szCs w:val="24"/>
        </w:rPr>
        <w:t>.</w:t>
      </w:r>
    </w:p>
    <w:p w14:paraId="3BA45A74" w14:textId="11DADA33" w:rsidR="007926BF" w:rsidRDefault="007926BF" w:rsidP="00190596">
      <w:pPr>
        <w:contextualSpacing/>
        <w:jc w:val="both"/>
        <w:rPr>
          <w:sz w:val="24"/>
          <w:szCs w:val="24"/>
        </w:rPr>
      </w:pPr>
      <w:r>
        <w:rPr>
          <w:sz w:val="24"/>
          <w:szCs w:val="24"/>
        </w:rPr>
        <w:t xml:space="preserve">Il nucleo significativo </w:t>
      </w:r>
      <w:r w:rsidR="00177D52">
        <w:rPr>
          <w:sz w:val="24"/>
          <w:szCs w:val="24"/>
        </w:rPr>
        <w:t xml:space="preserve">comune, tale da consentire di operare una </w:t>
      </w:r>
      <w:r w:rsidR="002678D8">
        <w:rPr>
          <w:sz w:val="24"/>
          <w:szCs w:val="24"/>
        </w:rPr>
        <w:t>“</w:t>
      </w:r>
      <w:r w:rsidR="00177D52" w:rsidRPr="002678D8">
        <w:rPr>
          <w:i/>
          <w:sz w:val="24"/>
          <w:szCs w:val="24"/>
        </w:rPr>
        <w:t>reductio ad unitatem</w:t>
      </w:r>
      <w:r w:rsidR="002678D8">
        <w:rPr>
          <w:sz w:val="24"/>
          <w:szCs w:val="24"/>
        </w:rPr>
        <w:t>”</w:t>
      </w:r>
      <w:r w:rsidR="00177D52">
        <w:rPr>
          <w:sz w:val="24"/>
          <w:szCs w:val="24"/>
        </w:rPr>
        <w:t xml:space="preserve"> della </w:t>
      </w:r>
      <w:r>
        <w:rPr>
          <w:sz w:val="24"/>
          <w:szCs w:val="24"/>
        </w:rPr>
        <w:t xml:space="preserve">fattispecie delittuosa </w:t>
      </w:r>
      <w:r w:rsidR="00177D52">
        <w:rPr>
          <w:sz w:val="24"/>
          <w:szCs w:val="24"/>
        </w:rPr>
        <w:t>è costituito</w:t>
      </w:r>
      <w:r w:rsidR="007D4E42">
        <w:rPr>
          <w:sz w:val="24"/>
          <w:szCs w:val="24"/>
        </w:rPr>
        <w:t xml:space="preserve"> dal nesso di dipendenza </w:t>
      </w:r>
      <w:r w:rsidR="00177D52">
        <w:rPr>
          <w:sz w:val="24"/>
          <w:szCs w:val="24"/>
        </w:rPr>
        <w:t>tra essa e il</w:t>
      </w:r>
      <w:r w:rsidR="007D4E42">
        <w:rPr>
          <w:sz w:val="24"/>
          <w:szCs w:val="24"/>
        </w:rPr>
        <w:t xml:space="preserve"> reato che si erge a presupposto </w:t>
      </w:r>
      <w:r w:rsidR="00036404">
        <w:rPr>
          <w:sz w:val="24"/>
          <w:szCs w:val="24"/>
        </w:rPr>
        <w:t>del</w:t>
      </w:r>
      <w:r w:rsidR="007D4E42">
        <w:rPr>
          <w:sz w:val="24"/>
          <w:szCs w:val="24"/>
        </w:rPr>
        <w:t xml:space="preserve">la </w:t>
      </w:r>
      <w:r w:rsidR="00177D52">
        <w:rPr>
          <w:sz w:val="24"/>
          <w:szCs w:val="24"/>
        </w:rPr>
        <w:t>sua</w:t>
      </w:r>
      <w:r w:rsidR="007D4E42">
        <w:rPr>
          <w:sz w:val="24"/>
          <w:szCs w:val="24"/>
        </w:rPr>
        <w:t xml:space="preserve"> rilevanza penale</w:t>
      </w:r>
      <w:r w:rsidR="007D4E42" w:rsidRPr="005426B5">
        <w:rPr>
          <w:rStyle w:val="Rimandonotaapidipagina"/>
          <w:sz w:val="22"/>
          <w:szCs w:val="22"/>
        </w:rPr>
        <w:footnoteReference w:id="104"/>
      </w:r>
      <w:r w:rsidR="007D4E42">
        <w:rPr>
          <w:sz w:val="24"/>
          <w:szCs w:val="24"/>
        </w:rPr>
        <w:t>.</w:t>
      </w:r>
      <w:r>
        <w:rPr>
          <w:sz w:val="24"/>
          <w:szCs w:val="24"/>
        </w:rPr>
        <w:t xml:space="preserve"> </w:t>
      </w:r>
    </w:p>
    <w:p w14:paraId="270BED2B" w14:textId="37F137CA" w:rsidR="00363273" w:rsidRDefault="008A61A4" w:rsidP="00190596">
      <w:pPr>
        <w:contextualSpacing/>
        <w:jc w:val="both"/>
        <w:rPr>
          <w:sz w:val="24"/>
          <w:szCs w:val="24"/>
        </w:rPr>
      </w:pPr>
      <w:r>
        <w:rPr>
          <w:sz w:val="24"/>
          <w:szCs w:val="24"/>
        </w:rPr>
        <w:lastRenderedPageBreak/>
        <w:t>A ben riflettere, infatti, il fatto di reato (</w:t>
      </w:r>
      <w:r w:rsidR="00177D52">
        <w:rPr>
          <w:sz w:val="24"/>
          <w:szCs w:val="24"/>
        </w:rPr>
        <w:t>perfezionamento</w:t>
      </w:r>
      <w:r>
        <w:rPr>
          <w:sz w:val="24"/>
          <w:szCs w:val="24"/>
        </w:rPr>
        <w:t xml:space="preserve"> del</w:t>
      </w:r>
      <w:r w:rsidR="00177D52">
        <w:rPr>
          <w:sz w:val="24"/>
          <w:szCs w:val="24"/>
        </w:rPr>
        <w:t xml:space="preserve"> delitto di cui all’art. 416-bis c.p.</w:t>
      </w:r>
      <w:r>
        <w:rPr>
          <w:sz w:val="24"/>
          <w:szCs w:val="24"/>
        </w:rPr>
        <w:t>) si erge a presupposto</w:t>
      </w:r>
      <w:r w:rsidR="00363273">
        <w:rPr>
          <w:sz w:val="24"/>
          <w:szCs w:val="24"/>
        </w:rPr>
        <w:t xml:space="preserve"> </w:t>
      </w:r>
      <w:r>
        <w:rPr>
          <w:sz w:val="24"/>
          <w:szCs w:val="24"/>
        </w:rPr>
        <w:t>di una successiva condotta</w:t>
      </w:r>
      <w:r w:rsidR="00363273">
        <w:rPr>
          <w:sz w:val="24"/>
          <w:szCs w:val="24"/>
        </w:rPr>
        <w:t xml:space="preserve"> </w:t>
      </w:r>
      <w:r w:rsidR="00177D52">
        <w:rPr>
          <w:sz w:val="24"/>
          <w:szCs w:val="24"/>
        </w:rPr>
        <w:t>(ad essa concomitante e, dunque, non definibile</w:t>
      </w:r>
      <w:r w:rsidR="00363273">
        <w:rPr>
          <w:sz w:val="24"/>
          <w:szCs w:val="24"/>
        </w:rPr>
        <w:t xml:space="preserve"> </w:t>
      </w:r>
      <w:r w:rsidR="000F1EE8">
        <w:rPr>
          <w:sz w:val="24"/>
          <w:szCs w:val="24"/>
        </w:rPr>
        <w:t>“</w:t>
      </w:r>
      <w:r w:rsidR="00363273" w:rsidRPr="000F1EE8">
        <w:rPr>
          <w:i/>
          <w:sz w:val="24"/>
          <w:szCs w:val="24"/>
        </w:rPr>
        <w:t>post delictum</w:t>
      </w:r>
      <w:r w:rsidR="000F1EE8">
        <w:rPr>
          <w:sz w:val="24"/>
          <w:szCs w:val="24"/>
        </w:rPr>
        <w:t>”</w:t>
      </w:r>
      <w:r w:rsidR="00363273">
        <w:rPr>
          <w:sz w:val="24"/>
          <w:szCs w:val="24"/>
        </w:rPr>
        <w:t>)</w:t>
      </w:r>
      <w:r w:rsidR="000E3292">
        <w:rPr>
          <w:sz w:val="24"/>
          <w:szCs w:val="24"/>
        </w:rPr>
        <w:t xml:space="preserve"> che, a sua volta, ne alimenta </w:t>
      </w:r>
      <w:r w:rsidR="00177D52">
        <w:rPr>
          <w:sz w:val="24"/>
          <w:szCs w:val="24"/>
        </w:rPr>
        <w:t>(</w:t>
      </w:r>
      <w:r w:rsidR="000E3292">
        <w:rPr>
          <w:sz w:val="24"/>
          <w:szCs w:val="24"/>
        </w:rPr>
        <w:t>o fomenta</w:t>
      </w:r>
      <w:r w:rsidR="00177D52">
        <w:rPr>
          <w:sz w:val="24"/>
          <w:szCs w:val="24"/>
        </w:rPr>
        <w:t>)</w:t>
      </w:r>
      <w:r w:rsidR="000E3292">
        <w:rPr>
          <w:sz w:val="24"/>
          <w:szCs w:val="24"/>
        </w:rPr>
        <w:t xml:space="preserve"> la portata offensiva</w:t>
      </w:r>
      <w:r w:rsidR="00363273">
        <w:rPr>
          <w:sz w:val="24"/>
          <w:szCs w:val="24"/>
        </w:rPr>
        <w:t>.</w:t>
      </w:r>
      <w:r>
        <w:rPr>
          <w:sz w:val="24"/>
          <w:szCs w:val="24"/>
        </w:rPr>
        <w:t xml:space="preserve"> </w:t>
      </w:r>
    </w:p>
    <w:p w14:paraId="41ED9A58" w14:textId="275FBF6D" w:rsidR="008A61A4" w:rsidRDefault="00363273" w:rsidP="00190596">
      <w:pPr>
        <w:contextualSpacing/>
        <w:jc w:val="both"/>
        <w:rPr>
          <w:sz w:val="24"/>
          <w:szCs w:val="24"/>
        </w:rPr>
      </w:pPr>
      <w:r>
        <w:rPr>
          <w:sz w:val="24"/>
          <w:szCs w:val="24"/>
        </w:rPr>
        <w:t>In tal senso, la rilevanza</w:t>
      </w:r>
      <w:r w:rsidR="008A61A4">
        <w:rPr>
          <w:sz w:val="24"/>
          <w:szCs w:val="24"/>
        </w:rPr>
        <w:t xml:space="preserve"> penale del fenomeno associativo (a monte) </w:t>
      </w:r>
      <w:r>
        <w:rPr>
          <w:sz w:val="24"/>
          <w:szCs w:val="24"/>
        </w:rPr>
        <w:t>si riverbera</w:t>
      </w:r>
      <w:r w:rsidR="008A61A4">
        <w:rPr>
          <w:sz w:val="24"/>
          <w:szCs w:val="24"/>
        </w:rPr>
        <w:t xml:space="preserve"> </w:t>
      </w:r>
      <w:r>
        <w:rPr>
          <w:sz w:val="24"/>
          <w:szCs w:val="24"/>
        </w:rPr>
        <w:t>sulla condotta</w:t>
      </w:r>
      <w:r w:rsidR="008A61A4">
        <w:rPr>
          <w:sz w:val="24"/>
          <w:szCs w:val="24"/>
        </w:rPr>
        <w:t xml:space="preserve"> (a valle)</w:t>
      </w:r>
      <w:r w:rsidR="008A61A4" w:rsidRPr="00177D52">
        <w:rPr>
          <w:rStyle w:val="Rimandonotaapidipagina"/>
          <w:sz w:val="22"/>
          <w:szCs w:val="22"/>
        </w:rPr>
        <w:footnoteReference w:id="105"/>
      </w:r>
      <w:r>
        <w:rPr>
          <w:sz w:val="24"/>
          <w:szCs w:val="24"/>
        </w:rPr>
        <w:t>, essendo quest’ultima calibrata su un divenire fenomenico</w:t>
      </w:r>
      <w:r w:rsidR="000E3292">
        <w:rPr>
          <w:sz w:val="24"/>
          <w:szCs w:val="24"/>
        </w:rPr>
        <w:t xml:space="preserve"> già </w:t>
      </w:r>
      <w:r>
        <w:rPr>
          <w:sz w:val="24"/>
          <w:szCs w:val="24"/>
        </w:rPr>
        <w:t>perfezionato e penalmente qualificato</w:t>
      </w:r>
      <w:r w:rsidR="008A61A4">
        <w:rPr>
          <w:sz w:val="24"/>
          <w:szCs w:val="24"/>
        </w:rPr>
        <w:t>.</w:t>
      </w:r>
    </w:p>
    <w:p w14:paraId="4B74AE0C" w14:textId="6F8A8E04" w:rsidR="004C6F4D" w:rsidRDefault="00036404" w:rsidP="00190596">
      <w:pPr>
        <w:contextualSpacing/>
        <w:jc w:val="both"/>
        <w:rPr>
          <w:sz w:val="24"/>
          <w:szCs w:val="24"/>
        </w:rPr>
      </w:pPr>
      <w:r>
        <w:rPr>
          <w:sz w:val="24"/>
          <w:szCs w:val="24"/>
        </w:rPr>
        <w:t xml:space="preserve">Una lettura in termini sillogistici </w:t>
      </w:r>
      <w:r w:rsidR="004C6F4D">
        <w:rPr>
          <w:sz w:val="24"/>
          <w:szCs w:val="24"/>
        </w:rPr>
        <w:t>del “</w:t>
      </w:r>
      <w:r w:rsidR="004C6F4D" w:rsidRPr="00936495">
        <w:rPr>
          <w:sz w:val="24"/>
          <w:szCs w:val="24"/>
        </w:rPr>
        <w:t>concorso esterno in associazione mafiosa</w:t>
      </w:r>
      <w:r w:rsidR="004C6F4D">
        <w:rPr>
          <w:sz w:val="24"/>
          <w:szCs w:val="24"/>
        </w:rPr>
        <w:t xml:space="preserve">” </w:t>
      </w:r>
      <w:r>
        <w:rPr>
          <w:sz w:val="24"/>
          <w:szCs w:val="24"/>
        </w:rPr>
        <w:t>consegna all’interprete una premessa maggiore che</w:t>
      </w:r>
      <w:r w:rsidR="004C6F4D">
        <w:rPr>
          <w:sz w:val="24"/>
          <w:szCs w:val="24"/>
        </w:rPr>
        <w:t xml:space="preserve">, comunque si legga la fattispecie, rinviene nella integrazione del reato di cui all’art. 416-bis c.p. un presupposto immancabile.  </w:t>
      </w:r>
    </w:p>
    <w:p w14:paraId="1F7F81A2" w14:textId="1C0A5564" w:rsidR="004C6F4D" w:rsidRDefault="004C6F4D" w:rsidP="00190596">
      <w:pPr>
        <w:contextualSpacing/>
        <w:jc w:val="both"/>
        <w:rPr>
          <w:sz w:val="24"/>
          <w:szCs w:val="24"/>
        </w:rPr>
      </w:pPr>
      <w:r>
        <w:rPr>
          <w:sz w:val="24"/>
          <w:szCs w:val="24"/>
        </w:rPr>
        <w:t>In termini più esplicativi può, dunque, asserirsi che il perfezionamento del delitto associativo costituisce l’elemento comune</w:t>
      </w:r>
      <w:r w:rsidR="00036404">
        <w:rPr>
          <w:sz w:val="24"/>
          <w:szCs w:val="24"/>
        </w:rPr>
        <w:t xml:space="preserve"> </w:t>
      </w:r>
      <w:r>
        <w:rPr>
          <w:sz w:val="24"/>
          <w:szCs w:val="24"/>
        </w:rPr>
        <w:t>che supporta sia una interpretazione in veste concorsuale che una qualificazione in termini di tipicità giurisprudenziale.</w:t>
      </w:r>
    </w:p>
    <w:p w14:paraId="0446A5BC" w14:textId="7E9AAE52" w:rsidR="00036404" w:rsidRDefault="00036404" w:rsidP="00190596">
      <w:pPr>
        <w:contextualSpacing/>
        <w:jc w:val="both"/>
        <w:rPr>
          <w:sz w:val="24"/>
          <w:szCs w:val="24"/>
        </w:rPr>
      </w:pPr>
      <w:r>
        <w:rPr>
          <w:sz w:val="24"/>
          <w:szCs w:val="24"/>
        </w:rPr>
        <w:t xml:space="preserve">In una simile evenienza la teoria della combinazione potrebbe spiegare la produzione degli effetti sanzionatori. </w:t>
      </w:r>
    </w:p>
    <w:p w14:paraId="50172D85" w14:textId="6291CAF5" w:rsidR="000F1EE8" w:rsidRDefault="00295E78" w:rsidP="00190596">
      <w:pPr>
        <w:contextualSpacing/>
        <w:jc w:val="both"/>
        <w:rPr>
          <w:sz w:val="24"/>
          <w:szCs w:val="24"/>
        </w:rPr>
      </w:pPr>
      <w:r>
        <w:rPr>
          <w:sz w:val="24"/>
          <w:szCs w:val="24"/>
        </w:rPr>
        <w:t xml:space="preserve">Per i contegni che contribuiscono alla realizzazione delle </w:t>
      </w:r>
      <w:r w:rsidR="00036404">
        <w:rPr>
          <w:sz w:val="24"/>
          <w:szCs w:val="24"/>
        </w:rPr>
        <w:t>condotte tipizzate la premessa m</w:t>
      </w:r>
      <w:r w:rsidR="000F1EE8">
        <w:rPr>
          <w:sz w:val="24"/>
          <w:szCs w:val="24"/>
        </w:rPr>
        <w:t>aggiore sarebbe costituita dallo specifico titolo di responsabilità penale previsto dalla</w:t>
      </w:r>
      <w:r w:rsidR="00036404">
        <w:rPr>
          <w:sz w:val="24"/>
          <w:szCs w:val="24"/>
        </w:rPr>
        <w:t xml:space="preserve"> </w:t>
      </w:r>
      <w:r w:rsidR="00FE6D5E">
        <w:rPr>
          <w:sz w:val="24"/>
          <w:szCs w:val="24"/>
        </w:rPr>
        <w:t>norma incriminatrice</w:t>
      </w:r>
      <w:r w:rsidR="00036404">
        <w:rPr>
          <w:sz w:val="24"/>
          <w:szCs w:val="24"/>
        </w:rPr>
        <w:t xml:space="preserve"> di parte speciale di cui all’artt. 416-bis c.p. e dall’istituto di parte generale di cui all’art. 110 c.p.</w:t>
      </w:r>
    </w:p>
    <w:p w14:paraId="13D4CA04" w14:textId="77777777" w:rsidR="00295E78" w:rsidRDefault="000F1EE8" w:rsidP="00190596">
      <w:pPr>
        <w:contextualSpacing/>
        <w:jc w:val="both"/>
        <w:rPr>
          <w:sz w:val="24"/>
          <w:szCs w:val="24"/>
        </w:rPr>
      </w:pPr>
      <w:r>
        <w:rPr>
          <w:sz w:val="24"/>
          <w:szCs w:val="24"/>
        </w:rPr>
        <w:t xml:space="preserve">In tale prospettiva, </w:t>
      </w:r>
      <w:r w:rsidR="00295E78">
        <w:rPr>
          <w:sz w:val="24"/>
          <w:szCs w:val="24"/>
        </w:rPr>
        <w:t>richiamando l’esempio già fatto</w:t>
      </w:r>
      <w:r>
        <w:rPr>
          <w:sz w:val="24"/>
          <w:szCs w:val="24"/>
        </w:rPr>
        <w:t xml:space="preserve">, </w:t>
      </w:r>
      <w:r w:rsidR="00295E78">
        <w:rPr>
          <w:sz w:val="24"/>
          <w:szCs w:val="24"/>
        </w:rPr>
        <w:t xml:space="preserve">il comportamento dell’estraneo che fornisce supporto logistico al partecipe </w:t>
      </w:r>
      <w:r>
        <w:rPr>
          <w:sz w:val="24"/>
          <w:szCs w:val="24"/>
        </w:rPr>
        <w:t>sarà sussumibi</w:t>
      </w:r>
      <w:r w:rsidR="00BE2A90">
        <w:rPr>
          <w:sz w:val="24"/>
          <w:szCs w:val="24"/>
        </w:rPr>
        <w:t xml:space="preserve">le nella fattispecie derivante dalla combinazione tra </w:t>
      </w:r>
      <w:r>
        <w:rPr>
          <w:sz w:val="24"/>
          <w:szCs w:val="24"/>
        </w:rPr>
        <w:t xml:space="preserve">l’art. 110 c.p., </w:t>
      </w:r>
      <w:r w:rsidR="00BE2A90">
        <w:rPr>
          <w:sz w:val="24"/>
          <w:szCs w:val="24"/>
        </w:rPr>
        <w:t xml:space="preserve">e </w:t>
      </w:r>
      <w:r w:rsidR="00BE2A90" w:rsidRPr="00BE2A90">
        <w:rPr>
          <w:sz w:val="24"/>
          <w:szCs w:val="24"/>
        </w:rPr>
        <w:t xml:space="preserve">la norma che sanziona il “far parte” </w:t>
      </w:r>
      <w:r w:rsidR="00BE2A90">
        <w:rPr>
          <w:sz w:val="24"/>
          <w:szCs w:val="24"/>
        </w:rPr>
        <w:t xml:space="preserve">dell’associazione </w:t>
      </w:r>
      <w:r w:rsidR="00295E78">
        <w:rPr>
          <w:sz w:val="24"/>
          <w:szCs w:val="24"/>
        </w:rPr>
        <w:t>(art. 416-bis, comma 1</w:t>
      </w:r>
      <w:r w:rsidR="00BE2A90" w:rsidRPr="00BE2A90">
        <w:rPr>
          <w:sz w:val="24"/>
          <w:szCs w:val="24"/>
        </w:rPr>
        <w:t>, c.p.)</w:t>
      </w:r>
      <w:r w:rsidR="00295E78">
        <w:rPr>
          <w:sz w:val="24"/>
          <w:szCs w:val="24"/>
        </w:rPr>
        <w:t>.</w:t>
      </w:r>
    </w:p>
    <w:p w14:paraId="0F1E6DB6" w14:textId="6E3A95D1" w:rsidR="00036404" w:rsidRDefault="00295E78" w:rsidP="00190596">
      <w:pPr>
        <w:contextualSpacing/>
        <w:jc w:val="both"/>
        <w:rPr>
          <w:sz w:val="24"/>
          <w:szCs w:val="24"/>
        </w:rPr>
      </w:pPr>
      <w:r>
        <w:rPr>
          <w:sz w:val="24"/>
          <w:szCs w:val="24"/>
        </w:rPr>
        <w:t>In tal senso</w:t>
      </w:r>
      <w:r w:rsidR="00404D8B">
        <w:rPr>
          <w:sz w:val="24"/>
          <w:szCs w:val="24"/>
        </w:rPr>
        <w:t>,</w:t>
      </w:r>
      <w:r>
        <w:rPr>
          <w:sz w:val="24"/>
          <w:szCs w:val="24"/>
        </w:rPr>
        <w:t xml:space="preserve"> </w:t>
      </w:r>
      <w:r w:rsidR="00404D8B">
        <w:rPr>
          <w:sz w:val="24"/>
          <w:szCs w:val="24"/>
        </w:rPr>
        <w:t>il fatto sarà assoggettato a tale statuto effettuale</w:t>
      </w:r>
      <w:r w:rsidR="000F1EE8">
        <w:rPr>
          <w:sz w:val="24"/>
          <w:szCs w:val="24"/>
        </w:rPr>
        <w:t xml:space="preserve"> </w:t>
      </w:r>
      <w:r w:rsidR="00404D8B">
        <w:rPr>
          <w:sz w:val="24"/>
          <w:szCs w:val="24"/>
        </w:rPr>
        <w:t>che rileverà anche per il trattamento sanzionatorio</w:t>
      </w:r>
      <w:r w:rsidR="000F1EE8" w:rsidRPr="00404D8B">
        <w:rPr>
          <w:rStyle w:val="Rimandonotaapidipagina"/>
          <w:sz w:val="22"/>
          <w:szCs w:val="22"/>
        </w:rPr>
        <w:footnoteReference w:id="106"/>
      </w:r>
      <w:r w:rsidR="000F1EE8">
        <w:rPr>
          <w:sz w:val="24"/>
          <w:szCs w:val="24"/>
        </w:rPr>
        <w:t xml:space="preserve">. </w:t>
      </w:r>
      <w:r w:rsidR="00036404">
        <w:rPr>
          <w:sz w:val="24"/>
          <w:szCs w:val="24"/>
        </w:rPr>
        <w:t xml:space="preserve"> </w:t>
      </w:r>
    </w:p>
    <w:p w14:paraId="09F3308B" w14:textId="1520FDA3" w:rsidR="00FE6D5E" w:rsidRDefault="00FE6D5E" w:rsidP="00190596">
      <w:pPr>
        <w:contextualSpacing/>
        <w:jc w:val="both"/>
        <w:rPr>
          <w:sz w:val="24"/>
          <w:szCs w:val="24"/>
        </w:rPr>
      </w:pPr>
      <w:r>
        <w:rPr>
          <w:sz w:val="24"/>
          <w:szCs w:val="24"/>
        </w:rPr>
        <w:t xml:space="preserve">I comportamenti che non risultino compatibili con le condotte di partecipazione, promozione, direzione ed organizzazione non potrebbero rinvenire una qualificazione in termini concorsuali. </w:t>
      </w:r>
    </w:p>
    <w:p w14:paraId="69E457CA" w14:textId="48EF6E6E" w:rsidR="00BE2A90" w:rsidRDefault="00FE6D5E" w:rsidP="00190596">
      <w:pPr>
        <w:contextualSpacing/>
        <w:jc w:val="both"/>
        <w:rPr>
          <w:sz w:val="24"/>
          <w:szCs w:val="24"/>
        </w:rPr>
      </w:pPr>
      <w:r>
        <w:rPr>
          <w:sz w:val="24"/>
          <w:szCs w:val="24"/>
        </w:rPr>
        <w:t xml:space="preserve">In tale prospettiva, dunque, il sillogismo </w:t>
      </w:r>
      <w:r w:rsidR="000F1EE8">
        <w:rPr>
          <w:sz w:val="24"/>
          <w:szCs w:val="24"/>
        </w:rPr>
        <w:t>gi</w:t>
      </w:r>
      <w:r w:rsidR="00BE2A90">
        <w:rPr>
          <w:sz w:val="24"/>
          <w:szCs w:val="24"/>
        </w:rPr>
        <w:t>uridico vedrebbe la</w:t>
      </w:r>
      <w:r w:rsidR="000F1EE8">
        <w:rPr>
          <w:sz w:val="24"/>
          <w:szCs w:val="24"/>
        </w:rPr>
        <w:t xml:space="preserve"> premessa maggiore </w:t>
      </w:r>
      <w:r w:rsidR="00BE2A90">
        <w:rPr>
          <w:sz w:val="24"/>
          <w:szCs w:val="24"/>
        </w:rPr>
        <w:t>costituita da</w:t>
      </w:r>
      <w:r w:rsidR="000F1EE8">
        <w:rPr>
          <w:sz w:val="24"/>
          <w:szCs w:val="24"/>
        </w:rPr>
        <w:t>l</w:t>
      </w:r>
      <w:r w:rsidR="004C6F4D">
        <w:rPr>
          <w:sz w:val="24"/>
          <w:szCs w:val="24"/>
        </w:rPr>
        <w:t>la</w:t>
      </w:r>
      <w:r w:rsidR="000F1EE8">
        <w:rPr>
          <w:sz w:val="24"/>
          <w:szCs w:val="24"/>
        </w:rPr>
        <w:t xml:space="preserve"> </w:t>
      </w:r>
      <w:r w:rsidR="004C6F4D">
        <w:rPr>
          <w:sz w:val="24"/>
          <w:szCs w:val="24"/>
        </w:rPr>
        <w:t xml:space="preserve">presupposta </w:t>
      </w:r>
      <w:r w:rsidR="00295E78">
        <w:rPr>
          <w:sz w:val="24"/>
          <w:szCs w:val="24"/>
        </w:rPr>
        <w:t>norma</w:t>
      </w:r>
      <w:r w:rsidR="00BE2A90">
        <w:rPr>
          <w:sz w:val="24"/>
          <w:szCs w:val="24"/>
        </w:rPr>
        <w:t xml:space="preserve"> incriminatrice</w:t>
      </w:r>
      <w:r w:rsidR="004C6F4D">
        <w:rPr>
          <w:sz w:val="24"/>
          <w:szCs w:val="24"/>
        </w:rPr>
        <w:t xml:space="preserve"> combinata</w:t>
      </w:r>
      <w:r w:rsidR="00BE2A90">
        <w:rPr>
          <w:sz w:val="24"/>
          <w:szCs w:val="24"/>
        </w:rPr>
        <w:t xml:space="preserve"> </w:t>
      </w:r>
      <w:r w:rsidR="004C6F4D">
        <w:rPr>
          <w:sz w:val="24"/>
          <w:szCs w:val="24"/>
        </w:rPr>
        <w:t>con il principio</w:t>
      </w:r>
      <w:r w:rsidR="00BE2A90">
        <w:rPr>
          <w:sz w:val="24"/>
          <w:szCs w:val="24"/>
        </w:rPr>
        <w:t xml:space="preserve"> giurisprudenziale (ormai diritto vivente) che ha disegnato i </w:t>
      </w:r>
      <w:r w:rsidR="004C6F4D">
        <w:rPr>
          <w:sz w:val="24"/>
          <w:szCs w:val="24"/>
        </w:rPr>
        <w:t>“</w:t>
      </w:r>
      <w:r w:rsidR="00BE2A90">
        <w:rPr>
          <w:sz w:val="24"/>
          <w:szCs w:val="24"/>
        </w:rPr>
        <w:t>tratti</w:t>
      </w:r>
      <w:r w:rsidR="004C6F4D">
        <w:rPr>
          <w:sz w:val="24"/>
          <w:szCs w:val="24"/>
        </w:rPr>
        <w:t>”</w:t>
      </w:r>
      <w:r w:rsidR="00BE2A90">
        <w:rPr>
          <w:sz w:val="24"/>
          <w:szCs w:val="24"/>
        </w:rPr>
        <w:t xml:space="preserve"> </w:t>
      </w:r>
      <w:r w:rsidR="004C6F4D">
        <w:rPr>
          <w:sz w:val="24"/>
          <w:szCs w:val="24"/>
        </w:rPr>
        <w:t>caratteristici</w:t>
      </w:r>
      <w:r w:rsidR="00BE2A90">
        <w:rPr>
          <w:sz w:val="24"/>
          <w:szCs w:val="24"/>
        </w:rPr>
        <w:t xml:space="preserve"> della figura.</w:t>
      </w:r>
    </w:p>
    <w:p w14:paraId="46A5AEC9" w14:textId="796D398E" w:rsidR="00404D8B" w:rsidRDefault="00404D8B" w:rsidP="00190596">
      <w:pPr>
        <w:contextualSpacing/>
        <w:jc w:val="both"/>
        <w:rPr>
          <w:sz w:val="24"/>
          <w:szCs w:val="24"/>
        </w:rPr>
      </w:pPr>
      <w:r>
        <w:rPr>
          <w:sz w:val="24"/>
          <w:szCs w:val="24"/>
        </w:rPr>
        <w:t>Una formulazione corretta del sillogismo, dunque, i</w:t>
      </w:r>
      <w:r w:rsidR="000408E4">
        <w:rPr>
          <w:sz w:val="24"/>
          <w:szCs w:val="24"/>
        </w:rPr>
        <w:t xml:space="preserve">mpone </w:t>
      </w:r>
      <w:r>
        <w:rPr>
          <w:sz w:val="24"/>
          <w:szCs w:val="24"/>
        </w:rPr>
        <w:t>di fare a meno del ricorso alla leva di incriminazione giuridica costituita dall’art. 110 c.p.</w:t>
      </w:r>
    </w:p>
    <w:p w14:paraId="3E4E8F9D" w14:textId="1B996D8D" w:rsidR="00AF595D" w:rsidRDefault="00AF595D" w:rsidP="00190596">
      <w:pPr>
        <w:contextualSpacing/>
        <w:jc w:val="both"/>
        <w:rPr>
          <w:sz w:val="24"/>
          <w:szCs w:val="24"/>
        </w:rPr>
      </w:pPr>
      <w:r>
        <w:rPr>
          <w:sz w:val="24"/>
          <w:szCs w:val="24"/>
        </w:rPr>
        <w:t xml:space="preserve">Un approccio di </w:t>
      </w:r>
      <w:r w:rsidRPr="00AF595D">
        <w:rPr>
          <w:sz w:val="24"/>
          <w:szCs w:val="24"/>
        </w:rPr>
        <w:t>inversione metodologica di carattere induttivo</w:t>
      </w:r>
      <w:r>
        <w:rPr>
          <w:sz w:val="24"/>
          <w:szCs w:val="24"/>
        </w:rPr>
        <w:t xml:space="preserve"> aiuterebbe a comprendere una simile affermazione.</w:t>
      </w:r>
    </w:p>
    <w:p w14:paraId="7CD27B33" w14:textId="779C1F11" w:rsidR="000408E4" w:rsidRDefault="00AF595D" w:rsidP="00190596">
      <w:pPr>
        <w:contextualSpacing/>
        <w:jc w:val="both"/>
        <w:rPr>
          <w:sz w:val="24"/>
          <w:szCs w:val="24"/>
        </w:rPr>
      </w:pPr>
      <w:r>
        <w:rPr>
          <w:sz w:val="24"/>
          <w:szCs w:val="24"/>
        </w:rPr>
        <w:t>A ben riflettere, infatti, i</w:t>
      </w:r>
      <w:r w:rsidR="00404D8B">
        <w:rPr>
          <w:sz w:val="24"/>
          <w:szCs w:val="24"/>
        </w:rPr>
        <w:t xml:space="preserve">l </w:t>
      </w:r>
      <w:r w:rsidR="000408E4">
        <w:rPr>
          <w:sz w:val="24"/>
          <w:szCs w:val="24"/>
        </w:rPr>
        <w:t>riferimento al concorso di persone nel reato</w:t>
      </w:r>
      <w:r>
        <w:rPr>
          <w:sz w:val="24"/>
          <w:szCs w:val="24"/>
        </w:rPr>
        <w:t xml:space="preserve"> </w:t>
      </w:r>
      <w:r w:rsidR="000408E4">
        <w:rPr>
          <w:sz w:val="24"/>
          <w:szCs w:val="24"/>
        </w:rPr>
        <w:t xml:space="preserve">appare </w:t>
      </w:r>
      <w:r w:rsidR="00404D8B">
        <w:rPr>
          <w:sz w:val="24"/>
          <w:szCs w:val="24"/>
        </w:rPr>
        <w:t xml:space="preserve">atecnico e fuorviante </w:t>
      </w:r>
      <w:r w:rsidR="000408E4">
        <w:rPr>
          <w:sz w:val="24"/>
          <w:szCs w:val="24"/>
        </w:rPr>
        <w:t xml:space="preserve">se </w:t>
      </w:r>
      <w:r>
        <w:rPr>
          <w:sz w:val="24"/>
          <w:szCs w:val="24"/>
        </w:rPr>
        <w:t xml:space="preserve">solo </w:t>
      </w:r>
      <w:r w:rsidR="000408E4">
        <w:rPr>
          <w:sz w:val="24"/>
          <w:szCs w:val="24"/>
        </w:rPr>
        <w:t xml:space="preserve">si tenti di ricavare dagli effetti </w:t>
      </w:r>
      <w:r>
        <w:rPr>
          <w:sz w:val="24"/>
          <w:szCs w:val="24"/>
        </w:rPr>
        <w:t xml:space="preserve">di estensione della punibilità </w:t>
      </w:r>
      <w:r w:rsidR="000408E4">
        <w:rPr>
          <w:sz w:val="24"/>
          <w:szCs w:val="24"/>
        </w:rPr>
        <w:t>le premesse del sillogismo giuridico.</w:t>
      </w:r>
    </w:p>
    <w:p w14:paraId="246A5094" w14:textId="12FB03B0" w:rsidR="000408E4" w:rsidRDefault="000408E4" w:rsidP="00190596">
      <w:pPr>
        <w:contextualSpacing/>
        <w:jc w:val="both"/>
        <w:rPr>
          <w:sz w:val="24"/>
          <w:szCs w:val="24"/>
        </w:rPr>
      </w:pPr>
      <w:r>
        <w:rPr>
          <w:sz w:val="24"/>
          <w:szCs w:val="24"/>
        </w:rPr>
        <w:t>Lo spiegamento</w:t>
      </w:r>
      <w:r w:rsidR="00404D8B">
        <w:rPr>
          <w:sz w:val="24"/>
          <w:szCs w:val="24"/>
        </w:rPr>
        <w:t xml:space="preserve"> de</w:t>
      </w:r>
      <w:r>
        <w:rPr>
          <w:sz w:val="24"/>
          <w:szCs w:val="24"/>
        </w:rPr>
        <w:t>lle conseguenze sanzionatorie</w:t>
      </w:r>
      <w:r w:rsidR="00404D8B">
        <w:rPr>
          <w:sz w:val="24"/>
          <w:szCs w:val="24"/>
        </w:rPr>
        <w:t xml:space="preserve"> </w:t>
      </w:r>
      <w:r>
        <w:rPr>
          <w:sz w:val="24"/>
          <w:szCs w:val="24"/>
        </w:rPr>
        <w:t xml:space="preserve">non rinviene </w:t>
      </w:r>
      <w:r w:rsidR="004C6F4D">
        <w:rPr>
          <w:sz w:val="24"/>
          <w:szCs w:val="24"/>
        </w:rPr>
        <w:t>la propria ratio</w:t>
      </w:r>
      <w:r>
        <w:rPr>
          <w:sz w:val="24"/>
          <w:szCs w:val="24"/>
        </w:rPr>
        <w:t xml:space="preserve"> nell’istituto di cui all’art. 110 c.p.</w:t>
      </w:r>
    </w:p>
    <w:p w14:paraId="086087B5" w14:textId="22D1D1B1" w:rsidR="00404D8B" w:rsidRDefault="00404D8B" w:rsidP="00190596">
      <w:pPr>
        <w:contextualSpacing/>
        <w:jc w:val="both"/>
        <w:rPr>
          <w:sz w:val="24"/>
          <w:szCs w:val="24"/>
        </w:rPr>
      </w:pPr>
      <w:r>
        <w:rPr>
          <w:sz w:val="24"/>
          <w:szCs w:val="24"/>
        </w:rPr>
        <w:lastRenderedPageBreak/>
        <w:t>Tutt’al più</w:t>
      </w:r>
      <w:r w:rsidR="000408E4">
        <w:rPr>
          <w:sz w:val="24"/>
          <w:szCs w:val="24"/>
        </w:rPr>
        <w:t>,</w:t>
      </w:r>
      <w:r>
        <w:rPr>
          <w:sz w:val="24"/>
          <w:szCs w:val="24"/>
        </w:rPr>
        <w:t xml:space="preserve"> </w:t>
      </w:r>
      <w:r w:rsidR="00F11271">
        <w:rPr>
          <w:sz w:val="24"/>
          <w:szCs w:val="24"/>
        </w:rPr>
        <w:t>l’affermazione della</w:t>
      </w:r>
      <w:r>
        <w:rPr>
          <w:sz w:val="24"/>
          <w:szCs w:val="24"/>
        </w:rPr>
        <w:t xml:space="preserve"> natura di </w:t>
      </w:r>
      <w:r w:rsidR="00AF595D">
        <w:rPr>
          <w:sz w:val="24"/>
          <w:szCs w:val="24"/>
        </w:rPr>
        <w:t>“</w:t>
      </w:r>
      <w:r>
        <w:rPr>
          <w:sz w:val="24"/>
          <w:szCs w:val="24"/>
        </w:rPr>
        <w:t>forma di manifestazione del reato</w:t>
      </w:r>
      <w:r w:rsidR="00AF595D">
        <w:rPr>
          <w:sz w:val="24"/>
          <w:szCs w:val="24"/>
        </w:rPr>
        <w:t>”</w:t>
      </w:r>
      <w:r>
        <w:rPr>
          <w:sz w:val="24"/>
          <w:szCs w:val="24"/>
        </w:rPr>
        <w:t xml:space="preserve"> </w:t>
      </w:r>
      <w:r w:rsidR="004C6F4D">
        <w:rPr>
          <w:sz w:val="24"/>
          <w:szCs w:val="24"/>
        </w:rPr>
        <w:t>della</w:t>
      </w:r>
      <w:r>
        <w:rPr>
          <w:sz w:val="24"/>
          <w:szCs w:val="24"/>
        </w:rPr>
        <w:t xml:space="preserve"> fattispecie </w:t>
      </w:r>
      <w:r w:rsidR="00F11271">
        <w:rPr>
          <w:sz w:val="24"/>
          <w:szCs w:val="24"/>
        </w:rPr>
        <w:t>può essere interpretata come l’unica strada</w:t>
      </w:r>
      <w:r>
        <w:rPr>
          <w:sz w:val="24"/>
          <w:szCs w:val="24"/>
        </w:rPr>
        <w:t xml:space="preserve"> </w:t>
      </w:r>
      <w:r w:rsidR="00F11271">
        <w:rPr>
          <w:sz w:val="24"/>
          <w:szCs w:val="24"/>
        </w:rPr>
        <w:t>percorribile</w:t>
      </w:r>
      <w:r>
        <w:rPr>
          <w:sz w:val="24"/>
          <w:szCs w:val="24"/>
        </w:rPr>
        <w:t xml:space="preserve"> </w:t>
      </w:r>
      <w:r w:rsidR="00F11271">
        <w:rPr>
          <w:sz w:val="24"/>
          <w:szCs w:val="24"/>
        </w:rPr>
        <w:t>per tentare di coniugare, con apparente naturalezza,</w:t>
      </w:r>
      <w:r>
        <w:rPr>
          <w:sz w:val="24"/>
          <w:szCs w:val="24"/>
        </w:rPr>
        <w:t xml:space="preserve"> esigenze di politica criminale con la complessiva tenuta dell’ordinamento penale. </w:t>
      </w:r>
    </w:p>
    <w:p w14:paraId="7C9620BA" w14:textId="4C478264" w:rsidR="00BE2A90" w:rsidRDefault="00BE2A90" w:rsidP="00BE2A90">
      <w:pPr>
        <w:contextualSpacing/>
        <w:jc w:val="both"/>
        <w:rPr>
          <w:sz w:val="24"/>
          <w:szCs w:val="24"/>
        </w:rPr>
      </w:pPr>
      <w:r>
        <w:rPr>
          <w:sz w:val="24"/>
          <w:szCs w:val="24"/>
        </w:rPr>
        <w:t xml:space="preserve">In tal senso si apprezza come </w:t>
      </w:r>
      <w:r w:rsidR="00F11271">
        <w:rPr>
          <w:sz w:val="24"/>
          <w:szCs w:val="24"/>
        </w:rPr>
        <w:t xml:space="preserve">l’adesione </w:t>
      </w:r>
      <w:r>
        <w:rPr>
          <w:sz w:val="24"/>
          <w:szCs w:val="24"/>
        </w:rPr>
        <w:t>alla teoria della fattispecie monosoggettiva autonoma</w:t>
      </w:r>
      <w:r w:rsidR="00F11271">
        <w:rPr>
          <w:sz w:val="24"/>
          <w:szCs w:val="24"/>
        </w:rPr>
        <w:t xml:space="preserve"> consenta di ritenere sufficiente il perfezionamento</w:t>
      </w:r>
      <w:r>
        <w:rPr>
          <w:sz w:val="24"/>
          <w:szCs w:val="24"/>
        </w:rPr>
        <w:t xml:space="preserve"> del “fatto di reato”. </w:t>
      </w:r>
    </w:p>
    <w:p w14:paraId="378D87B4" w14:textId="6632CFDC" w:rsidR="00F11271" w:rsidRDefault="00F11271" w:rsidP="00A01DD2">
      <w:pPr>
        <w:contextualSpacing/>
        <w:jc w:val="both"/>
        <w:rPr>
          <w:sz w:val="24"/>
          <w:szCs w:val="24"/>
        </w:rPr>
      </w:pPr>
      <w:r>
        <w:rPr>
          <w:sz w:val="24"/>
          <w:szCs w:val="24"/>
        </w:rPr>
        <w:t>Quest’ultimo, esaurisce la sua funzione sillogistica semplicemente rilevando come presupposto in grado di dare un significato al contributo del</w:t>
      </w:r>
      <w:r w:rsidR="00C01F3F">
        <w:rPr>
          <w:sz w:val="24"/>
          <w:szCs w:val="24"/>
        </w:rPr>
        <w:t xml:space="preserve"> non associato.</w:t>
      </w:r>
    </w:p>
    <w:p w14:paraId="57B51D9F" w14:textId="47D4334C" w:rsidR="00F11271" w:rsidRDefault="00F11271" w:rsidP="00A01DD2">
      <w:pPr>
        <w:contextualSpacing/>
        <w:jc w:val="both"/>
        <w:rPr>
          <w:sz w:val="24"/>
          <w:szCs w:val="24"/>
        </w:rPr>
      </w:pPr>
      <w:r>
        <w:rPr>
          <w:sz w:val="24"/>
          <w:szCs w:val="24"/>
        </w:rPr>
        <w:t xml:space="preserve">Una valenza di carattere penale che scaturisce dal raccordo </w:t>
      </w:r>
      <w:r w:rsidR="00C01F3F">
        <w:rPr>
          <w:sz w:val="24"/>
          <w:szCs w:val="24"/>
        </w:rPr>
        <w:t>del</w:t>
      </w:r>
      <w:r>
        <w:rPr>
          <w:sz w:val="24"/>
          <w:szCs w:val="24"/>
        </w:rPr>
        <w:t>la condotta del</w:t>
      </w:r>
      <w:r w:rsidR="00C01F3F">
        <w:rPr>
          <w:sz w:val="24"/>
          <w:szCs w:val="24"/>
        </w:rPr>
        <w:t>l’extraneus</w:t>
      </w:r>
      <w:r>
        <w:rPr>
          <w:sz w:val="24"/>
          <w:szCs w:val="24"/>
        </w:rPr>
        <w:t xml:space="preserve"> </w:t>
      </w:r>
      <w:r w:rsidR="00C01F3F">
        <w:rPr>
          <w:sz w:val="24"/>
          <w:szCs w:val="24"/>
        </w:rPr>
        <w:t xml:space="preserve">con il perdurante </w:t>
      </w:r>
      <w:r>
        <w:rPr>
          <w:sz w:val="24"/>
          <w:szCs w:val="24"/>
        </w:rPr>
        <w:t xml:space="preserve">evento lesivo </w:t>
      </w:r>
      <w:r w:rsidR="00C01F3F">
        <w:rPr>
          <w:sz w:val="24"/>
          <w:szCs w:val="24"/>
        </w:rPr>
        <w:t>sortito dal perfezionamento del delitto</w:t>
      </w:r>
      <w:r>
        <w:rPr>
          <w:sz w:val="24"/>
          <w:szCs w:val="24"/>
        </w:rPr>
        <w:t>.</w:t>
      </w:r>
    </w:p>
    <w:p w14:paraId="796C8812" w14:textId="4FAAFA5C" w:rsidR="00C01F3F" w:rsidRDefault="00C01F3F" w:rsidP="00A01DD2">
      <w:pPr>
        <w:contextualSpacing/>
        <w:jc w:val="both"/>
        <w:rPr>
          <w:sz w:val="24"/>
          <w:szCs w:val="24"/>
        </w:rPr>
      </w:pPr>
      <w:r>
        <w:rPr>
          <w:sz w:val="24"/>
          <w:szCs w:val="24"/>
        </w:rPr>
        <w:t xml:space="preserve">In tal senso a restare fuori dal sillogismo sarebbe il comportamento dell’associato sul quale il contributo dell’estraneo non può innestarsi, stante l’impossibilità (posta a premessa della sottocategoria) di ipotizzare alcun tipo di correlazione se non forzosa.  </w:t>
      </w:r>
    </w:p>
    <w:p w14:paraId="6AB7A382" w14:textId="3B107997" w:rsidR="00A01DD2" w:rsidRDefault="00BE2A90" w:rsidP="00A01DD2">
      <w:pPr>
        <w:contextualSpacing/>
        <w:jc w:val="both"/>
        <w:rPr>
          <w:sz w:val="24"/>
          <w:szCs w:val="24"/>
        </w:rPr>
      </w:pPr>
      <w:r>
        <w:rPr>
          <w:sz w:val="24"/>
          <w:szCs w:val="24"/>
        </w:rPr>
        <w:t>Ammettere una simile qualificazione, tuttavia, equivale a riconoscere l</w:t>
      </w:r>
      <w:r w:rsidR="00A01DD2">
        <w:rPr>
          <w:sz w:val="24"/>
          <w:szCs w:val="24"/>
        </w:rPr>
        <w:t>a presenza</w:t>
      </w:r>
      <w:r>
        <w:rPr>
          <w:sz w:val="24"/>
          <w:szCs w:val="24"/>
        </w:rPr>
        <w:t xml:space="preserve"> di un</w:t>
      </w:r>
      <w:r w:rsidR="00A01DD2">
        <w:rPr>
          <w:sz w:val="24"/>
          <w:szCs w:val="24"/>
        </w:rPr>
        <w:t>a incolmabile aporia del sistema penale che rinviene nel supremo principio di legalità la più indissolubile delle garanzie.</w:t>
      </w:r>
    </w:p>
    <w:p w14:paraId="02157851" w14:textId="49975E09" w:rsidR="00C01F3F" w:rsidRDefault="00C01F3F" w:rsidP="00A01DD2">
      <w:pPr>
        <w:contextualSpacing/>
        <w:jc w:val="both"/>
        <w:rPr>
          <w:sz w:val="24"/>
          <w:szCs w:val="24"/>
        </w:rPr>
      </w:pPr>
      <w:r>
        <w:rPr>
          <w:sz w:val="24"/>
          <w:szCs w:val="24"/>
        </w:rPr>
        <w:t>In effetti a rilevare non sarebbe soltanto la violazione del principio di legalità ma anche quello di colp</w:t>
      </w:r>
      <w:r w:rsidR="0008131C">
        <w:rPr>
          <w:sz w:val="24"/>
          <w:szCs w:val="24"/>
        </w:rPr>
        <w:t>evolezza, nonché il più generale principio di ragionevolezza.</w:t>
      </w:r>
    </w:p>
    <w:p w14:paraId="30B2A1C5" w14:textId="5B5ACB94" w:rsidR="0008131C" w:rsidRDefault="0008131C" w:rsidP="00A01DD2">
      <w:pPr>
        <w:contextualSpacing/>
        <w:jc w:val="both"/>
        <w:rPr>
          <w:sz w:val="24"/>
          <w:szCs w:val="24"/>
        </w:rPr>
      </w:pPr>
      <w:r>
        <w:rPr>
          <w:sz w:val="24"/>
          <w:szCs w:val="24"/>
        </w:rPr>
        <w:t>A ben riflettere, infatti, ancorchè se ne ammetta la legittimità e a meno di predicarne una inedita forma di concorso apparente, la qualificazione del fenomeno induce a un trattamento sanzionatorio differenziato</w:t>
      </w:r>
      <w:r w:rsidRPr="00D620D0">
        <w:rPr>
          <w:rStyle w:val="Rimandonotaapidipagina"/>
          <w:sz w:val="21"/>
          <w:szCs w:val="21"/>
        </w:rPr>
        <w:footnoteReference w:id="107"/>
      </w:r>
      <w:r>
        <w:rPr>
          <w:sz w:val="24"/>
          <w:szCs w:val="24"/>
        </w:rPr>
        <w:t>.</w:t>
      </w:r>
    </w:p>
    <w:p w14:paraId="4EFF50CA" w14:textId="7DA203B6" w:rsidR="0008131C" w:rsidRDefault="0008131C" w:rsidP="00A01DD2">
      <w:pPr>
        <w:contextualSpacing/>
        <w:jc w:val="both"/>
        <w:rPr>
          <w:sz w:val="24"/>
          <w:szCs w:val="24"/>
        </w:rPr>
      </w:pPr>
      <w:r>
        <w:rPr>
          <w:sz w:val="24"/>
          <w:szCs w:val="24"/>
        </w:rPr>
        <w:t>Ed invero, ciò è ipotizzabile a seconda che lo si qualifichi come “forma di manifestazione di reato”, assoggettabile</w:t>
      </w:r>
      <w:r w:rsidR="002678D8">
        <w:rPr>
          <w:sz w:val="24"/>
          <w:szCs w:val="24"/>
        </w:rPr>
        <w:t>,</w:t>
      </w:r>
      <w:r>
        <w:rPr>
          <w:sz w:val="24"/>
          <w:szCs w:val="24"/>
        </w:rPr>
        <w:t xml:space="preserve"> come tale</w:t>
      </w:r>
      <w:r w:rsidR="002678D8">
        <w:rPr>
          <w:sz w:val="24"/>
          <w:szCs w:val="24"/>
        </w:rPr>
        <w:t>,</w:t>
      </w:r>
      <w:r>
        <w:rPr>
          <w:sz w:val="24"/>
          <w:szCs w:val="24"/>
        </w:rPr>
        <w:t xml:space="preserve"> alla disciplina prescritta dall’istituto del concorso eventua</w:t>
      </w:r>
      <w:r w:rsidR="002678D8">
        <w:rPr>
          <w:sz w:val="24"/>
          <w:szCs w:val="24"/>
        </w:rPr>
        <w:t>le, o come fattispecie autonoma</w:t>
      </w:r>
      <w:r>
        <w:rPr>
          <w:sz w:val="24"/>
          <w:szCs w:val="24"/>
        </w:rPr>
        <w:t xml:space="preserve"> che</w:t>
      </w:r>
      <w:r w:rsidR="002678D8">
        <w:rPr>
          <w:sz w:val="24"/>
          <w:szCs w:val="24"/>
        </w:rPr>
        <w:t>,</w:t>
      </w:r>
      <w:r>
        <w:rPr>
          <w:sz w:val="24"/>
          <w:szCs w:val="24"/>
        </w:rPr>
        <w:t xml:space="preserve"> per consolidato orientamento giurisprudenziale</w:t>
      </w:r>
      <w:r w:rsidR="002678D8">
        <w:rPr>
          <w:sz w:val="24"/>
          <w:szCs w:val="24"/>
        </w:rPr>
        <w:t>, è tradizionalmente ricondotta al regime penalistico previsto per chi “fa parte” dell’associazione (art. 416-bis, comma 1 c.p.)</w:t>
      </w:r>
      <w:r>
        <w:rPr>
          <w:sz w:val="24"/>
          <w:szCs w:val="24"/>
        </w:rPr>
        <w:t xml:space="preserve"> </w:t>
      </w:r>
    </w:p>
    <w:p w14:paraId="2E17DCEE" w14:textId="0B7E1BD1" w:rsidR="00A01DD2" w:rsidRDefault="00D620D0" w:rsidP="00A01DD2">
      <w:pPr>
        <w:contextualSpacing/>
        <w:jc w:val="both"/>
        <w:rPr>
          <w:sz w:val="24"/>
          <w:szCs w:val="24"/>
        </w:rPr>
      </w:pPr>
      <w:r>
        <w:rPr>
          <w:sz w:val="24"/>
          <w:szCs w:val="24"/>
        </w:rPr>
        <w:t>Quale che sia il percorso ermeneutico prescelto</w:t>
      </w:r>
      <w:r w:rsidR="00A01DD2">
        <w:rPr>
          <w:sz w:val="24"/>
          <w:szCs w:val="24"/>
        </w:rPr>
        <w:t xml:space="preserve">, le istanze di politica criminale non possono giustificare il superamento dei limiti sanciti dalla Carta costituzionale. </w:t>
      </w:r>
    </w:p>
    <w:p w14:paraId="793E23B4" w14:textId="3555796D" w:rsidR="00A01DD2" w:rsidRDefault="00A01DD2" w:rsidP="00A01DD2">
      <w:pPr>
        <w:contextualSpacing/>
        <w:jc w:val="both"/>
        <w:rPr>
          <w:sz w:val="24"/>
          <w:szCs w:val="24"/>
        </w:rPr>
      </w:pPr>
      <w:r>
        <w:rPr>
          <w:sz w:val="24"/>
          <w:szCs w:val="24"/>
        </w:rPr>
        <w:t xml:space="preserve">Di talché, la soluzione della vicenda giuridica non potrebbe che competere a chi è istituzionalmente investito del potere della </w:t>
      </w:r>
      <w:proofErr w:type="spellStart"/>
      <w:r>
        <w:rPr>
          <w:sz w:val="24"/>
          <w:szCs w:val="24"/>
        </w:rPr>
        <w:t>nomopoiesi</w:t>
      </w:r>
      <w:proofErr w:type="spellEnd"/>
      <w:r>
        <w:rPr>
          <w:sz w:val="24"/>
          <w:szCs w:val="24"/>
        </w:rPr>
        <w:t xml:space="preserve"> penalistica: il Legislatore.</w:t>
      </w:r>
    </w:p>
    <w:p w14:paraId="10891779" w14:textId="43CD6C5B" w:rsidR="00A01DD2" w:rsidRDefault="00A01DD2" w:rsidP="00190596">
      <w:pPr>
        <w:contextualSpacing/>
        <w:jc w:val="both"/>
        <w:rPr>
          <w:sz w:val="24"/>
          <w:szCs w:val="24"/>
        </w:rPr>
      </w:pPr>
    </w:p>
    <w:p w14:paraId="3AC2A50B" w14:textId="31F9C9CA" w:rsidR="00A01DD2" w:rsidRDefault="00A01DD2" w:rsidP="00190596">
      <w:pPr>
        <w:contextualSpacing/>
        <w:jc w:val="both"/>
        <w:rPr>
          <w:sz w:val="24"/>
          <w:szCs w:val="24"/>
        </w:rPr>
      </w:pPr>
    </w:p>
    <w:p w14:paraId="56BF1742" w14:textId="25EAD4AE" w:rsidR="00A01DD2" w:rsidRDefault="00A01DD2" w:rsidP="00190596">
      <w:pPr>
        <w:contextualSpacing/>
        <w:jc w:val="both"/>
        <w:rPr>
          <w:sz w:val="24"/>
          <w:szCs w:val="24"/>
        </w:rPr>
      </w:pPr>
    </w:p>
    <w:p w14:paraId="3CEDDB79" w14:textId="4B4B76D5" w:rsidR="00A01DD2" w:rsidRDefault="00A01DD2" w:rsidP="00190596">
      <w:pPr>
        <w:contextualSpacing/>
        <w:jc w:val="both"/>
        <w:rPr>
          <w:sz w:val="24"/>
          <w:szCs w:val="24"/>
        </w:rPr>
      </w:pPr>
    </w:p>
    <w:p w14:paraId="291A955C" w14:textId="7C9C5E44" w:rsidR="00A01DD2" w:rsidRDefault="00A01DD2" w:rsidP="00190596">
      <w:pPr>
        <w:contextualSpacing/>
        <w:jc w:val="both"/>
        <w:rPr>
          <w:sz w:val="24"/>
          <w:szCs w:val="24"/>
        </w:rPr>
      </w:pPr>
    </w:p>
    <w:p w14:paraId="15D9478C" w14:textId="7DB03A1E" w:rsidR="00A01DD2" w:rsidRDefault="00A01DD2" w:rsidP="00190596">
      <w:pPr>
        <w:contextualSpacing/>
        <w:jc w:val="both"/>
        <w:rPr>
          <w:sz w:val="24"/>
          <w:szCs w:val="24"/>
        </w:rPr>
      </w:pPr>
    </w:p>
    <w:p w14:paraId="6CB29093" w14:textId="7C429AA8" w:rsidR="00A01DD2" w:rsidRDefault="00A01DD2" w:rsidP="00190596">
      <w:pPr>
        <w:contextualSpacing/>
        <w:jc w:val="both"/>
        <w:rPr>
          <w:sz w:val="24"/>
          <w:szCs w:val="24"/>
        </w:rPr>
      </w:pPr>
    </w:p>
    <w:p w14:paraId="22341472" w14:textId="15DCA173" w:rsidR="00A01DD2" w:rsidRDefault="00A01DD2" w:rsidP="00190596">
      <w:pPr>
        <w:contextualSpacing/>
        <w:jc w:val="both"/>
        <w:rPr>
          <w:sz w:val="24"/>
          <w:szCs w:val="24"/>
        </w:rPr>
      </w:pPr>
    </w:p>
    <w:p w14:paraId="4C2A79E4" w14:textId="0C0E7B2C" w:rsidR="00A01DD2" w:rsidRDefault="00A01DD2" w:rsidP="00190596">
      <w:pPr>
        <w:contextualSpacing/>
        <w:jc w:val="both"/>
        <w:rPr>
          <w:sz w:val="24"/>
          <w:szCs w:val="24"/>
        </w:rPr>
      </w:pPr>
    </w:p>
    <w:p w14:paraId="2297F897" w14:textId="6496FDC3" w:rsidR="00A01DD2" w:rsidRDefault="00A01DD2" w:rsidP="00190596">
      <w:pPr>
        <w:contextualSpacing/>
        <w:jc w:val="both"/>
        <w:rPr>
          <w:sz w:val="24"/>
          <w:szCs w:val="24"/>
        </w:rPr>
      </w:pPr>
    </w:p>
    <w:p w14:paraId="341EFC78" w14:textId="10D64AC6" w:rsidR="007926BF" w:rsidRDefault="007926BF" w:rsidP="00190596">
      <w:pPr>
        <w:contextualSpacing/>
        <w:jc w:val="both"/>
        <w:rPr>
          <w:sz w:val="24"/>
          <w:szCs w:val="24"/>
        </w:rPr>
      </w:pPr>
    </w:p>
    <w:sectPr w:rsidR="007926BF" w:rsidSect="00643022">
      <w:footerReference w:type="default" r:id="rId8"/>
      <w:pgSz w:w="11906" w:h="16838"/>
      <w:pgMar w:top="1418"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B0F3" w14:textId="77777777" w:rsidR="00C96A9E" w:rsidRDefault="00C96A9E" w:rsidP="001800E7">
      <w:pPr>
        <w:spacing w:after="0" w:line="240" w:lineRule="auto"/>
      </w:pPr>
      <w:r>
        <w:separator/>
      </w:r>
    </w:p>
  </w:endnote>
  <w:endnote w:type="continuationSeparator" w:id="0">
    <w:p w14:paraId="15D53279" w14:textId="77777777" w:rsidR="00C96A9E" w:rsidRDefault="00C96A9E" w:rsidP="0018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538686"/>
      <w:docPartObj>
        <w:docPartGallery w:val="Page Numbers (Bottom of Page)"/>
        <w:docPartUnique/>
      </w:docPartObj>
    </w:sdtPr>
    <w:sdtEndPr/>
    <w:sdtContent>
      <w:p w14:paraId="43B481AC" w14:textId="680E9B7F" w:rsidR="00C96A9E" w:rsidRDefault="00C96A9E">
        <w:pPr>
          <w:pStyle w:val="Pidipagina"/>
          <w:jc w:val="center"/>
        </w:pPr>
        <w:r>
          <w:fldChar w:fldCharType="begin"/>
        </w:r>
        <w:r>
          <w:instrText>PAGE   \* MERGEFORMAT</w:instrText>
        </w:r>
        <w:r>
          <w:fldChar w:fldCharType="separate"/>
        </w:r>
        <w:r w:rsidR="00071965">
          <w:rPr>
            <w:noProof/>
          </w:rPr>
          <w:t>21</w:t>
        </w:r>
        <w:r>
          <w:fldChar w:fldCharType="end"/>
        </w:r>
      </w:p>
    </w:sdtContent>
  </w:sdt>
  <w:p w14:paraId="7EDF8D34" w14:textId="77777777" w:rsidR="00C96A9E" w:rsidRDefault="00C96A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0F68" w14:textId="77777777" w:rsidR="00C96A9E" w:rsidRDefault="00C96A9E" w:rsidP="001800E7">
      <w:pPr>
        <w:spacing w:after="0" w:line="240" w:lineRule="auto"/>
      </w:pPr>
      <w:r>
        <w:separator/>
      </w:r>
    </w:p>
  </w:footnote>
  <w:footnote w:type="continuationSeparator" w:id="0">
    <w:p w14:paraId="6510EB03" w14:textId="77777777" w:rsidR="00C96A9E" w:rsidRDefault="00C96A9E" w:rsidP="001800E7">
      <w:pPr>
        <w:spacing w:after="0" w:line="240" w:lineRule="auto"/>
      </w:pPr>
      <w:r>
        <w:continuationSeparator/>
      </w:r>
    </w:p>
  </w:footnote>
  <w:footnote w:id="1">
    <w:p w14:paraId="7BF2553E" w14:textId="2ABF6C7C"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bookmarkStart w:id="3" w:name="_Hlk494184141"/>
      <w:bookmarkStart w:id="4" w:name="_Hlk494454254"/>
      <w:r w:rsidRPr="00714817">
        <w:rPr>
          <w:sz w:val="21"/>
          <w:szCs w:val="21"/>
        </w:rPr>
        <w:t>Crf.</w:t>
      </w:r>
      <w:r>
        <w:rPr>
          <w:sz w:val="21"/>
          <w:szCs w:val="21"/>
        </w:rPr>
        <w:t xml:space="preserve"> </w:t>
      </w:r>
      <w:bookmarkStart w:id="5" w:name="_Hlk495685148"/>
      <w:r w:rsidRPr="00C96A9E">
        <w:rPr>
          <w:smallCaps/>
          <w:sz w:val="21"/>
          <w:szCs w:val="21"/>
        </w:rPr>
        <w:t>Fiandaca-Musco</w:t>
      </w:r>
      <w:bookmarkEnd w:id="5"/>
      <w:r w:rsidRPr="00714817">
        <w:rPr>
          <w:sz w:val="21"/>
          <w:szCs w:val="21"/>
        </w:rPr>
        <w:t xml:space="preserve">, </w:t>
      </w:r>
      <w:r w:rsidRPr="00C96A9E">
        <w:rPr>
          <w:i/>
          <w:sz w:val="21"/>
          <w:szCs w:val="21"/>
        </w:rPr>
        <w:t>Diritto penale. Parte generale</w:t>
      </w:r>
      <w:r w:rsidRPr="00714817">
        <w:rPr>
          <w:sz w:val="21"/>
          <w:szCs w:val="21"/>
        </w:rPr>
        <w:t xml:space="preserve">, VI Ed., Bologna-Roma, 2014, </w:t>
      </w:r>
      <w:bookmarkEnd w:id="3"/>
      <w:r w:rsidR="00D4103F">
        <w:rPr>
          <w:sz w:val="21"/>
          <w:szCs w:val="21"/>
        </w:rPr>
        <w:t>p.</w:t>
      </w:r>
      <w:r w:rsidRPr="00714817">
        <w:rPr>
          <w:sz w:val="21"/>
          <w:szCs w:val="21"/>
        </w:rPr>
        <w:t>493</w:t>
      </w:r>
      <w:bookmarkEnd w:id="4"/>
      <w:r w:rsidR="00D4103F">
        <w:rPr>
          <w:sz w:val="21"/>
          <w:szCs w:val="21"/>
        </w:rPr>
        <w:t xml:space="preserve">; </w:t>
      </w:r>
      <w:r w:rsidR="00D4103F" w:rsidRPr="00D4103F">
        <w:rPr>
          <w:smallCaps/>
          <w:sz w:val="21"/>
          <w:szCs w:val="21"/>
        </w:rPr>
        <w:t>Marinucci-Dolcini</w:t>
      </w:r>
      <w:r w:rsidRPr="00714817">
        <w:rPr>
          <w:sz w:val="21"/>
          <w:szCs w:val="21"/>
        </w:rPr>
        <w:t>, “</w:t>
      </w:r>
      <w:r w:rsidRPr="00714817">
        <w:rPr>
          <w:i/>
          <w:iCs/>
          <w:sz w:val="21"/>
          <w:szCs w:val="21"/>
        </w:rPr>
        <w:t>Note sul metodo della codificazione penale</w:t>
      </w:r>
      <w:r w:rsidRPr="00714817">
        <w:rPr>
          <w:iCs/>
          <w:sz w:val="21"/>
          <w:szCs w:val="21"/>
        </w:rPr>
        <w:t>”</w:t>
      </w:r>
      <w:r w:rsidRPr="00714817">
        <w:rPr>
          <w:sz w:val="21"/>
          <w:szCs w:val="21"/>
        </w:rPr>
        <w:t xml:space="preserve">, in </w:t>
      </w:r>
      <w:r w:rsidRPr="00714817">
        <w:rPr>
          <w:i/>
          <w:iCs/>
          <w:sz w:val="21"/>
          <w:szCs w:val="21"/>
        </w:rPr>
        <w:t xml:space="preserve">Riv. </w:t>
      </w:r>
      <w:proofErr w:type="spellStart"/>
      <w:r w:rsidRPr="00714817">
        <w:rPr>
          <w:i/>
          <w:iCs/>
          <w:sz w:val="21"/>
          <w:szCs w:val="21"/>
        </w:rPr>
        <w:t>it</w:t>
      </w:r>
      <w:proofErr w:type="spellEnd"/>
      <w:r w:rsidRPr="00714817">
        <w:rPr>
          <w:i/>
          <w:iCs/>
          <w:sz w:val="21"/>
          <w:szCs w:val="21"/>
        </w:rPr>
        <w:t xml:space="preserve">. dir. proc. </w:t>
      </w:r>
      <w:proofErr w:type="spellStart"/>
      <w:r w:rsidRPr="00714817">
        <w:rPr>
          <w:i/>
          <w:iCs/>
          <w:sz w:val="21"/>
          <w:szCs w:val="21"/>
        </w:rPr>
        <w:t>pen</w:t>
      </w:r>
      <w:proofErr w:type="spellEnd"/>
      <w:r w:rsidR="00D4103F">
        <w:rPr>
          <w:sz w:val="21"/>
          <w:szCs w:val="21"/>
        </w:rPr>
        <w:t xml:space="preserve">., 1991, pp. 385-418; </w:t>
      </w:r>
      <w:r w:rsidRPr="00D4103F">
        <w:rPr>
          <w:smallCaps/>
          <w:sz w:val="21"/>
          <w:szCs w:val="21"/>
        </w:rPr>
        <w:t>V</w:t>
      </w:r>
      <w:r w:rsidR="00D4103F" w:rsidRPr="00D4103F">
        <w:rPr>
          <w:smallCaps/>
          <w:sz w:val="21"/>
          <w:szCs w:val="21"/>
        </w:rPr>
        <w:t>assalli</w:t>
      </w:r>
      <w:r w:rsidRPr="00714817">
        <w:rPr>
          <w:sz w:val="21"/>
          <w:szCs w:val="21"/>
        </w:rPr>
        <w:t>, “</w:t>
      </w:r>
      <w:r w:rsidRPr="00714817">
        <w:rPr>
          <w:i/>
          <w:iCs/>
          <w:sz w:val="21"/>
          <w:szCs w:val="21"/>
        </w:rPr>
        <w:t>Note in margine alla riforma del concorso di persone nel reato</w:t>
      </w:r>
      <w:r w:rsidRPr="00714817">
        <w:rPr>
          <w:sz w:val="21"/>
          <w:szCs w:val="21"/>
        </w:rPr>
        <w:t xml:space="preserve">, </w:t>
      </w:r>
      <w:r w:rsidRPr="00D4103F">
        <w:rPr>
          <w:i/>
          <w:sz w:val="21"/>
          <w:szCs w:val="21"/>
        </w:rPr>
        <w:t xml:space="preserve">in </w:t>
      </w:r>
      <w:r w:rsidRPr="00714817">
        <w:rPr>
          <w:i/>
          <w:iCs/>
          <w:sz w:val="21"/>
          <w:szCs w:val="21"/>
        </w:rPr>
        <w:t>Studi in onore di G. Marinucci”</w:t>
      </w:r>
      <w:r w:rsidRPr="00714817">
        <w:rPr>
          <w:sz w:val="21"/>
          <w:szCs w:val="21"/>
        </w:rPr>
        <w:t xml:space="preserve">, 2005, </w:t>
      </w:r>
      <w:r w:rsidR="00D4103F">
        <w:rPr>
          <w:sz w:val="21"/>
          <w:szCs w:val="21"/>
        </w:rPr>
        <w:t xml:space="preserve">p. </w:t>
      </w:r>
      <w:r w:rsidRPr="00714817">
        <w:rPr>
          <w:sz w:val="21"/>
          <w:szCs w:val="21"/>
        </w:rPr>
        <w:t>1939;</w:t>
      </w:r>
    </w:p>
  </w:footnote>
  <w:footnote w:id="2">
    <w:p w14:paraId="12068109" w14:textId="70507BDF" w:rsidR="00C96A9E" w:rsidRPr="00714817" w:rsidRDefault="00C96A9E" w:rsidP="00714817">
      <w:pPr>
        <w:pStyle w:val="Testonotaapidipagina"/>
        <w:jc w:val="both"/>
        <w:rPr>
          <w:sz w:val="21"/>
          <w:szCs w:val="21"/>
        </w:rPr>
      </w:pPr>
      <w:r w:rsidRPr="00714817">
        <w:rPr>
          <w:rStyle w:val="Rimandonotaapidipagina"/>
          <w:sz w:val="21"/>
          <w:szCs w:val="21"/>
        </w:rPr>
        <w:footnoteRef/>
      </w:r>
      <w:r>
        <w:rPr>
          <w:sz w:val="21"/>
          <w:szCs w:val="21"/>
        </w:rPr>
        <w:t xml:space="preserve"> Crf. Corte c</w:t>
      </w:r>
      <w:r w:rsidRPr="00714817">
        <w:rPr>
          <w:sz w:val="21"/>
          <w:szCs w:val="21"/>
        </w:rPr>
        <w:t>ost. nn 348 e 349 del 24 ottobre 2007 (c.d. “</w:t>
      </w:r>
      <w:r w:rsidRPr="00714817">
        <w:rPr>
          <w:i/>
          <w:sz w:val="21"/>
          <w:szCs w:val="21"/>
        </w:rPr>
        <w:t>Sentenze gemelle</w:t>
      </w:r>
      <w:r w:rsidRPr="00714817">
        <w:rPr>
          <w:sz w:val="21"/>
          <w:szCs w:val="21"/>
        </w:rPr>
        <w:t xml:space="preserve">”) con le quali la Consulta ha qualificato le fattispecie normative previste dalla Convenzione Europea per la salvaguardia dei diritti dell’uomo come “norme interposte” tra i principi di matrice costituzionale e le fonti di rango subordinato; </w:t>
      </w:r>
    </w:p>
  </w:footnote>
  <w:footnote w:id="3">
    <w:p w14:paraId="022E57ED" w14:textId="5367FF41"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Per una </w:t>
      </w:r>
      <w:r w:rsidR="00D4103F">
        <w:rPr>
          <w:sz w:val="21"/>
          <w:szCs w:val="21"/>
        </w:rPr>
        <w:t xml:space="preserve">ricostruzione storica v. </w:t>
      </w:r>
      <w:proofErr w:type="spellStart"/>
      <w:r w:rsidRPr="00714817">
        <w:rPr>
          <w:sz w:val="21"/>
          <w:szCs w:val="21"/>
        </w:rPr>
        <w:t>B</w:t>
      </w:r>
      <w:r w:rsidR="00D4103F" w:rsidRPr="00D4103F">
        <w:rPr>
          <w:smallCaps/>
          <w:sz w:val="21"/>
          <w:szCs w:val="21"/>
        </w:rPr>
        <w:t>eling</w:t>
      </w:r>
      <w:proofErr w:type="spellEnd"/>
      <w:r w:rsidRPr="00714817">
        <w:rPr>
          <w:sz w:val="21"/>
          <w:szCs w:val="21"/>
        </w:rPr>
        <w:t>, “</w:t>
      </w:r>
      <w:r w:rsidRPr="00714817">
        <w:rPr>
          <w:i/>
          <w:iCs/>
          <w:sz w:val="21"/>
          <w:szCs w:val="21"/>
        </w:rPr>
        <w:t xml:space="preserve">Die </w:t>
      </w:r>
      <w:proofErr w:type="spellStart"/>
      <w:r w:rsidRPr="00714817">
        <w:rPr>
          <w:i/>
          <w:iCs/>
          <w:sz w:val="21"/>
          <w:szCs w:val="21"/>
        </w:rPr>
        <w:t>Lehre</w:t>
      </w:r>
      <w:proofErr w:type="spellEnd"/>
      <w:r w:rsidRPr="00714817">
        <w:rPr>
          <w:i/>
          <w:iCs/>
          <w:sz w:val="21"/>
          <w:szCs w:val="21"/>
        </w:rPr>
        <w:t xml:space="preserve"> </w:t>
      </w:r>
      <w:proofErr w:type="spellStart"/>
      <w:r w:rsidRPr="00714817">
        <w:rPr>
          <w:i/>
          <w:iCs/>
          <w:sz w:val="21"/>
          <w:szCs w:val="21"/>
        </w:rPr>
        <w:t>vom</w:t>
      </w:r>
      <w:proofErr w:type="spellEnd"/>
      <w:r w:rsidRPr="00714817">
        <w:rPr>
          <w:i/>
          <w:iCs/>
          <w:sz w:val="21"/>
          <w:szCs w:val="21"/>
        </w:rPr>
        <w:t xml:space="preserve"> Verbrechen</w:t>
      </w:r>
      <w:r w:rsidRPr="00714817">
        <w:rPr>
          <w:iCs/>
          <w:sz w:val="21"/>
          <w:szCs w:val="21"/>
        </w:rPr>
        <w:t>”</w:t>
      </w:r>
      <w:r w:rsidRPr="00714817">
        <w:rPr>
          <w:sz w:val="21"/>
          <w:szCs w:val="21"/>
        </w:rPr>
        <w:t xml:space="preserve">, Tubinga 1906, pp. 20 e </w:t>
      </w:r>
      <w:proofErr w:type="spellStart"/>
      <w:r w:rsidRPr="00714817">
        <w:rPr>
          <w:sz w:val="21"/>
          <w:szCs w:val="21"/>
        </w:rPr>
        <w:t>seg</w:t>
      </w:r>
      <w:proofErr w:type="spellEnd"/>
      <w:r w:rsidRPr="00714817">
        <w:rPr>
          <w:sz w:val="21"/>
          <w:szCs w:val="21"/>
        </w:rPr>
        <w:t>, per il quale “</w:t>
      </w:r>
      <w:r w:rsidRPr="00714817">
        <w:rPr>
          <w:i/>
          <w:sz w:val="21"/>
          <w:szCs w:val="21"/>
        </w:rPr>
        <w:t xml:space="preserve">Verbrechen </w:t>
      </w:r>
      <w:proofErr w:type="spellStart"/>
      <w:r w:rsidRPr="00714817">
        <w:rPr>
          <w:i/>
          <w:sz w:val="21"/>
          <w:szCs w:val="21"/>
        </w:rPr>
        <w:t>kann</w:t>
      </w:r>
      <w:proofErr w:type="spellEnd"/>
      <w:r w:rsidRPr="00714817">
        <w:rPr>
          <w:i/>
          <w:sz w:val="21"/>
          <w:szCs w:val="21"/>
        </w:rPr>
        <w:t xml:space="preserve"> </w:t>
      </w:r>
      <w:proofErr w:type="spellStart"/>
      <w:r w:rsidRPr="00714817">
        <w:rPr>
          <w:i/>
          <w:sz w:val="21"/>
          <w:szCs w:val="21"/>
        </w:rPr>
        <w:t>nur</w:t>
      </w:r>
      <w:proofErr w:type="spellEnd"/>
      <w:r w:rsidRPr="00714817">
        <w:rPr>
          <w:i/>
          <w:sz w:val="21"/>
          <w:szCs w:val="21"/>
        </w:rPr>
        <w:t xml:space="preserve"> die </w:t>
      </w:r>
      <w:proofErr w:type="spellStart"/>
      <w:r w:rsidRPr="00714817">
        <w:rPr>
          <w:i/>
          <w:sz w:val="21"/>
          <w:szCs w:val="21"/>
        </w:rPr>
        <w:t>Handlung</w:t>
      </w:r>
      <w:proofErr w:type="spellEnd"/>
      <w:r w:rsidRPr="00714817">
        <w:rPr>
          <w:i/>
          <w:sz w:val="21"/>
          <w:szCs w:val="21"/>
        </w:rPr>
        <w:t xml:space="preserve"> </w:t>
      </w:r>
      <w:proofErr w:type="spellStart"/>
      <w:r w:rsidRPr="00714817">
        <w:rPr>
          <w:i/>
          <w:sz w:val="21"/>
          <w:szCs w:val="21"/>
        </w:rPr>
        <w:t>sein</w:t>
      </w:r>
      <w:proofErr w:type="spellEnd"/>
      <w:r w:rsidRPr="00714817">
        <w:rPr>
          <w:i/>
          <w:sz w:val="21"/>
          <w:szCs w:val="21"/>
        </w:rPr>
        <w:t xml:space="preserve">, die </w:t>
      </w:r>
      <w:proofErr w:type="spellStart"/>
      <w:r w:rsidRPr="00714817">
        <w:rPr>
          <w:i/>
          <w:sz w:val="21"/>
          <w:szCs w:val="21"/>
        </w:rPr>
        <w:t>einem</w:t>
      </w:r>
      <w:proofErr w:type="spellEnd"/>
      <w:r w:rsidRPr="00714817">
        <w:rPr>
          <w:i/>
          <w:sz w:val="21"/>
          <w:szCs w:val="21"/>
        </w:rPr>
        <w:t> </w:t>
      </w:r>
      <w:proofErr w:type="spellStart"/>
      <w:r w:rsidRPr="00714817">
        <w:rPr>
          <w:i/>
          <w:sz w:val="21"/>
          <w:szCs w:val="21"/>
        </w:rPr>
        <w:t>fest</w:t>
      </w:r>
      <w:proofErr w:type="spellEnd"/>
      <w:r w:rsidRPr="00714817">
        <w:rPr>
          <w:i/>
          <w:sz w:val="21"/>
          <w:szCs w:val="21"/>
        </w:rPr>
        <w:t xml:space="preserve"> </w:t>
      </w:r>
      <w:proofErr w:type="spellStart"/>
      <w:r w:rsidRPr="00714817">
        <w:rPr>
          <w:i/>
          <w:sz w:val="21"/>
          <w:szCs w:val="21"/>
        </w:rPr>
        <w:t>formulierten</w:t>
      </w:r>
      <w:proofErr w:type="spellEnd"/>
      <w:r w:rsidRPr="00714817">
        <w:rPr>
          <w:i/>
          <w:sz w:val="21"/>
          <w:szCs w:val="21"/>
        </w:rPr>
        <w:t xml:space="preserve"> </w:t>
      </w:r>
      <w:proofErr w:type="spellStart"/>
      <w:r w:rsidRPr="00714817">
        <w:rPr>
          <w:i/>
          <w:sz w:val="21"/>
          <w:szCs w:val="21"/>
        </w:rPr>
        <w:t>Tatbestande</w:t>
      </w:r>
      <w:proofErr w:type="spellEnd"/>
      <w:r w:rsidRPr="00714817">
        <w:rPr>
          <w:i/>
          <w:sz w:val="21"/>
          <w:szCs w:val="21"/>
        </w:rPr>
        <w:t xml:space="preserve"> </w:t>
      </w:r>
      <w:proofErr w:type="spellStart"/>
      <w:r w:rsidRPr="00714817">
        <w:rPr>
          <w:i/>
          <w:sz w:val="21"/>
          <w:szCs w:val="21"/>
        </w:rPr>
        <w:t>entspricht</w:t>
      </w:r>
      <w:proofErr w:type="spellEnd"/>
      <w:r w:rsidRPr="00714817">
        <w:rPr>
          <w:sz w:val="21"/>
          <w:szCs w:val="21"/>
        </w:rPr>
        <w:t xml:space="preserve">”, letteralmente tradotto </w:t>
      </w:r>
      <w:r w:rsidRPr="00714817">
        <w:rPr>
          <w:rFonts w:eastAsia="Times New Roman"/>
          <w:color w:val="222222"/>
          <w:sz w:val="21"/>
          <w:szCs w:val="21"/>
          <w:lang w:eastAsia="it-IT"/>
        </w:rPr>
        <w:t>“</w:t>
      </w:r>
      <w:r w:rsidRPr="00714817">
        <w:rPr>
          <w:i/>
          <w:sz w:val="21"/>
          <w:szCs w:val="21"/>
        </w:rPr>
        <w:t>il crimine può essere solo l'atto che corrisponde ad un reato fortemente definito</w:t>
      </w:r>
      <w:r w:rsidRPr="00714817">
        <w:rPr>
          <w:sz w:val="21"/>
          <w:szCs w:val="21"/>
        </w:rPr>
        <w:t>”. In una logica di contrapposizione tra</w:t>
      </w:r>
      <w:r w:rsidR="00D4103F">
        <w:rPr>
          <w:sz w:val="21"/>
          <w:szCs w:val="21"/>
        </w:rPr>
        <w:t xml:space="preserve"> finalismo e positivismo </w:t>
      </w:r>
      <w:proofErr w:type="spellStart"/>
      <w:r w:rsidR="00D4103F">
        <w:rPr>
          <w:sz w:val="21"/>
          <w:szCs w:val="21"/>
        </w:rPr>
        <w:t>crf</w:t>
      </w:r>
      <w:proofErr w:type="spellEnd"/>
      <w:r w:rsidR="00D4103F">
        <w:rPr>
          <w:sz w:val="21"/>
          <w:szCs w:val="21"/>
        </w:rPr>
        <w:t xml:space="preserve">. </w:t>
      </w:r>
      <w:proofErr w:type="spellStart"/>
      <w:r w:rsidRPr="00D4103F">
        <w:rPr>
          <w:bCs/>
          <w:smallCaps/>
          <w:sz w:val="21"/>
          <w:szCs w:val="21"/>
        </w:rPr>
        <w:t>W</w:t>
      </w:r>
      <w:r w:rsidR="00D4103F" w:rsidRPr="00D4103F">
        <w:rPr>
          <w:bCs/>
          <w:smallCaps/>
          <w:sz w:val="21"/>
          <w:szCs w:val="21"/>
        </w:rPr>
        <w:t>elzel</w:t>
      </w:r>
      <w:proofErr w:type="spellEnd"/>
      <w:r w:rsidRPr="00714817">
        <w:rPr>
          <w:sz w:val="21"/>
          <w:szCs w:val="21"/>
        </w:rPr>
        <w:t>, “</w:t>
      </w:r>
      <w:proofErr w:type="spellStart"/>
      <w:r w:rsidRPr="00714817">
        <w:rPr>
          <w:bCs/>
          <w:i/>
          <w:sz w:val="21"/>
          <w:szCs w:val="21"/>
        </w:rPr>
        <w:t>Aktuelle</w:t>
      </w:r>
      <w:proofErr w:type="spellEnd"/>
      <w:r w:rsidRPr="00714817">
        <w:rPr>
          <w:bCs/>
          <w:i/>
          <w:sz w:val="21"/>
          <w:szCs w:val="21"/>
        </w:rPr>
        <w:t xml:space="preserve"> </w:t>
      </w:r>
      <w:proofErr w:type="spellStart"/>
      <w:r w:rsidRPr="00714817">
        <w:rPr>
          <w:bCs/>
          <w:i/>
          <w:sz w:val="21"/>
          <w:szCs w:val="21"/>
        </w:rPr>
        <w:t>Strafrechtsprobleme</w:t>
      </w:r>
      <w:proofErr w:type="spellEnd"/>
      <w:r w:rsidRPr="00714817">
        <w:rPr>
          <w:i/>
          <w:sz w:val="21"/>
          <w:szCs w:val="21"/>
        </w:rPr>
        <w:t xml:space="preserve"> </w:t>
      </w:r>
      <w:proofErr w:type="spellStart"/>
      <w:r w:rsidRPr="00714817">
        <w:rPr>
          <w:i/>
          <w:sz w:val="21"/>
          <w:szCs w:val="21"/>
        </w:rPr>
        <w:t>im</w:t>
      </w:r>
      <w:proofErr w:type="spellEnd"/>
      <w:r w:rsidRPr="00714817">
        <w:rPr>
          <w:i/>
          <w:sz w:val="21"/>
          <w:szCs w:val="21"/>
        </w:rPr>
        <w:t xml:space="preserve"> </w:t>
      </w:r>
      <w:proofErr w:type="spellStart"/>
      <w:r w:rsidRPr="00714817">
        <w:rPr>
          <w:i/>
          <w:sz w:val="21"/>
          <w:szCs w:val="21"/>
        </w:rPr>
        <w:t>Rahmen</w:t>
      </w:r>
      <w:proofErr w:type="spellEnd"/>
      <w:r w:rsidRPr="00714817">
        <w:rPr>
          <w:i/>
          <w:sz w:val="21"/>
          <w:szCs w:val="21"/>
        </w:rPr>
        <w:t xml:space="preserve"> </w:t>
      </w:r>
      <w:proofErr w:type="spellStart"/>
      <w:r w:rsidRPr="00714817">
        <w:rPr>
          <w:i/>
          <w:sz w:val="21"/>
          <w:szCs w:val="21"/>
        </w:rPr>
        <w:t>der</w:t>
      </w:r>
      <w:proofErr w:type="spellEnd"/>
      <w:r w:rsidRPr="00714817">
        <w:rPr>
          <w:i/>
          <w:sz w:val="21"/>
          <w:szCs w:val="21"/>
        </w:rPr>
        <w:t xml:space="preserve"> </w:t>
      </w:r>
      <w:proofErr w:type="spellStart"/>
      <w:r w:rsidRPr="00714817">
        <w:rPr>
          <w:i/>
          <w:sz w:val="21"/>
          <w:szCs w:val="21"/>
        </w:rPr>
        <w:t>finalen</w:t>
      </w:r>
      <w:proofErr w:type="spellEnd"/>
      <w:r w:rsidRPr="00714817">
        <w:rPr>
          <w:i/>
          <w:sz w:val="21"/>
          <w:szCs w:val="21"/>
        </w:rPr>
        <w:t xml:space="preserve"> </w:t>
      </w:r>
      <w:proofErr w:type="spellStart"/>
      <w:r w:rsidRPr="00714817">
        <w:rPr>
          <w:i/>
          <w:sz w:val="21"/>
          <w:szCs w:val="21"/>
        </w:rPr>
        <w:t>Handlungslehre</w:t>
      </w:r>
      <w:proofErr w:type="spellEnd"/>
      <w:r w:rsidRPr="00714817">
        <w:rPr>
          <w:sz w:val="21"/>
          <w:szCs w:val="21"/>
        </w:rPr>
        <w:t>”, 1953, p. 3. In senso critico K. BINDING, “</w:t>
      </w:r>
      <w:r w:rsidRPr="00714817">
        <w:rPr>
          <w:i/>
          <w:sz w:val="21"/>
          <w:szCs w:val="21"/>
        </w:rPr>
        <w:t>Compendio di diritto penale</w:t>
      </w:r>
      <w:r w:rsidRPr="00714817">
        <w:rPr>
          <w:sz w:val="21"/>
          <w:szCs w:val="21"/>
        </w:rPr>
        <w:t>”, Roma, 192, p. 153.</w:t>
      </w:r>
    </w:p>
  </w:footnote>
  <w:footnote w:id="4">
    <w:p w14:paraId="525C6CDB" w14:textId="667F8DA0"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bookmarkStart w:id="7" w:name="_Hlk494191659"/>
      <w:r w:rsidRPr="00714817">
        <w:rPr>
          <w:sz w:val="21"/>
          <w:szCs w:val="21"/>
        </w:rPr>
        <w:t xml:space="preserve">Sul fondamento della punibilità del concorso </w:t>
      </w:r>
      <w:proofErr w:type="spellStart"/>
      <w:r w:rsidRPr="00714817">
        <w:rPr>
          <w:sz w:val="21"/>
          <w:szCs w:val="21"/>
        </w:rPr>
        <w:t>crf</w:t>
      </w:r>
      <w:proofErr w:type="spellEnd"/>
      <w:r w:rsidRPr="00714817">
        <w:rPr>
          <w:sz w:val="21"/>
          <w:szCs w:val="21"/>
        </w:rPr>
        <w:t xml:space="preserve">. </w:t>
      </w:r>
      <w:r w:rsidRPr="00D4103F">
        <w:rPr>
          <w:smallCaps/>
          <w:sz w:val="21"/>
          <w:szCs w:val="21"/>
        </w:rPr>
        <w:t>D</w:t>
      </w:r>
      <w:r w:rsidR="00D4103F" w:rsidRPr="00D4103F">
        <w:rPr>
          <w:smallCaps/>
          <w:sz w:val="21"/>
          <w:szCs w:val="21"/>
        </w:rPr>
        <w:t>ell’Andro</w:t>
      </w:r>
      <w:r w:rsidRPr="00714817">
        <w:rPr>
          <w:sz w:val="21"/>
          <w:szCs w:val="21"/>
        </w:rPr>
        <w:t>, “</w:t>
      </w:r>
      <w:r w:rsidRPr="00714817">
        <w:rPr>
          <w:i/>
          <w:sz w:val="21"/>
          <w:szCs w:val="21"/>
        </w:rPr>
        <w:t>La fattispecie plurisoggettiva in diritto penale</w:t>
      </w:r>
      <w:r w:rsidRPr="00714817">
        <w:rPr>
          <w:sz w:val="21"/>
          <w:szCs w:val="21"/>
        </w:rPr>
        <w:t>”, Milano, 1956, p. 78 che riferisce l’opzione legislativa di “</w:t>
      </w:r>
      <w:r w:rsidRPr="00714817">
        <w:rPr>
          <w:i/>
          <w:sz w:val="21"/>
          <w:szCs w:val="21"/>
        </w:rPr>
        <w:t>sintesi unitaria dei comportamenti</w:t>
      </w:r>
      <w:r w:rsidRPr="00714817">
        <w:rPr>
          <w:sz w:val="21"/>
          <w:szCs w:val="21"/>
        </w:rPr>
        <w:t>” ad “</w:t>
      </w:r>
      <w:r w:rsidRPr="00714817">
        <w:rPr>
          <w:i/>
          <w:sz w:val="21"/>
          <w:szCs w:val="21"/>
        </w:rPr>
        <w:t>una sostanziale ragione unificante</w:t>
      </w:r>
      <w:r w:rsidRPr="00714817">
        <w:rPr>
          <w:sz w:val="21"/>
          <w:szCs w:val="21"/>
        </w:rPr>
        <w:t xml:space="preserve">” attinente alla unicità del bene tutelato ed offeso dalla fattispecie; </w:t>
      </w:r>
      <w:proofErr w:type="spellStart"/>
      <w:r w:rsidRPr="00714817">
        <w:rPr>
          <w:sz w:val="21"/>
          <w:szCs w:val="21"/>
        </w:rPr>
        <w:t>crf</w:t>
      </w:r>
      <w:proofErr w:type="spellEnd"/>
      <w:r w:rsidRPr="00714817">
        <w:rPr>
          <w:sz w:val="21"/>
          <w:szCs w:val="21"/>
        </w:rPr>
        <w:t xml:space="preserve">., altresì, </w:t>
      </w:r>
      <w:bookmarkEnd w:id="7"/>
      <w:r w:rsidRPr="00C96A9E">
        <w:rPr>
          <w:smallCaps/>
          <w:sz w:val="21"/>
          <w:szCs w:val="21"/>
        </w:rPr>
        <w:t>Fiandaca-Musco</w:t>
      </w:r>
      <w:r w:rsidRPr="00714817">
        <w:rPr>
          <w:sz w:val="21"/>
          <w:szCs w:val="21"/>
        </w:rPr>
        <w:t xml:space="preserve">, </w:t>
      </w:r>
      <w:r>
        <w:rPr>
          <w:sz w:val="21"/>
          <w:szCs w:val="21"/>
        </w:rPr>
        <w:t xml:space="preserve">op. cit., </w:t>
      </w:r>
      <w:r w:rsidRPr="00714817">
        <w:rPr>
          <w:sz w:val="21"/>
          <w:szCs w:val="21"/>
        </w:rPr>
        <w:t>p. 494; F.</w:t>
      </w:r>
      <w:r w:rsidRPr="00D4103F">
        <w:rPr>
          <w:smallCaps/>
          <w:sz w:val="21"/>
          <w:szCs w:val="21"/>
        </w:rPr>
        <w:t xml:space="preserve"> M</w:t>
      </w:r>
      <w:r w:rsidR="00D4103F" w:rsidRPr="00D4103F">
        <w:rPr>
          <w:smallCaps/>
          <w:sz w:val="21"/>
          <w:szCs w:val="21"/>
        </w:rPr>
        <w:t>antovani</w:t>
      </w:r>
      <w:r w:rsidRPr="00714817">
        <w:rPr>
          <w:sz w:val="21"/>
          <w:szCs w:val="21"/>
        </w:rPr>
        <w:t>, “</w:t>
      </w:r>
      <w:r w:rsidRPr="00714817">
        <w:rPr>
          <w:i/>
          <w:sz w:val="21"/>
          <w:szCs w:val="21"/>
        </w:rPr>
        <w:t>Diritto Penale</w:t>
      </w:r>
      <w:r w:rsidRPr="00714817">
        <w:rPr>
          <w:sz w:val="21"/>
          <w:szCs w:val="21"/>
        </w:rPr>
        <w:t>”, Ed. 10, Cedam Editore, Padova, 2017, p. 501 e seg.;</w:t>
      </w:r>
    </w:p>
  </w:footnote>
  <w:footnote w:id="5">
    <w:p w14:paraId="6AE66E78" w14:textId="6C25303C"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w:t>
      </w:r>
      <w:r w:rsidR="00D4103F" w:rsidRPr="00D4103F">
        <w:rPr>
          <w:smallCaps/>
          <w:sz w:val="21"/>
          <w:szCs w:val="21"/>
        </w:rPr>
        <w:t>Romano-Grasso</w:t>
      </w:r>
      <w:r w:rsidRPr="00714817">
        <w:rPr>
          <w:sz w:val="21"/>
          <w:szCs w:val="21"/>
        </w:rPr>
        <w:t>, “</w:t>
      </w:r>
      <w:r w:rsidRPr="00714817">
        <w:rPr>
          <w:i/>
          <w:sz w:val="21"/>
          <w:szCs w:val="21"/>
        </w:rPr>
        <w:t>Del concorso di persone nel reato</w:t>
      </w:r>
      <w:r w:rsidRPr="00714817">
        <w:rPr>
          <w:sz w:val="21"/>
          <w:szCs w:val="21"/>
        </w:rPr>
        <w:t xml:space="preserve">”, in Commentario sistematico del Codice Penale, Tomo II, Art. 85-149, Ed. 2º, rinnovata e ampliata, Giuffrè Editore, Milano, 1996, p. 125. Per una visione sistematica dell’istituto della combinazione, anche in sede concorsuale, </w:t>
      </w:r>
      <w:proofErr w:type="spellStart"/>
      <w:r w:rsidRPr="00714817">
        <w:rPr>
          <w:sz w:val="21"/>
          <w:szCs w:val="21"/>
        </w:rPr>
        <w:t>crf</w:t>
      </w:r>
      <w:proofErr w:type="spellEnd"/>
      <w:r w:rsidRPr="00714817">
        <w:rPr>
          <w:sz w:val="21"/>
          <w:szCs w:val="21"/>
        </w:rPr>
        <w:t>. L. RISICATO, “</w:t>
      </w:r>
      <w:r w:rsidRPr="00714817">
        <w:rPr>
          <w:i/>
          <w:sz w:val="21"/>
          <w:szCs w:val="21"/>
        </w:rPr>
        <w:t>Combinazione e interferenza di forme di manifestazione del reato. Contributo ad una teoria delle clausole generali di incriminazione suppletiva</w:t>
      </w:r>
      <w:r w:rsidRPr="00714817">
        <w:rPr>
          <w:sz w:val="21"/>
          <w:szCs w:val="21"/>
        </w:rPr>
        <w:t>”, Giuffrè Editore, Milano, 2001.</w:t>
      </w:r>
    </w:p>
  </w:footnote>
  <w:footnote w:id="6">
    <w:p w14:paraId="6F254363" w14:textId="1424B77D" w:rsidR="00C96A9E" w:rsidRPr="00714817" w:rsidRDefault="00C96A9E" w:rsidP="00714817">
      <w:pPr>
        <w:pStyle w:val="Testonotaapidipagina"/>
        <w:jc w:val="both"/>
        <w:rPr>
          <w:sz w:val="21"/>
          <w:szCs w:val="21"/>
        </w:rPr>
      </w:pPr>
      <w:r w:rsidRPr="00714817">
        <w:rPr>
          <w:rStyle w:val="Rimandonotaapidipagina"/>
          <w:sz w:val="21"/>
          <w:szCs w:val="21"/>
        </w:rPr>
        <w:footnoteRef/>
      </w:r>
      <w:bookmarkStart w:id="8" w:name="_Hlk494557315"/>
      <w:r w:rsidRPr="00714817">
        <w:rPr>
          <w:sz w:val="21"/>
          <w:szCs w:val="21"/>
        </w:rPr>
        <w:t xml:space="preserve"> </w:t>
      </w:r>
      <w:bookmarkStart w:id="9" w:name="_Hlk495560992"/>
      <w:r w:rsidR="00D4103F">
        <w:rPr>
          <w:sz w:val="21"/>
          <w:szCs w:val="21"/>
        </w:rPr>
        <w:t xml:space="preserve">Crf. </w:t>
      </w:r>
      <w:r w:rsidR="00D4103F" w:rsidRPr="00D4103F">
        <w:rPr>
          <w:smallCaps/>
          <w:sz w:val="21"/>
          <w:szCs w:val="21"/>
        </w:rPr>
        <w:t>Mantovani</w:t>
      </w:r>
      <w:r w:rsidRPr="00714817">
        <w:rPr>
          <w:sz w:val="21"/>
          <w:szCs w:val="21"/>
        </w:rPr>
        <w:t xml:space="preserve">, </w:t>
      </w:r>
      <w:r w:rsidR="00D4103F" w:rsidRPr="00D4103F">
        <w:rPr>
          <w:i/>
          <w:sz w:val="21"/>
          <w:szCs w:val="21"/>
        </w:rPr>
        <w:t>op cit.</w:t>
      </w:r>
      <w:r w:rsidRPr="00714817">
        <w:rPr>
          <w:sz w:val="21"/>
          <w:szCs w:val="21"/>
        </w:rPr>
        <w:t>, p</w:t>
      </w:r>
      <w:r w:rsidR="00D4103F">
        <w:rPr>
          <w:sz w:val="21"/>
          <w:szCs w:val="21"/>
        </w:rPr>
        <w:t>p</w:t>
      </w:r>
      <w:r w:rsidRPr="00714817">
        <w:rPr>
          <w:sz w:val="21"/>
          <w:szCs w:val="21"/>
        </w:rPr>
        <w:t xml:space="preserve">. 509 </w:t>
      </w:r>
      <w:bookmarkEnd w:id="8"/>
      <w:r w:rsidR="00392444">
        <w:rPr>
          <w:sz w:val="21"/>
          <w:szCs w:val="21"/>
        </w:rPr>
        <w:t xml:space="preserve">ss. </w:t>
      </w:r>
      <w:r w:rsidR="00D4103F">
        <w:rPr>
          <w:sz w:val="21"/>
          <w:szCs w:val="21"/>
        </w:rPr>
        <w:t>nonchè</w:t>
      </w:r>
      <w:r w:rsidRPr="00714817">
        <w:rPr>
          <w:sz w:val="21"/>
          <w:szCs w:val="21"/>
        </w:rPr>
        <w:t xml:space="preserve"> </w:t>
      </w:r>
      <w:bookmarkStart w:id="10" w:name="_Hlk495226818"/>
      <w:bookmarkEnd w:id="9"/>
      <w:r w:rsidR="00480313">
        <w:rPr>
          <w:sz w:val="21"/>
          <w:szCs w:val="21"/>
        </w:rPr>
        <w:t xml:space="preserve">v. </w:t>
      </w:r>
      <w:proofErr w:type="spellStart"/>
      <w:r w:rsidR="00D4103F" w:rsidRPr="00D4103F">
        <w:rPr>
          <w:smallCaps/>
          <w:sz w:val="21"/>
          <w:szCs w:val="21"/>
        </w:rPr>
        <w:t>Donini</w:t>
      </w:r>
      <w:proofErr w:type="spellEnd"/>
      <w:r w:rsidRPr="00714817">
        <w:rPr>
          <w:sz w:val="21"/>
          <w:szCs w:val="21"/>
        </w:rPr>
        <w:t>, “</w:t>
      </w:r>
      <w:r w:rsidRPr="00714817">
        <w:rPr>
          <w:i/>
          <w:sz w:val="21"/>
          <w:szCs w:val="21"/>
        </w:rPr>
        <w:t>La partecipazione al reato tra responsabilità per fatto proprio e responsabilità per fatto altrui”</w:t>
      </w:r>
      <w:r w:rsidRPr="00714817">
        <w:rPr>
          <w:sz w:val="21"/>
          <w:szCs w:val="21"/>
        </w:rPr>
        <w:t>, in</w:t>
      </w:r>
      <w:r w:rsidR="00480313" w:rsidRPr="00480313">
        <w:t xml:space="preserve"> </w:t>
      </w:r>
      <w:proofErr w:type="spellStart"/>
      <w:r w:rsidR="00480313" w:rsidRPr="00480313">
        <w:rPr>
          <w:sz w:val="21"/>
          <w:szCs w:val="21"/>
        </w:rPr>
        <w:t>in</w:t>
      </w:r>
      <w:proofErr w:type="spellEnd"/>
      <w:r w:rsidR="00480313" w:rsidRPr="00480313">
        <w:rPr>
          <w:sz w:val="21"/>
          <w:szCs w:val="21"/>
        </w:rPr>
        <w:t xml:space="preserve"> Riv. </w:t>
      </w:r>
      <w:proofErr w:type="spellStart"/>
      <w:r w:rsidR="00480313" w:rsidRPr="00480313">
        <w:rPr>
          <w:sz w:val="21"/>
          <w:szCs w:val="21"/>
        </w:rPr>
        <w:t>it</w:t>
      </w:r>
      <w:proofErr w:type="spellEnd"/>
      <w:r w:rsidR="00480313" w:rsidRPr="00480313">
        <w:rPr>
          <w:sz w:val="21"/>
          <w:szCs w:val="21"/>
        </w:rPr>
        <w:t xml:space="preserve">. dir. proc. </w:t>
      </w:r>
      <w:proofErr w:type="spellStart"/>
      <w:r w:rsidR="00480313" w:rsidRPr="00480313">
        <w:rPr>
          <w:sz w:val="21"/>
          <w:szCs w:val="21"/>
        </w:rPr>
        <w:t>pen</w:t>
      </w:r>
      <w:proofErr w:type="spellEnd"/>
      <w:r w:rsidR="00480313">
        <w:rPr>
          <w:sz w:val="21"/>
          <w:szCs w:val="21"/>
        </w:rPr>
        <w:t>.</w:t>
      </w:r>
      <w:bookmarkEnd w:id="10"/>
      <w:r w:rsidR="005D425E">
        <w:rPr>
          <w:sz w:val="21"/>
          <w:szCs w:val="21"/>
        </w:rPr>
        <w:t>, 1984.</w:t>
      </w:r>
    </w:p>
  </w:footnote>
  <w:footnote w:id="7">
    <w:p w14:paraId="20D7FB60" w14:textId="5DBA649F"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Vale in questa sede brevemente rammentare come la dottrina si sia sostanzialmente divisa nell’individuazione della </w:t>
      </w:r>
      <w:r w:rsidRPr="00714817">
        <w:rPr>
          <w:i/>
          <w:sz w:val="21"/>
          <w:szCs w:val="21"/>
        </w:rPr>
        <w:t>ratio</w:t>
      </w:r>
      <w:r w:rsidRPr="00714817">
        <w:rPr>
          <w:sz w:val="21"/>
          <w:szCs w:val="21"/>
        </w:rPr>
        <w:t xml:space="preserve"> sottesa all’estensione della punibilità determinata dall’istituto del concorso di persone nel reato. La premessa rompe i ponti col passato. La dottrina propugna una netta presa di distanze dalla concezione di tipicità coniata da </w:t>
      </w:r>
      <w:proofErr w:type="spellStart"/>
      <w:r w:rsidRPr="00714817">
        <w:rPr>
          <w:sz w:val="21"/>
          <w:szCs w:val="21"/>
        </w:rPr>
        <w:t>B</w:t>
      </w:r>
      <w:r>
        <w:rPr>
          <w:sz w:val="21"/>
          <w:szCs w:val="21"/>
        </w:rPr>
        <w:t>eling</w:t>
      </w:r>
      <w:proofErr w:type="spellEnd"/>
      <w:r w:rsidRPr="00714817">
        <w:rPr>
          <w:sz w:val="21"/>
          <w:szCs w:val="21"/>
        </w:rPr>
        <w:t xml:space="preserve"> (</w:t>
      </w:r>
      <w:proofErr w:type="spellStart"/>
      <w:r w:rsidRPr="00714817">
        <w:rPr>
          <w:sz w:val="21"/>
          <w:szCs w:val="21"/>
        </w:rPr>
        <w:t>crf</w:t>
      </w:r>
      <w:proofErr w:type="spellEnd"/>
      <w:r w:rsidRPr="00714817">
        <w:rPr>
          <w:sz w:val="21"/>
          <w:szCs w:val="21"/>
        </w:rPr>
        <w:t>. “</w:t>
      </w:r>
      <w:r w:rsidRPr="00714817">
        <w:rPr>
          <w:i/>
          <w:sz w:val="21"/>
          <w:szCs w:val="21"/>
        </w:rPr>
        <w:t xml:space="preserve">Die </w:t>
      </w:r>
      <w:proofErr w:type="spellStart"/>
      <w:r w:rsidRPr="00714817">
        <w:rPr>
          <w:i/>
          <w:sz w:val="21"/>
          <w:szCs w:val="21"/>
        </w:rPr>
        <w:t>Lehre</w:t>
      </w:r>
      <w:proofErr w:type="spellEnd"/>
      <w:r w:rsidRPr="00714817">
        <w:rPr>
          <w:i/>
          <w:sz w:val="21"/>
          <w:szCs w:val="21"/>
        </w:rPr>
        <w:t xml:space="preserve"> </w:t>
      </w:r>
      <w:proofErr w:type="spellStart"/>
      <w:r w:rsidRPr="00714817">
        <w:rPr>
          <w:i/>
          <w:sz w:val="21"/>
          <w:szCs w:val="21"/>
        </w:rPr>
        <w:t>vom</w:t>
      </w:r>
      <w:proofErr w:type="spellEnd"/>
      <w:r w:rsidRPr="00714817">
        <w:rPr>
          <w:i/>
          <w:sz w:val="21"/>
          <w:szCs w:val="21"/>
        </w:rPr>
        <w:t xml:space="preserve"> Verbrechen, 1906, </w:t>
      </w:r>
      <w:proofErr w:type="spellStart"/>
      <w:r w:rsidRPr="00714817">
        <w:rPr>
          <w:i/>
          <w:sz w:val="21"/>
          <w:szCs w:val="21"/>
        </w:rPr>
        <w:t>Neudruck</w:t>
      </w:r>
      <w:proofErr w:type="spellEnd"/>
      <w:r w:rsidRPr="00714817">
        <w:rPr>
          <w:i/>
          <w:sz w:val="21"/>
          <w:szCs w:val="21"/>
        </w:rPr>
        <w:t xml:space="preserve">, Scientia </w:t>
      </w:r>
      <w:proofErr w:type="spellStart"/>
      <w:r w:rsidRPr="00714817">
        <w:rPr>
          <w:i/>
          <w:sz w:val="21"/>
          <w:szCs w:val="21"/>
        </w:rPr>
        <w:t>Verlag</w:t>
      </w:r>
      <w:proofErr w:type="spellEnd"/>
      <w:r w:rsidRPr="00714817">
        <w:rPr>
          <w:i/>
          <w:sz w:val="21"/>
          <w:szCs w:val="21"/>
        </w:rPr>
        <w:t xml:space="preserve">, </w:t>
      </w:r>
      <w:proofErr w:type="spellStart"/>
      <w:r w:rsidRPr="00714817">
        <w:rPr>
          <w:i/>
          <w:sz w:val="21"/>
          <w:szCs w:val="21"/>
        </w:rPr>
        <w:t>Aalen</w:t>
      </w:r>
      <w:proofErr w:type="spellEnd"/>
      <w:r w:rsidRPr="00714817">
        <w:rPr>
          <w:sz w:val="21"/>
          <w:szCs w:val="21"/>
        </w:rPr>
        <w:t>”, 1964, 268</w:t>
      </w:r>
      <w:r>
        <w:rPr>
          <w:sz w:val="21"/>
          <w:szCs w:val="21"/>
        </w:rPr>
        <w:t xml:space="preserve"> e seg.</w:t>
      </w:r>
      <w:r w:rsidRPr="00714817">
        <w:rPr>
          <w:sz w:val="21"/>
          <w:szCs w:val="21"/>
        </w:rPr>
        <w:t xml:space="preserve">, 287 </w:t>
      </w:r>
      <w:r>
        <w:rPr>
          <w:sz w:val="21"/>
          <w:szCs w:val="21"/>
        </w:rPr>
        <w:t>e seg.</w:t>
      </w:r>
      <w:r w:rsidRPr="00714817">
        <w:rPr>
          <w:sz w:val="21"/>
          <w:szCs w:val="21"/>
        </w:rPr>
        <w:t>, dove l’autore descrive le forme di manifestazione del reato come figure “</w:t>
      </w:r>
      <w:r w:rsidRPr="00714817">
        <w:rPr>
          <w:i/>
          <w:sz w:val="21"/>
          <w:szCs w:val="21"/>
        </w:rPr>
        <w:t>senza autonoma tipicità</w:t>
      </w:r>
      <w:r w:rsidRPr="00714817">
        <w:rPr>
          <w:sz w:val="21"/>
          <w:szCs w:val="21"/>
        </w:rPr>
        <w:t>”). Secondo un’impostazione fedele ad enunciazioni più remote, di origine tedesca, il concorso eve</w:t>
      </w:r>
      <w:r>
        <w:rPr>
          <w:sz w:val="21"/>
          <w:szCs w:val="21"/>
        </w:rPr>
        <w:t>n</w:t>
      </w:r>
      <w:r w:rsidRPr="00714817">
        <w:rPr>
          <w:sz w:val="21"/>
          <w:szCs w:val="21"/>
        </w:rPr>
        <w:t>tuale rinverrebbe il suo fondamento dogmatico nella teoria della accessorietà. La dottrina italiana maggioritaria ha, invece, aderito ad una concezione differente. L’istituto previsto dagli artt. 110 e seguenti del codice penale costituisce uno strumento di estensione della punibilità che si dipana attraverso un allargamento delle maglie della tipicità. In tal senso a venire in gioco sono le due teorie della (prevalente) fattispecie plurisoggettiva eventuale (</w:t>
      </w:r>
      <w:r w:rsidRPr="00714817">
        <w:rPr>
          <w:i/>
          <w:sz w:val="21"/>
          <w:szCs w:val="21"/>
        </w:rPr>
        <w:t>ex multis</w:t>
      </w:r>
      <w:r w:rsidRPr="00714817">
        <w:rPr>
          <w:sz w:val="21"/>
          <w:szCs w:val="21"/>
        </w:rPr>
        <w:t xml:space="preserve">, </w:t>
      </w:r>
      <w:bookmarkStart w:id="11" w:name="_Hlk494187524"/>
      <w:bookmarkStart w:id="12" w:name="_Hlk495561475"/>
      <w:proofErr w:type="spellStart"/>
      <w:r w:rsidR="00480313">
        <w:rPr>
          <w:sz w:val="21"/>
          <w:szCs w:val="21"/>
        </w:rPr>
        <w:t>crf</w:t>
      </w:r>
      <w:proofErr w:type="spellEnd"/>
      <w:r w:rsidR="00480313">
        <w:rPr>
          <w:sz w:val="21"/>
          <w:szCs w:val="21"/>
        </w:rPr>
        <w:t xml:space="preserve">. </w:t>
      </w:r>
      <w:r w:rsidR="00480313" w:rsidRPr="00480313">
        <w:rPr>
          <w:smallCaps/>
          <w:sz w:val="21"/>
          <w:szCs w:val="21"/>
        </w:rPr>
        <w:t>Dell’Andro</w:t>
      </w:r>
      <w:r w:rsidR="00480313">
        <w:rPr>
          <w:sz w:val="21"/>
          <w:szCs w:val="21"/>
        </w:rPr>
        <w:t xml:space="preserve">, </w:t>
      </w:r>
      <w:r w:rsidR="00480313" w:rsidRPr="00480313">
        <w:rPr>
          <w:i/>
          <w:sz w:val="21"/>
          <w:szCs w:val="21"/>
        </w:rPr>
        <w:t xml:space="preserve">op. </w:t>
      </w:r>
      <w:proofErr w:type="spellStart"/>
      <w:proofErr w:type="gramStart"/>
      <w:r w:rsidR="00480313" w:rsidRPr="00480313">
        <w:rPr>
          <w:i/>
          <w:sz w:val="21"/>
          <w:szCs w:val="21"/>
        </w:rPr>
        <w:t>cit</w:t>
      </w:r>
      <w:proofErr w:type="spellEnd"/>
      <w:r w:rsidR="00480313">
        <w:rPr>
          <w:sz w:val="21"/>
          <w:szCs w:val="21"/>
        </w:rPr>
        <w:t>,,</w:t>
      </w:r>
      <w:bookmarkStart w:id="13" w:name="_Hlk494187553"/>
      <w:bookmarkEnd w:id="11"/>
      <w:proofErr w:type="gramEnd"/>
      <w:r w:rsidR="00480313">
        <w:rPr>
          <w:sz w:val="21"/>
          <w:szCs w:val="21"/>
        </w:rPr>
        <w:t xml:space="preserve"> </w:t>
      </w:r>
      <w:r w:rsidRPr="00714817">
        <w:rPr>
          <w:sz w:val="21"/>
          <w:szCs w:val="21"/>
        </w:rPr>
        <w:t>p. 78</w:t>
      </w:r>
      <w:bookmarkEnd w:id="13"/>
      <w:bookmarkEnd w:id="12"/>
      <w:r w:rsidRPr="00714817">
        <w:rPr>
          <w:sz w:val="21"/>
          <w:szCs w:val="21"/>
        </w:rPr>
        <w:t xml:space="preserve">; </w:t>
      </w:r>
      <w:r w:rsidR="00480313" w:rsidRPr="00480313">
        <w:rPr>
          <w:smallCaps/>
          <w:sz w:val="21"/>
          <w:szCs w:val="21"/>
        </w:rPr>
        <w:t>Gallo</w:t>
      </w:r>
      <w:r w:rsidRPr="00714817">
        <w:rPr>
          <w:sz w:val="21"/>
          <w:szCs w:val="21"/>
        </w:rPr>
        <w:t xml:space="preserve"> “</w:t>
      </w:r>
      <w:r w:rsidRPr="00714817">
        <w:rPr>
          <w:i/>
          <w:sz w:val="21"/>
          <w:szCs w:val="21"/>
        </w:rPr>
        <w:t>Lineamenti di una teoria sul concorso di persone nel reato</w:t>
      </w:r>
      <w:r w:rsidRPr="00714817">
        <w:rPr>
          <w:sz w:val="21"/>
          <w:szCs w:val="21"/>
        </w:rPr>
        <w:t>”, Giuffrè Editore, Milano</w:t>
      </w:r>
      <w:r w:rsidRPr="00714817">
        <w:rPr>
          <w:i/>
          <w:sz w:val="21"/>
          <w:szCs w:val="21"/>
        </w:rPr>
        <w:t xml:space="preserve">, </w:t>
      </w:r>
      <w:r w:rsidRPr="00714817">
        <w:rPr>
          <w:sz w:val="21"/>
          <w:szCs w:val="21"/>
        </w:rPr>
        <w:t>1957, pp. 12 se seg., 19 e seg., 53 e seg</w:t>
      </w:r>
      <w:r w:rsidRPr="00714817">
        <w:rPr>
          <w:i/>
          <w:sz w:val="21"/>
          <w:szCs w:val="21"/>
        </w:rPr>
        <w:t>.</w:t>
      </w:r>
      <w:r w:rsidRPr="00714817">
        <w:rPr>
          <w:sz w:val="21"/>
          <w:szCs w:val="21"/>
        </w:rPr>
        <w:t>”) e della (minoritaria) fattispecie plurisoggettiva differenziata (</w:t>
      </w:r>
      <w:r>
        <w:rPr>
          <w:sz w:val="21"/>
          <w:szCs w:val="21"/>
        </w:rPr>
        <w:t>c</w:t>
      </w:r>
      <w:r w:rsidRPr="00714817">
        <w:rPr>
          <w:sz w:val="21"/>
          <w:szCs w:val="21"/>
        </w:rPr>
        <w:t xml:space="preserve">fr. </w:t>
      </w:r>
      <w:r w:rsidR="00480313" w:rsidRPr="00480313">
        <w:rPr>
          <w:smallCaps/>
          <w:sz w:val="21"/>
          <w:szCs w:val="21"/>
        </w:rPr>
        <w:t>Pagliaro</w:t>
      </w:r>
      <w:r w:rsidRPr="00714817">
        <w:rPr>
          <w:sz w:val="21"/>
          <w:szCs w:val="21"/>
        </w:rPr>
        <w:t>, “</w:t>
      </w:r>
      <w:r w:rsidRPr="00714817">
        <w:rPr>
          <w:i/>
          <w:sz w:val="21"/>
          <w:szCs w:val="21"/>
        </w:rPr>
        <w:t>La responsabilità del partecipe per un reato diverso da quello voluto</w:t>
      </w:r>
      <w:r w:rsidRPr="00714817">
        <w:rPr>
          <w:sz w:val="21"/>
          <w:szCs w:val="21"/>
        </w:rPr>
        <w:t xml:space="preserve">”, Giuffrè Editore, Milano, 1966, p. 14; </w:t>
      </w:r>
      <w:r w:rsidR="00480313" w:rsidRPr="00480313">
        <w:rPr>
          <w:smallCaps/>
          <w:sz w:val="21"/>
          <w:szCs w:val="21"/>
        </w:rPr>
        <w:t>Boscarelli</w:t>
      </w:r>
      <w:r w:rsidRPr="00714817">
        <w:rPr>
          <w:sz w:val="21"/>
          <w:szCs w:val="21"/>
        </w:rPr>
        <w:t>, “</w:t>
      </w:r>
      <w:r w:rsidRPr="00714817">
        <w:rPr>
          <w:i/>
          <w:sz w:val="21"/>
          <w:szCs w:val="21"/>
        </w:rPr>
        <w:t>Contributo alla teoria del concorso di persone nel reato</w:t>
      </w:r>
      <w:r w:rsidRPr="00714817">
        <w:rPr>
          <w:sz w:val="21"/>
          <w:szCs w:val="21"/>
        </w:rPr>
        <w:t>”, Cedam Editore, Padova, 1958,</w:t>
      </w:r>
      <w:r>
        <w:rPr>
          <w:sz w:val="21"/>
          <w:szCs w:val="21"/>
        </w:rPr>
        <w:t xml:space="preserve"> p. 22 e seg</w:t>
      </w:r>
      <w:r w:rsidRPr="00714817">
        <w:rPr>
          <w:sz w:val="21"/>
          <w:szCs w:val="21"/>
        </w:rPr>
        <w:t>.).</w:t>
      </w:r>
    </w:p>
  </w:footnote>
  <w:footnote w:id="8">
    <w:p w14:paraId="27B7735E" w14:textId="4A6AA179" w:rsidR="00C96A9E" w:rsidRPr="00714817" w:rsidRDefault="00C96A9E" w:rsidP="00714817">
      <w:pPr>
        <w:pStyle w:val="Testonotaapidipagina"/>
        <w:jc w:val="both"/>
        <w:rPr>
          <w:sz w:val="21"/>
          <w:szCs w:val="21"/>
        </w:rPr>
      </w:pPr>
      <w:r w:rsidRPr="00714817">
        <w:rPr>
          <w:rStyle w:val="Rimandonotaapidipagina"/>
          <w:sz w:val="21"/>
          <w:szCs w:val="21"/>
        </w:rPr>
        <w:footnoteRef/>
      </w:r>
      <w:r w:rsidR="00480313">
        <w:rPr>
          <w:sz w:val="21"/>
          <w:szCs w:val="21"/>
        </w:rPr>
        <w:t xml:space="preserve"> Crf. </w:t>
      </w:r>
      <w:r w:rsidRPr="00480313">
        <w:rPr>
          <w:smallCaps/>
          <w:sz w:val="21"/>
          <w:szCs w:val="21"/>
        </w:rPr>
        <w:t>D</w:t>
      </w:r>
      <w:r w:rsidR="00480313" w:rsidRPr="00480313">
        <w:rPr>
          <w:smallCaps/>
          <w:sz w:val="21"/>
          <w:szCs w:val="21"/>
        </w:rPr>
        <w:t>ell’Andro</w:t>
      </w:r>
      <w:r w:rsidRPr="00714817">
        <w:rPr>
          <w:sz w:val="21"/>
          <w:szCs w:val="21"/>
        </w:rPr>
        <w:t xml:space="preserve">, op. cit., pp. 44 </w:t>
      </w:r>
      <w:r w:rsidR="00392444">
        <w:rPr>
          <w:sz w:val="21"/>
          <w:szCs w:val="21"/>
        </w:rPr>
        <w:t xml:space="preserve">ss. </w:t>
      </w:r>
      <w:r w:rsidRPr="00714817">
        <w:rPr>
          <w:sz w:val="21"/>
          <w:szCs w:val="21"/>
        </w:rPr>
        <w:t xml:space="preserve">e 75 </w:t>
      </w:r>
      <w:r w:rsidR="00392444">
        <w:rPr>
          <w:sz w:val="21"/>
          <w:szCs w:val="21"/>
        </w:rPr>
        <w:t>ss.</w:t>
      </w:r>
      <w:proofErr w:type="gramStart"/>
      <w:r w:rsidR="00392444">
        <w:rPr>
          <w:sz w:val="21"/>
          <w:szCs w:val="21"/>
        </w:rPr>
        <w:t xml:space="preserve">, </w:t>
      </w:r>
      <w:r w:rsidRPr="00714817">
        <w:rPr>
          <w:sz w:val="21"/>
          <w:szCs w:val="21"/>
        </w:rPr>
        <w:t xml:space="preserve"> per</w:t>
      </w:r>
      <w:proofErr w:type="gramEnd"/>
      <w:r w:rsidRPr="00714817">
        <w:rPr>
          <w:sz w:val="21"/>
          <w:szCs w:val="21"/>
        </w:rPr>
        <w:t xml:space="preserve"> il quale </w:t>
      </w:r>
      <w:r>
        <w:rPr>
          <w:sz w:val="21"/>
          <w:szCs w:val="21"/>
        </w:rPr>
        <w:t>«</w:t>
      </w:r>
      <w:r w:rsidRPr="00714817">
        <w:rPr>
          <w:i/>
          <w:sz w:val="21"/>
          <w:szCs w:val="21"/>
        </w:rPr>
        <w:t>occorre, cioè, qui chiarire che la disposizione di cui all’art. 110 c.p. considerata, volta a volta, in relazione ad una delle disposizioni incriminatrici prevedenti ipotesi monosoggettive o plurisoggettive necessarie, pone una nuova tipicità, la tipicità plurisoggettiva eventuale, nettamente distinta dalla tipicità monosoggettiva o plurisoggettiva “necessaria” resa palese dalle disposizioni incriminatrici di parte speciale</w:t>
      </w:r>
      <w:r>
        <w:rPr>
          <w:sz w:val="21"/>
          <w:szCs w:val="21"/>
        </w:rPr>
        <w:t>».</w:t>
      </w:r>
    </w:p>
  </w:footnote>
  <w:footnote w:id="9">
    <w:p w14:paraId="55D405C5" w14:textId="71121C21" w:rsidR="00C96A9E" w:rsidRPr="00714817" w:rsidRDefault="00C96A9E" w:rsidP="00714817">
      <w:pPr>
        <w:pStyle w:val="Testonotaapidipagina"/>
        <w:jc w:val="both"/>
        <w:rPr>
          <w:i/>
          <w:sz w:val="21"/>
          <w:szCs w:val="21"/>
          <w:lang w:val="en"/>
        </w:rPr>
      </w:pPr>
      <w:r w:rsidRPr="00714817">
        <w:rPr>
          <w:rStyle w:val="Rimandonotaapidipagina"/>
          <w:sz w:val="21"/>
          <w:szCs w:val="21"/>
        </w:rPr>
        <w:footnoteRef/>
      </w:r>
      <w:r w:rsidRPr="00714817">
        <w:rPr>
          <w:sz w:val="21"/>
          <w:szCs w:val="21"/>
        </w:rPr>
        <w:t xml:space="preserve"> In tal senso rilevano per il diritto penale gli artt. 25</w:t>
      </w:r>
      <w:r w:rsidR="00480313">
        <w:rPr>
          <w:sz w:val="21"/>
          <w:szCs w:val="21"/>
        </w:rPr>
        <w:t>, 27 e 117 Cost., nonché, in un’</w:t>
      </w:r>
      <w:r w:rsidRPr="00714817">
        <w:rPr>
          <w:sz w:val="21"/>
          <w:szCs w:val="21"/>
        </w:rPr>
        <w:t>ottica d’ispirazione internazionale, gli artt. 7 CEDU e 49 CFUE. Per un inquadramento generale del principio di legalità nel diritto dell</w:t>
      </w:r>
      <w:r>
        <w:rPr>
          <w:sz w:val="21"/>
          <w:szCs w:val="21"/>
        </w:rPr>
        <w:t xml:space="preserve">’Unione Europea </w:t>
      </w:r>
      <w:proofErr w:type="spellStart"/>
      <w:r>
        <w:rPr>
          <w:sz w:val="21"/>
          <w:szCs w:val="21"/>
        </w:rPr>
        <w:t>crf</w:t>
      </w:r>
      <w:proofErr w:type="spellEnd"/>
      <w:r>
        <w:rPr>
          <w:sz w:val="21"/>
          <w:szCs w:val="21"/>
        </w:rPr>
        <w:t>.</w:t>
      </w:r>
      <w:r w:rsidRPr="00714817">
        <w:rPr>
          <w:sz w:val="21"/>
          <w:szCs w:val="21"/>
        </w:rPr>
        <w:t xml:space="preserve"> </w:t>
      </w:r>
      <w:r w:rsidRPr="00480313">
        <w:rPr>
          <w:smallCaps/>
          <w:sz w:val="21"/>
          <w:szCs w:val="21"/>
          <w:lang w:val="en"/>
        </w:rPr>
        <w:t>F</w:t>
      </w:r>
      <w:r w:rsidR="00480313" w:rsidRPr="00480313">
        <w:rPr>
          <w:smallCaps/>
          <w:sz w:val="21"/>
          <w:szCs w:val="21"/>
          <w:lang w:val="en"/>
        </w:rPr>
        <w:t xml:space="preserve">lora-Hirsch </w:t>
      </w:r>
      <w:proofErr w:type="spellStart"/>
      <w:r w:rsidR="00480313" w:rsidRPr="00480313">
        <w:rPr>
          <w:smallCaps/>
          <w:sz w:val="21"/>
          <w:szCs w:val="21"/>
          <w:lang w:val="en"/>
        </w:rPr>
        <w:t>Ballin</w:t>
      </w:r>
      <w:proofErr w:type="spellEnd"/>
      <w:r w:rsidR="00480313" w:rsidRPr="00480313">
        <w:rPr>
          <w:smallCaps/>
          <w:sz w:val="21"/>
          <w:szCs w:val="21"/>
          <w:lang w:val="en"/>
        </w:rPr>
        <w:t>-Ernest</w:t>
      </w:r>
      <w:r w:rsidRPr="00714817">
        <w:rPr>
          <w:sz w:val="21"/>
          <w:szCs w:val="21"/>
          <w:lang w:val="en"/>
        </w:rPr>
        <w:t xml:space="preserve"> </w:t>
      </w:r>
      <w:proofErr w:type="spellStart"/>
      <w:r w:rsidRPr="00714817">
        <w:rPr>
          <w:sz w:val="21"/>
          <w:szCs w:val="21"/>
          <w:lang w:val="en"/>
        </w:rPr>
        <w:t>Editori</w:t>
      </w:r>
      <w:proofErr w:type="spellEnd"/>
      <w:r w:rsidRPr="00714817">
        <w:rPr>
          <w:sz w:val="21"/>
          <w:szCs w:val="21"/>
          <w:lang w:val="en"/>
        </w:rPr>
        <w:t>, “</w:t>
      </w:r>
      <w:r w:rsidRPr="00714817">
        <w:rPr>
          <w:i/>
          <w:sz w:val="21"/>
          <w:szCs w:val="21"/>
          <w:lang w:val="en"/>
        </w:rPr>
        <w:t xml:space="preserve">Democracy and Rule of Law in the European Union, Essays in </w:t>
      </w:r>
      <w:proofErr w:type="spellStart"/>
      <w:r w:rsidRPr="00714817">
        <w:rPr>
          <w:i/>
          <w:sz w:val="21"/>
          <w:szCs w:val="21"/>
          <w:lang w:val="en"/>
        </w:rPr>
        <w:t>Honour</w:t>
      </w:r>
      <w:proofErr w:type="spellEnd"/>
      <w:r w:rsidRPr="00714817">
        <w:rPr>
          <w:i/>
          <w:sz w:val="21"/>
          <w:szCs w:val="21"/>
          <w:lang w:val="en"/>
        </w:rPr>
        <w:t xml:space="preserve"> of Jaap W. de </w:t>
      </w:r>
      <w:proofErr w:type="spellStart"/>
      <w:r w:rsidRPr="00714817">
        <w:rPr>
          <w:i/>
          <w:sz w:val="21"/>
          <w:szCs w:val="21"/>
          <w:lang w:val="en"/>
        </w:rPr>
        <w:t>Zwaan</w:t>
      </w:r>
      <w:proofErr w:type="spellEnd"/>
      <w:r w:rsidRPr="00714817">
        <w:rPr>
          <w:sz w:val="21"/>
          <w:szCs w:val="21"/>
          <w:lang w:val="en"/>
        </w:rPr>
        <w:t>”, 2016.</w:t>
      </w:r>
    </w:p>
  </w:footnote>
  <w:footnote w:id="10">
    <w:p w14:paraId="3A486298" w14:textId="4C0037DA"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w:t>
      </w:r>
      <w:r w:rsidRPr="00C96A9E">
        <w:rPr>
          <w:smallCaps/>
          <w:sz w:val="21"/>
          <w:szCs w:val="21"/>
        </w:rPr>
        <w:t>Fiandaca-Musco</w:t>
      </w:r>
      <w:r w:rsidRPr="00714817">
        <w:rPr>
          <w:sz w:val="21"/>
          <w:szCs w:val="21"/>
        </w:rPr>
        <w:t xml:space="preserve">, </w:t>
      </w:r>
      <w:r>
        <w:rPr>
          <w:sz w:val="21"/>
          <w:szCs w:val="21"/>
        </w:rPr>
        <w:t xml:space="preserve">op. cit., </w:t>
      </w:r>
      <w:r w:rsidRPr="00714817">
        <w:rPr>
          <w:sz w:val="21"/>
          <w:szCs w:val="21"/>
        </w:rPr>
        <w:t>pp. 182 e 213. Per una peculiare variante nell’accertamento dei</w:t>
      </w:r>
      <w:r w:rsidR="00480313">
        <w:rPr>
          <w:sz w:val="21"/>
          <w:szCs w:val="21"/>
        </w:rPr>
        <w:t xml:space="preserve"> reati di pericolo </w:t>
      </w:r>
      <w:proofErr w:type="spellStart"/>
      <w:r w:rsidR="00480313">
        <w:rPr>
          <w:sz w:val="21"/>
          <w:szCs w:val="21"/>
        </w:rPr>
        <w:t>crf</w:t>
      </w:r>
      <w:proofErr w:type="spellEnd"/>
      <w:r w:rsidR="00480313">
        <w:rPr>
          <w:sz w:val="21"/>
          <w:szCs w:val="21"/>
        </w:rPr>
        <w:t>. A. N</w:t>
      </w:r>
      <w:r w:rsidR="00480313" w:rsidRPr="00480313">
        <w:rPr>
          <w:smallCaps/>
          <w:sz w:val="21"/>
          <w:szCs w:val="21"/>
        </w:rPr>
        <w:t>appi</w:t>
      </w:r>
      <w:r w:rsidRPr="00714817">
        <w:rPr>
          <w:sz w:val="21"/>
          <w:szCs w:val="21"/>
        </w:rPr>
        <w:t>, “</w:t>
      </w:r>
      <w:r w:rsidRPr="00714817">
        <w:rPr>
          <w:i/>
          <w:sz w:val="21"/>
          <w:szCs w:val="21"/>
        </w:rPr>
        <w:t>Manuale di diritto penale. Parte generale</w:t>
      </w:r>
      <w:r w:rsidRPr="00714817">
        <w:rPr>
          <w:sz w:val="21"/>
          <w:szCs w:val="21"/>
        </w:rPr>
        <w:t>”, Giuffrè Editore, Milano, 2010, p. 78.</w:t>
      </w:r>
    </w:p>
  </w:footnote>
  <w:footnote w:id="11">
    <w:p w14:paraId="6D87C205" w14:textId="5E9AC8D9"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L’efficienza eziologica che sostiene l’incriminazione di contegni atipici si regge su una qualificazione dogmatica peculiare. L’orientamento prevalente aderisce, infatti, ad una concezione del nesso causale spiegato secondo una logica non condizionalistica (secondo i dettami della teoria della “</w:t>
      </w:r>
      <w:r w:rsidRPr="00714817">
        <w:rPr>
          <w:i/>
          <w:sz w:val="21"/>
          <w:szCs w:val="21"/>
        </w:rPr>
        <w:t>condicio sine qua non</w:t>
      </w:r>
      <w:r w:rsidRPr="00714817">
        <w:rPr>
          <w:sz w:val="21"/>
          <w:szCs w:val="21"/>
        </w:rPr>
        <w:t xml:space="preserve">”) ma, più semplicemente, agevolatrice o di rinforzo.  L’impostazione consolidata aderisce, dunque a tale impostazione, adeguandola ai principi penali secondo i vincoli della prognosi postuma. Crf. </w:t>
      </w:r>
      <w:proofErr w:type="spellStart"/>
      <w:r w:rsidR="00480313" w:rsidRPr="00480313">
        <w:rPr>
          <w:smallCaps/>
          <w:sz w:val="21"/>
          <w:szCs w:val="21"/>
        </w:rPr>
        <w:t>Donini</w:t>
      </w:r>
      <w:proofErr w:type="spellEnd"/>
      <w:r w:rsidRPr="00714817">
        <w:rPr>
          <w:sz w:val="21"/>
          <w:szCs w:val="21"/>
        </w:rPr>
        <w:t>, “</w:t>
      </w:r>
      <w:r w:rsidRPr="00714817">
        <w:rPr>
          <w:i/>
          <w:sz w:val="21"/>
          <w:szCs w:val="21"/>
        </w:rPr>
        <w:t>La partecipazione al reato tra responsabilità per fatto proprio e responsabilità per fatto altrui</w:t>
      </w:r>
      <w:r w:rsidRPr="00714817">
        <w:rPr>
          <w:sz w:val="21"/>
          <w:szCs w:val="21"/>
        </w:rPr>
        <w:t xml:space="preserve">”, in Riv. </w:t>
      </w:r>
      <w:proofErr w:type="spellStart"/>
      <w:r w:rsidRPr="00714817">
        <w:rPr>
          <w:sz w:val="21"/>
          <w:szCs w:val="21"/>
        </w:rPr>
        <w:t>it</w:t>
      </w:r>
      <w:proofErr w:type="spellEnd"/>
      <w:r w:rsidRPr="00714817">
        <w:rPr>
          <w:sz w:val="21"/>
          <w:szCs w:val="21"/>
        </w:rPr>
        <w:t xml:space="preserve">. dir. proc. </w:t>
      </w:r>
      <w:proofErr w:type="spellStart"/>
      <w:r w:rsidRPr="00714817">
        <w:rPr>
          <w:sz w:val="21"/>
          <w:szCs w:val="21"/>
        </w:rPr>
        <w:t>pen</w:t>
      </w:r>
      <w:proofErr w:type="spellEnd"/>
      <w:r w:rsidRPr="00714817">
        <w:rPr>
          <w:sz w:val="21"/>
          <w:szCs w:val="21"/>
        </w:rPr>
        <w:t xml:space="preserve">., 1984; </w:t>
      </w:r>
      <w:r w:rsidRPr="00C96A9E">
        <w:rPr>
          <w:smallCaps/>
          <w:sz w:val="21"/>
          <w:szCs w:val="21"/>
        </w:rPr>
        <w:t>Fiandaca-Musco</w:t>
      </w:r>
      <w:r w:rsidRPr="00714817">
        <w:rPr>
          <w:sz w:val="21"/>
          <w:szCs w:val="21"/>
        </w:rPr>
        <w:t xml:space="preserve">, </w:t>
      </w:r>
      <w:r>
        <w:rPr>
          <w:sz w:val="21"/>
          <w:szCs w:val="21"/>
        </w:rPr>
        <w:t>op. cit.,</w:t>
      </w:r>
      <w:r w:rsidRPr="00714817">
        <w:rPr>
          <w:sz w:val="21"/>
          <w:szCs w:val="21"/>
        </w:rPr>
        <w:t xml:space="preserve"> p 507; </w:t>
      </w:r>
      <w:r w:rsidR="00480313">
        <w:rPr>
          <w:sz w:val="21"/>
          <w:szCs w:val="21"/>
        </w:rPr>
        <w:t>M</w:t>
      </w:r>
      <w:r w:rsidR="00480313" w:rsidRPr="00480313">
        <w:rPr>
          <w:smallCaps/>
          <w:sz w:val="21"/>
          <w:szCs w:val="21"/>
        </w:rPr>
        <w:t>antovani</w:t>
      </w:r>
      <w:r w:rsidRPr="00714817">
        <w:rPr>
          <w:sz w:val="21"/>
          <w:szCs w:val="21"/>
        </w:rPr>
        <w:t xml:space="preserve">, </w:t>
      </w:r>
      <w:r w:rsidR="00480313" w:rsidRPr="00480313">
        <w:rPr>
          <w:i/>
          <w:sz w:val="21"/>
          <w:szCs w:val="21"/>
        </w:rPr>
        <w:t>op cit.</w:t>
      </w:r>
      <w:r w:rsidR="00480313">
        <w:rPr>
          <w:sz w:val="21"/>
          <w:szCs w:val="21"/>
        </w:rPr>
        <w:t xml:space="preserve">, </w:t>
      </w:r>
      <w:r w:rsidRPr="00714817">
        <w:rPr>
          <w:sz w:val="21"/>
          <w:szCs w:val="21"/>
        </w:rPr>
        <w:t xml:space="preserve">pp. 136 </w:t>
      </w:r>
      <w:r w:rsidR="00392444">
        <w:rPr>
          <w:sz w:val="21"/>
          <w:szCs w:val="21"/>
        </w:rPr>
        <w:t xml:space="preserve">ss. </w:t>
      </w:r>
      <w:r w:rsidRPr="00714817">
        <w:rPr>
          <w:sz w:val="21"/>
          <w:szCs w:val="21"/>
        </w:rPr>
        <w:t xml:space="preserve">per il rapporto di causalità in generale e </w:t>
      </w:r>
      <w:r w:rsidR="00480313">
        <w:rPr>
          <w:sz w:val="21"/>
          <w:szCs w:val="21"/>
        </w:rPr>
        <w:t xml:space="preserve">p. </w:t>
      </w:r>
      <w:r w:rsidRPr="00714817">
        <w:rPr>
          <w:sz w:val="21"/>
          <w:szCs w:val="21"/>
        </w:rPr>
        <w:t>513 e seg.</w:t>
      </w:r>
    </w:p>
  </w:footnote>
  <w:footnote w:id="12">
    <w:p w14:paraId="23BE3B82" w14:textId="73CD37B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w:t>
      </w:r>
      <w:r w:rsidR="00480313" w:rsidRPr="00480313">
        <w:rPr>
          <w:smallCaps/>
          <w:sz w:val="21"/>
          <w:szCs w:val="21"/>
        </w:rPr>
        <w:t>Adami</w:t>
      </w:r>
      <w:r w:rsidRPr="00714817">
        <w:rPr>
          <w:sz w:val="21"/>
          <w:szCs w:val="21"/>
        </w:rPr>
        <w:t xml:space="preserve">, </w:t>
      </w:r>
      <w:r w:rsidRPr="00714817">
        <w:rPr>
          <w:i/>
          <w:iCs/>
          <w:sz w:val="21"/>
          <w:szCs w:val="21"/>
        </w:rPr>
        <w:t>Il concorso eventuale nei reati plurisoggettivi e in particolare nei reati associativi</w:t>
      </w:r>
      <w:r w:rsidRPr="00714817">
        <w:rPr>
          <w:sz w:val="21"/>
          <w:szCs w:val="21"/>
        </w:rPr>
        <w:t xml:space="preserve">, in </w:t>
      </w:r>
      <w:r>
        <w:rPr>
          <w:i/>
          <w:iCs/>
          <w:sz w:val="21"/>
          <w:szCs w:val="21"/>
        </w:rPr>
        <w:t>Cass.</w:t>
      </w:r>
      <w:r w:rsidRPr="00714817">
        <w:rPr>
          <w:sz w:val="21"/>
          <w:szCs w:val="21"/>
        </w:rPr>
        <w:t xml:space="preserve">, 1997, 2299; </w:t>
      </w:r>
      <w:proofErr w:type="spellStart"/>
      <w:r w:rsidR="00480313" w:rsidRPr="00480313">
        <w:rPr>
          <w:smallCaps/>
          <w:sz w:val="21"/>
          <w:szCs w:val="21"/>
        </w:rPr>
        <w:t>Bertrotta</w:t>
      </w:r>
      <w:proofErr w:type="spellEnd"/>
      <w:r w:rsidRPr="00714817">
        <w:rPr>
          <w:sz w:val="21"/>
          <w:szCs w:val="21"/>
        </w:rPr>
        <w:t xml:space="preserve">, </w:t>
      </w:r>
      <w:r w:rsidRPr="00714817">
        <w:rPr>
          <w:i/>
          <w:iCs/>
          <w:sz w:val="21"/>
          <w:szCs w:val="21"/>
        </w:rPr>
        <w:t>Concorso eventuale di persone e reati associativi</w:t>
      </w:r>
      <w:r w:rsidRPr="00714817">
        <w:rPr>
          <w:sz w:val="21"/>
          <w:szCs w:val="21"/>
        </w:rPr>
        <w:t xml:space="preserve">, in </w:t>
      </w:r>
      <w:r w:rsidRPr="00714817">
        <w:rPr>
          <w:i/>
          <w:iCs/>
          <w:sz w:val="21"/>
          <w:szCs w:val="21"/>
        </w:rPr>
        <w:t xml:space="preserve">Riv. </w:t>
      </w:r>
      <w:proofErr w:type="spellStart"/>
      <w:r w:rsidRPr="00714817">
        <w:rPr>
          <w:i/>
          <w:iCs/>
          <w:sz w:val="21"/>
          <w:szCs w:val="21"/>
        </w:rPr>
        <w:t>it</w:t>
      </w:r>
      <w:proofErr w:type="spellEnd"/>
      <w:r w:rsidRPr="00714817">
        <w:rPr>
          <w:i/>
          <w:iCs/>
          <w:sz w:val="21"/>
          <w:szCs w:val="21"/>
        </w:rPr>
        <w:t xml:space="preserve">. dir. proc. </w:t>
      </w:r>
      <w:proofErr w:type="spellStart"/>
      <w:r w:rsidRPr="00714817">
        <w:rPr>
          <w:i/>
          <w:iCs/>
          <w:sz w:val="21"/>
          <w:szCs w:val="21"/>
        </w:rPr>
        <w:t>pen</w:t>
      </w:r>
      <w:proofErr w:type="spellEnd"/>
      <w:r w:rsidRPr="00714817">
        <w:rPr>
          <w:i/>
          <w:iCs/>
          <w:sz w:val="21"/>
          <w:szCs w:val="21"/>
        </w:rPr>
        <w:t>.</w:t>
      </w:r>
      <w:r w:rsidRPr="00714817">
        <w:rPr>
          <w:sz w:val="21"/>
          <w:szCs w:val="21"/>
        </w:rPr>
        <w:t xml:space="preserve">, 1998, 1273; </w:t>
      </w:r>
      <w:r w:rsidR="00480313" w:rsidRPr="00480313">
        <w:rPr>
          <w:smallCaps/>
          <w:sz w:val="21"/>
          <w:szCs w:val="21"/>
        </w:rPr>
        <w:t>Garofoli-Montaruli</w:t>
      </w:r>
      <w:r w:rsidRPr="00714817">
        <w:rPr>
          <w:sz w:val="21"/>
          <w:szCs w:val="21"/>
        </w:rPr>
        <w:t>, “</w:t>
      </w:r>
      <w:r w:rsidRPr="00714817">
        <w:rPr>
          <w:i/>
          <w:sz w:val="21"/>
          <w:szCs w:val="21"/>
        </w:rPr>
        <w:t>Il concorso esterno in mafia: le ultime oscillazioni giurisprudenziali. Il patto politico mafioso</w:t>
      </w:r>
      <w:r w:rsidRPr="00714817">
        <w:rPr>
          <w:sz w:val="21"/>
          <w:szCs w:val="21"/>
        </w:rPr>
        <w:t xml:space="preserve">”, in Diritto &amp; formazione, 2002, vol. 2, fasc. 2, pp. 231-244. Per la giurisprudenza, </w:t>
      </w:r>
      <w:proofErr w:type="spellStart"/>
      <w:r w:rsidRPr="00714817">
        <w:rPr>
          <w:sz w:val="21"/>
          <w:szCs w:val="21"/>
        </w:rPr>
        <w:t>crf</w:t>
      </w:r>
      <w:proofErr w:type="spellEnd"/>
      <w:r w:rsidRPr="00714817">
        <w:rPr>
          <w:sz w:val="21"/>
          <w:szCs w:val="21"/>
        </w:rPr>
        <w:t xml:space="preserve">., ex multis, </w:t>
      </w:r>
      <w:r>
        <w:rPr>
          <w:i/>
          <w:sz w:val="21"/>
          <w:szCs w:val="21"/>
        </w:rPr>
        <w:t xml:space="preserve">Cass., </w:t>
      </w:r>
      <w:r w:rsidR="005D425E">
        <w:rPr>
          <w:i/>
          <w:sz w:val="21"/>
          <w:szCs w:val="21"/>
        </w:rPr>
        <w:t>sez.</w:t>
      </w:r>
      <w:r>
        <w:rPr>
          <w:i/>
          <w:sz w:val="21"/>
          <w:szCs w:val="21"/>
        </w:rPr>
        <w:t xml:space="preserve"> u</w:t>
      </w:r>
      <w:r w:rsidRPr="00714817">
        <w:rPr>
          <w:i/>
          <w:sz w:val="21"/>
          <w:szCs w:val="21"/>
        </w:rPr>
        <w:t>n.,</w:t>
      </w:r>
      <w:r w:rsidRPr="00714817">
        <w:rPr>
          <w:sz w:val="21"/>
          <w:szCs w:val="21"/>
        </w:rPr>
        <w:t xml:space="preserve"> sent. n. 21 del 22 e 23 novembre 1995 (per il concorso nei reati di banda armata, associazione sovversiva con finalità di terrorismo ed attentato con finalità terroristiche contestati per la “</w:t>
      </w:r>
      <w:r w:rsidRPr="00714817">
        <w:rPr>
          <w:i/>
          <w:sz w:val="21"/>
          <w:szCs w:val="21"/>
        </w:rPr>
        <w:t>strage di Bologna</w:t>
      </w:r>
      <w:r w:rsidRPr="00714817">
        <w:rPr>
          <w:sz w:val="21"/>
          <w:szCs w:val="21"/>
        </w:rPr>
        <w:t>” del 1980).</w:t>
      </w:r>
    </w:p>
  </w:footnote>
  <w:footnote w:id="13">
    <w:p w14:paraId="46E13B6D" w14:textId="6513537C"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giurisprudenza </w:t>
      </w:r>
      <w:proofErr w:type="spellStart"/>
      <w:r w:rsidRPr="00714817">
        <w:rPr>
          <w:sz w:val="21"/>
          <w:szCs w:val="21"/>
        </w:rPr>
        <w:t>crf</w:t>
      </w:r>
      <w:proofErr w:type="spellEnd"/>
      <w:r w:rsidRPr="00714817">
        <w:rPr>
          <w:sz w:val="21"/>
          <w:szCs w:val="21"/>
        </w:rPr>
        <w:t xml:space="preserve">. </w:t>
      </w:r>
      <w:r w:rsidR="005D425E">
        <w:rPr>
          <w:i/>
          <w:sz w:val="21"/>
          <w:szCs w:val="21"/>
        </w:rPr>
        <w:t>Cass. s</w:t>
      </w:r>
      <w:r w:rsidRPr="00714817">
        <w:rPr>
          <w:i/>
          <w:sz w:val="21"/>
          <w:szCs w:val="21"/>
        </w:rPr>
        <w:t>ez. I</w:t>
      </w:r>
      <w:r w:rsidRPr="00714817">
        <w:rPr>
          <w:sz w:val="21"/>
          <w:szCs w:val="21"/>
        </w:rPr>
        <w:t xml:space="preserve">, 27 giugno 1994 n. 2348, (ric. </w:t>
      </w:r>
      <w:r w:rsidRPr="00714817">
        <w:rPr>
          <w:i/>
          <w:sz w:val="21"/>
          <w:szCs w:val="21"/>
        </w:rPr>
        <w:t>Clementi</w:t>
      </w:r>
      <w:r w:rsidRPr="00714817">
        <w:rPr>
          <w:sz w:val="21"/>
          <w:szCs w:val="21"/>
        </w:rPr>
        <w:t>), che ha affrontato il noto caso dell’ex capomafia che istiga il figlio a lasciare la propria occupazione lavorativa per entrare nell'organizzazione criminosa. L’ipotesi viene tradizionalmente richiamata a sostegno dell’ammissibilità del concorso eventuale (del padre) di carattere morale nel reato di cui all'art. 416 bis c.p., materialmente commesso da terzi (il figlio).</w:t>
      </w:r>
    </w:p>
  </w:footnote>
  <w:footnote w:id="14">
    <w:p w14:paraId="26F8666B" w14:textId="5C98FE2B"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G. </w:t>
      </w:r>
      <w:proofErr w:type="spellStart"/>
      <w:r w:rsidR="00480313" w:rsidRPr="00480313">
        <w:rPr>
          <w:smallCaps/>
          <w:sz w:val="21"/>
          <w:szCs w:val="21"/>
        </w:rPr>
        <w:t>Bettiol</w:t>
      </w:r>
      <w:proofErr w:type="spellEnd"/>
      <w:r w:rsidR="00480313" w:rsidRPr="00480313">
        <w:rPr>
          <w:smallCaps/>
          <w:sz w:val="21"/>
          <w:szCs w:val="21"/>
        </w:rPr>
        <w:t>-</w:t>
      </w:r>
      <w:proofErr w:type="spellStart"/>
      <w:r w:rsidR="00480313" w:rsidRPr="00480313">
        <w:rPr>
          <w:smallCaps/>
          <w:sz w:val="21"/>
          <w:szCs w:val="21"/>
        </w:rPr>
        <w:t>Pettoello</w:t>
      </w:r>
      <w:proofErr w:type="spellEnd"/>
      <w:r w:rsidR="00480313" w:rsidRPr="00480313">
        <w:rPr>
          <w:smallCaps/>
          <w:sz w:val="21"/>
          <w:szCs w:val="21"/>
        </w:rPr>
        <w:t>-Mantovani</w:t>
      </w:r>
      <w:r w:rsidRPr="00714817">
        <w:rPr>
          <w:sz w:val="21"/>
          <w:szCs w:val="21"/>
        </w:rPr>
        <w:t>, “</w:t>
      </w:r>
      <w:r w:rsidRPr="00714817">
        <w:rPr>
          <w:i/>
          <w:sz w:val="21"/>
          <w:szCs w:val="21"/>
        </w:rPr>
        <w:t>Diritto Penale</w:t>
      </w:r>
      <w:r w:rsidRPr="00714817">
        <w:rPr>
          <w:sz w:val="21"/>
          <w:szCs w:val="21"/>
        </w:rPr>
        <w:t>”, Ed. XII, Cedam Editore, Padova, 1986, p. 643, che enuncia una nota</w:t>
      </w:r>
      <w:r>
        <w:rPr>
          <w:sz w:val="21"/>
          <w:szCs w:val="21"/>
        </w:rPr>
        <w:t xml:space="preserve"> definizione di partecipe come «</w:t>
      </w:r>
      <w:r w:rsidRPr="00714817">
        <w:rPr>
          <w:i/>
          <w:sz w:val="21"/>
          <w:szCs w:val="21"/>
        </w:rPr>
        <w:t>colui che concorre nella perpetrazione di un reato spiegando un’attività logicamente distinta da quella dell’autore principale, in quanto essa ricade nell’ambito delle norme incriminatrici secondarie a carattere estensivo concernenti la partecipazione</w:t>
      </w:r>
      <w:r>
        <w:rPr>
          <w:sz w:val="21"/>
          <w:szCs w:val="21"/>
        </w:rPr>
        <w:t>».</w:t>
      </w:r>
    </w:p>
  </w:footnote>
  <w:footnote w:id="15">
    <w:p w14:paraId="1FE3DD13" w14:textId="7594A914"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tal senso militerebbe la clausola di riserva prevista per i reati di assistenza agli associati ex art. </w:t>
      </w:r>
      <w:r w:rsidRPr="00714817">
        <w:rPr>
          <w:i/>
          <w:sz w:val="21"/>
          <w:szCs w:val="21"/>
        </w:rPr>
        <w:t>418</w:t>
      </w:r>
      <w:r w:rsidRPr="00714817">
        <w:rPr>
          <w:sz w:val="21"/>
          <w:szCs w:val="21"/>
        </w:rPr>
        <w:t xml:space="preserve"> c.p. e l’aggravante prescritta per il reato di favoreggiamento di cui all’art. </w:t>
      </w:r>
      <w:r w:rsidRPr="00714817">
        <w:rPr>
          <w:i/>
          <w:sz w:val="21"/>
          <w:szCs w:val="21"/>
        </w:rPr>
        <w:t>378, co. 2,</w:t>
      </w:r>
      <w:r w:rsidRPr="00714817">
        <w:rPr>
          <w:sz w:val="21"/>
          <w:szCs w:val="21"/>
        </w:rPr>
        <w:t xml:space="preserve"> c.p. nonchè l’art</w:t>
      </w:r>
      <w:r w:rsidRPr="00714817">
        <w:rPr>
          <w:i/>
          <w:sz w:val="21"/>
          <w:szCs w:val="21"/>
        </w:rPr>
        <w:t>. 7</w:t>
      </w:r>
      <w:r w:rsidRPr="00714817">
        <w:rPr>
          <w:sz w:val="21"/>
          <w:szCs w:val="21"/>
        </w:rPr>
        <w:t xml:space="preserve"> d.l. 13 maggio 1991. n. 152 (convertito in legge 12 luglio 1991, n. 203) che, per i delitti punibili con pena diversa dall’ergastolo, prescrive l’aggravamento della pena nel caso </w:t>
      </w:r>
      <w:r>
        <w:rPr>
          <w:sz w:val="21"/>
          <w:szCs w:val="21"/>
        </w:rPr>
        <w:t>in cui questi vengano commessi «</w:t>
      </w:r>
      <w:r w:rsidRPr="00714817">
        <w:rPr>
          <w:i/>
          <w:sz w:val="21"/>
          <w:szCs w:val="21"/>
        </w:rPr>
        <w:t>avvalendosi delle condizioni previste dall'art. 416- bis del codice penale ovvero al fine di agevolare l'attività delle associazioni previste dallo stesso articolo</w:t>
      </w:r>
      <w:r>
        <w:rPr>
          <w:sz w:val="21"/>
          <w:szCs w:val="21"/>
        </w:rPr>
        <w:t>»</w:t>
      </w:r>
      <w:r w:rsidRPr="00714817">
        <w:rPr>
          <w:sz w:val="21"/>
          <w:szCs w:val="21"/>
        </w:rPr>
        <w:t>.</w:t>
      </w:r>
    </w:p>
  </w:footnote>
  <w:footnote w:id="16">
    <w:p w14:paraId="669A9FA4" w14:textId="32CE927F" w:rsidR="00C96A9E" w:rsidRPr="00714817" w:rsidRDefault="00C96A9E" w:rsidP="00714817">
      <w:pPr>
        <w:pStyle w:val="Testonotaapidipagina"/>
        <w:jc w:val="both"/>
        <w:rPr>
          <w:sz w:val="21"/>
          <w:szCs w:val="21"/>
        </w:rPr>
      </w:pPr>
      <w:r w:rsidRPr="00714817">
        <w:rPr>
          <w:rStyle w:val="Rimandonotaapidipagina"/>
          <w:i/>
          <w:sz w:val="21"/>
          <w:szCs w:val="21"/>
        </w:rPr>
        <w:footnoteRef/>
      </w:r>
      <w:r w:rsidRPr="00714817">
        <w:rPr>
          <w:i/>
          <w:sz w:val="21"/>
          <w:szCs w:val="21"/>
        </w:rPr>
        <w:t xml:space="preserve"> </w:t>
      </w:r>
      <w:r>
        <w:rPr>
          <w:i/>
          <w:sz w:val="21"/>
          <w:szCs w:val="21"/>
        </w:rPr>
        <w:t>Cass.</w:t>
      </w:r>
      <w:r w:rsidRPr="00714817">
        <w:rPr>
          <w:i/>
          <w:sz w:val="21"/>
          <w:szCs w:val="21"/>
        </w:rPr>
        <w:t>, Sez. I</w:t>
      </w:r>
      <w:r w:rsidRPr="00714817">
        <w:rPr>
          <w:sz w:val="21"/>
          <w:szCs w:val="21"/>
        </w:rPr>
        <w:t>, sent. n.</w:t>
      </w:r>
      <w:r>
        <w:rPr>
          <w:sz w:val="21"/>
          <w:szCs w:val="21"/>
        </w:rPr>
        <w:t xml:space="preserve"> 8092 del 14 luglio 1987 (c.d. «</w:t>
      </w:r>
      <w:r w:rsidRPr="00714817">
        <w:rPr>
          <w:i/>
          <w:sz w:val="21"/>
          <w:szCs w:val="21"/>
        </w:rPr>
        <w:t>sentenza Cillari</w:t>
      </w:r>
      <w:r>
        <w:rPr>
          <w:sz w:val="21"/>
          <w:szCs w:val="21"/>
        </w:rPr>
        <w:t>»</w:t>
      </w:r>
      <w:r w:rsidRPr="00714817">
        <w:rPr>
          <w:sz w:val="21"/>
          <w:szCs w:val="21"/>
        </w:rPr>
        <w:t xml:space="preserve">) per la quale </w:t>
      </w:r>
      <w:r>
        <w:rPr>
          <w:sz w:val="21"/>
          <w:szCs w:val="21"/>
        </w:rPr>
        <w:t>«</w:t>
      </w:r>
      <w:r w:rsidRPr="00714817">
        <w:rPr>
          <w:i/>
          <w:sz w:val="21"/>
          <w:szCs w:val="21"/>
        </w:rPr>
        <w:t>la cosiddetta partecipazione esterna, che ai sensi dell'art. 110 c.p. renderebbe responsabile colui che pur non essendo formalmente entrato a far parte di una consorteria mafiosa abbia tuttavia prestato al sodalizio un proprio ed adeguato contributo con la consapevole volontà di operare perché lo stesso realizzasse i suoi scopi, si risolve, in realtà, nel fatto tipico della partecipazione punibile, la quale deve ritenersi integrata da ogni contributo apprezzabile effettivamente apportato alla vita dell'ente ed in vista del perseguimento dei suoi scopi, mediante una fattiva e consapevole condivisione della logica di intimidazione e di dipendenza personale propria del gruppo e nella consapevolezza del nesso causale del contributo stesso</w:t>
      </w:r>
      <w:r>
        <w:rPr>
          <w:sz w:val="21"/>
          <w:szCs w:val="21"/>
        </w:rPr>
        <w:t>»</w:t>
      </w:r>
      <w:r w:rsidRPr="00714817">
        <w:rPr>
          <w:sz w:val="21"/>
          <w:szCs w:val="21"/>
        </w:rPr>
        <w:t>.</w:t>
      </w:r>
    </w:p>
  </w:footnote>
  <w:footnote w:id="17">
    <w:p w14:paraId="15F84F4A" w14:textId="50BD7D6A"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w:t>
      </w:r>
      <w:r>
        <w:rPr>
          <w:i/>
          <w:sz w:val="21"/>
          <w:szCs w:val="21"/>
        </w:rPr>
        <w:t>Cass.</w:t>
      </w:r>
      <w:r w:rsidRPr="00714817">
        <w:rPr>
          <w:i/>
          <w:sz w:val="21"/>
          <w:szCs w:val="21"/>
        </w:rPr>
        <w:t>, Sez. I</w:t>
      </w:r>
      <w:r w:rsidRPr="00714817">
        <w:rPr>
          <w:sz w:val="21"/>
          <w:szCs w:val="21"/>
        </w:rPr>
        <w:t xml:space="preserve">, sent. n. 8864 del 1989 (ric. </w:t>
      </w:r>
      <w:r w:rsidRPr="00714817">
        <w:rPr>
          <w:i/>
          <w:sz w:val="21"/>
          <w:szCs w:val="21"/>
        </w:rPr>
        <w:t>Agostani</w:t>
      </w:r>
      <w:r w:rsidRPr="00714817">
        <w:rPr>
          <w:sz w:val="21"/>
          <w:szCs w:val="21"/>
        </w:rPr>
        <w:t xml:space="preserve">) per la quale </w:t>
      </w:r>
      <w:r>
        <w:rPr>
          <w:sz w:val="21"/>
          <w:szCs w:val="21"/>
        </w:rPr>
        <w:t>«</w:t>
      </w:r>
      <w:r w:rsidRPr="00714817">
        <w:rPr>
          <w:i/>
          <w:sz w:val="21"/>
          <w:szCs w:val="21"/>
        </w:rPr>
        <w:t>l'ipotesi concorsuale ai sensi dell'art. 110 c.p. non trova ingresso nello schema dell'art. 416 c.p. al di là del concorso morale e limitatamente ai soli casi di determinazione od istigazione a partecipare od a promuovere, costituire, organizzare l'associazione per delinquere. Pertanto, una condotta che concretamente favorisce le attività ed il perseguimento degli scopi sociali, posta in essere da un soggetto esterno al sodalizio, non potrà essere ritenuta condotta di partecipazione al reato associativo ove non sia accompagnata, non dalla mera connivenza, bensì dalla coscienza e volontà di raggiungere attraverso quegli atti, anche se di per se stessi leciti, pure i fini presi di mira dall'associazione e fatti propri, trattandosi, in tal caso non già di concorso nel reato di associazione, bensì di attività che realizza, perfezionandosi l'elemento soggettivo e quello oggettivo, il fatto tipico previsto dalla norma istitutiva della fattispecie associativa</w:t>
      </w:r>
      <w:r>
        <w:rPr>
          <w:sz w:val="21"/>
          <w:szCs w:val="21"/>
        </w:rPr>
        <w:t>»</w:t>
      </w:r>
      <w:r w:rsidRPr="00714817">
        <w:rPr>
          <w:sz w:val="21"/>
          <w:szCs w:val="21"/>
        </w:rPr>
        <w:t xml:space="preserve">. Nella medesima direzione interpretativa </w:t>
      </w:r>
      <w:proofErr w:type="spellStart"/>
      <w:r w:rsidRPr="00714817">
        <w:rPr>
          <w:sz w:val="21"/>
          <w:szCs w:val="21"/>
        </w:rPr>
        <w:t>crf</w:t>
      </w:r>
      <w:proofErr w:type="spellEnd"/>
      <w:r w:rsidRPr="00714817">
        <w:rPr>
          <w:sz w:val="21"/>
          <w:szCs w:val="21"/>
        </w:rPr>
        <w:t xml:space="preserve"> anche </w:t>
      </w:r>
      <w:r>
        <w:rPr>
          <w:i/>
          <w:sz w:val="21"/>
          <w:szCs w:val="21"/>
        </w:rPr>
        <w:t>Cass.</w:t>
      </w:r>
      <w:r w:rsidRPr="00714817">
        <w:rPr>
          <w:sz w:val="21"/>
          <w:szCs w:val="21"/>
        </w:rPr>
        <w:t xml:space="preserve"> </w:t>
      </w:r>
      <w:r w:rsidR="007D34CA">
        <w:rPr>
          <w:i/>
          <w:sz w:val="21"/>
          <w:szCs w:val="21"/>
        </w:rPr>
        <w:t>sez. I</w:t>
      </w:r>
      <w:r w:rsidR="007D34CA">
        <w:rPr>
          <w:sz w:val="21"/>
          <w:szCs w:val="21"/>
        </w:rPr>
        <w:t>,</w:t>
      </w:r>
      <w:r w:rsidRPr="00714817">
        <w:rPr>
          <w:sz w:val="21"/>
          <w:szCs w:val="21"/>
        </w:rPr>
        <w:t xml:space="preserve"> sent. nn. 2343 (ric. </w:t>
      </w:r>
      <w:r w:rsidRPr="00714817">
        <w:rPr>
          <w:i/>
          <w:sz w:val="21"/>
          <w:szCs w:val="21"/>
        </w:rPr>
        <w:t>Mattina</w:t>
      </w:r>
      <w:r w:rsidRPr="00714817">
        <w:rPr>
          <w:sz w:val="21"/>
          <w:szCs w:val="21"/>
        </w:rPr>
        <w:t xml:space="preserve">), 2348 (ric. </w:t>
      </w:r>
      <w:r w:rsidRPr="00714817">
        <w:rPr>
          <w:i/>
          <w:sz w:val="21"/>
          <w:szCs w:val="21"/>
        </w:rPr>
        <w:t>Clementi</w:t>
      </w:r>
      <w:r w:rsidRPr="00714817">
        <w:rPr>
          <w:sz w:val="21"/>
          <w:szCs w:val="21"/>
        </w:rPr>
        <w:t xml:space="preserve">) e 2699 (ric. </w:t>
      </w:r>
      <w:r w:rsidRPr="00714817">
        <w:rPr>
          <w:i/>
          <w:sz w:val="21"/>
          <w:szCs w:val="21"/>
        </w:rPr>
        <w:t>Della Corte</w:t>
      </w:r>
      <w:r w:rsidRPr="00714817">
        <w:rPr>
          <w:sz w:val="21"/>
          <w:szCs w:val="21"/>
        </w:rPr>
        <w:t xml:space="preserve">) del 1994 e </w:t>
      </w:r>
      <w:r>
        <w:rPr>
          <w:i/>
          <w:sz w:val="21"/>
          <w:szCs w:val="21"/>
        </w:rPr>
        <w:t>Cass.</w:t>
      </w:r>
      <w:r w:rsidRPr="00714817">
        <w:rPr>
          <w:sz w:val="21"/>
          <w:szCs w:val="21"/>
        </w:rPr>
        <w:t xml:space="preserve">, </w:t>
      </w:r>
      <w:r w:rsidR="007D34CA">
        <w:rPr>
          <w:i/>
          <w:sz w:val="21"/>
          <w:szCs w:val="21"/>
        </w:rPr>
        <w:t>s</w:t>
      </w:r>
      <w:r w:rsidRPr="00714817">
        <w:rPr>
          <w:i/>
          <w:sz w:val="21"/>
          <w:szCs w:val="21"/>
        </w:rPr>
        <w:t>ez. II</w:t>
      </w:r>
      <w:r w:rsidRPr="00714817">
        <w:rPr>
          <w:sz w:val="21"/>
          <w:szCs w:val="21"/>
        </w:rPr>
        <w:t xml:space="preserve">, sent. 4342 del 1994 (ric. </w:t>
      </w:r>
      <w:r w:rsidRPr="00714817">
        <w:rPr>
          <w:i/>
          <w:sz w:val="21"/>
          <w:szCs w:val="21"/>
        </w:rPr>
        <w:t>Cavallari</w:t>
      </w:r>
      <w:r w:rsidRPr="00714817">
        <w:rPr>
          <w:sz w:val="21"/>
          <w:szCs w:val="21"/>
        </w:rPr>
        <w:t>), quest’ultima argomentando, non sul piano della tipicità, ma</w:t>
      </w:r>
      <w:r>
        <w:rPr>
          <w:sz w:val="21"/>
          <w:szCs w:val="21"/>
        </w:rPr>
        <w:t xml:space="preserve"> su quello della colpevolezza: «</w:t>
      </w:r>
      <w:r w:rsidRPr="00714817">
        <w:rPr>
          <w:i/>
          <w:sz w:val="21"/>
          <w:szCs w:val="21"/>
        </w:rPr>
        <w:t>poiché i delitti di cui agli artt. 416 e 416 bis c.p. sono caratterizzati dal dolo specifico, e deve conseguentemente sussistere la volontà del concorrente di contribuire a realizzare gli scopi in vista dei quali è costituito ed opera il sodalizio criminoso, non può ipotizzarsi un concorso nel delitto associativo a titolo di dolo eventuale</w:t>
      </w:r>
      <w:r>
        <w:rPr>
          <w:sz w:val="21"/>
          <w:szCs w:val="21"/>
        </w:rPr>
        <w:t>»</w:t>
      </w:r>
      <w:r w:rsidRPr="00714817">
        <w:rPr>
          <w:sz w:val="21"/>
          <w:szCs w:val="21"/>
        </w:rPr>
        <w:t>.</w:t>
      </w:r>
    </w:p>
  </w:footnote>
  <w:footnote w:id="18">
    <w:p w14:paraId="7DE746D8" w14:textId="0D2C8E17"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r>
        <w:rPr>
          <w:i/>
          <w:sz w:val="21"/>
          <w:szCs w:val="21"/>
        </w:rPr>
        <w:t>Cass.</w:t>
      </w:r>
      <w:r w:rsidR="007D34CA">
        <w:rPr>
          <w:i/>
          <w:sz w:val="21"/>
          <w:szCs w:val="21"/>
        </w:rPr>
        <w:t xml:space="preserve"> Pen, s</w:t>
      </w:r>
      <w:r w:rsidRPr="00714817">
        <w:rPr>
          <w:i/>
          <w:sz w:val="21"/>
          <w:szCs w:val="21"/>
        </w:rPr>
        <w:t>ez. I</w:t>
      </w:r>
      <w:r w:rsidRPr="00714817">
        <w:rPr>
          <w:sz w:val="21"/>
          <w:szCs w:val="21"/>
        </w:rPr>
        <w:t xml:space="preserve">, sent. n. 3492 del 1988 (ric. </w:t>
      </w:r>
      <w:proofErr w:type="spellStart"/>
      <w:r w:rsidRPr="00714817">
        <w:rPr>
          <w:i/>
          <w:sz w:val="21"/>
          <w:szCs w:val="21"/>
        </w:rPr>
        <w:t>Altivalle</w:t>
      </w:r>
      <w:proofErr w:type="spellEnd"/>
      <w:r w:rsidRPr="00714817">
        <w:rPr>
          <w:sz w:val="21"/>
          <w:szCs w:val="21"/>
        </w:rPr>
        <w:t>) che richiama i requisiti per la configurazione della condotta par</w:t>
      </w:r>
      <w:r>
        <w:rPr>
          <w:sz w:val="21"/>
          <w:szCs w:val="21"/>
        </w:rPr>
        <w:t>tecipativa, ravvisandoli della «</w:t>
      </w:r>
      <w:r w:rsidRPr="00714817">
        <w:rPr>
          <w:i/>
          <w:sz w:val="21"/>
          <w:szCs w:val="21"/>
        </w:rPr>
        <w:t>affectio societatis scelerum</w:t>
      </w:r>
      <w:r>
        <w:rPr>
          <w:sz w:val="21"/>
          <w:szCs w:val="21"/>
        </w:rPr>
        <w:t>»</w:t>
      </w:r>
      <w:r w:rsidRPr="00714817">
        <w:rPr>
          <w:sz w:val="21"/>
          <w:szCs w:val="21"/>
        </w:rPr>
        <w:t xml:space="preserve"> e nell’effettivo in</w:t>
      </w:r>
      <w:r>
        <w:rPr>
          <w:sz w:val="21"/>
          <w:szCs w:val="21"/>
        </w:rPr>
        <w:t>serimento nell'organizzazione, «</w:t>
      </w:r>
      <w:r w:rsidRPr="00714817">
        <w:rPr>
          <w:i/>
          <w:sz w:val="21"/>
          <w:szCs w:val="21"/>
        </w:rPr>
        <w:t xml:space="preserve">che prescinde da formalità o riti che lo ufficializzano, ben potendo esso risultare per </w:t>
      </w:r>
      <w:proofErr w:type="spellStart"/>
      <w:r w:rsidRPr="00714817">
        <w:rPr>
          <w:i/>
          <w:iCs/>
          <w:sz w:val="21"/>
          <w:szCs w:val="21"/>
        </w:rPr>
        <w:t>facta</w:t>
      </w:r>
      <w:proofErr w:type="spellEnd"/>
      <w:r w:rsidRPr="00714817">
        <w:rPr>
          <w:i/>
          <w:iCs/>
          <w:sz w:val="21"/>
          <w:szCs w:val="21"/>
        </w:rPr>
        <w:t xml:space="preserve"> </w:t>
      </w:r>
      <w:proofErr w:type="spellStart"/>
      <w:r w:rsidRPr="00714817">
        <w:rPr>
          <w:i/>
          <w:iCs/>
          <w:sz w:val="21"/>
          <w:szCs w:val="21"/>
        </w:rPr>
        <w:t>concludentia</w:t>
      </w:r>
      <w:proofErr w:type="spellEnd"/>
      <w:r>
        <w:rPr>
          <w:iCs/>
          <w:sz w:val="21"/>
          <w:szCs w:val="21"/>
        </w:rPr>
        <w:t>»</w:t>
      </w:r>
      <w:r w:rsidRPr="00714817">
        <w:rPr>
          <w:iCs/>
          <w:sz w:val="21"/>
          <w:szCs w:val="21"/>
        </w:rPr>
        <w:t xml:space="preserve">. In conformità con riguardo agli esiti ermeneutici </w:t>
      </w:r>
      <w:proofErr w:type="spellStart"/>
      <w:r w:rsidRPr="00714817">
        <w:rPr>
          <w:iCs/>
          <w:sz w:val="21"/>
          <w:szCs w:val="21"/>
        </w:rPr>
        <w:t>crf</w:t>
      </w:r>
      <w:proofErr w:type="spellEnd"/>
      <w:r w:rsidRPr="00714817">
        <w:rPr>
          <w:iCs/>
          <w:sz w:val="21"/>
          <w:szCs w:val="21"/>
        </w:rPr>
        <w:t>.</w:t>
      </w:r>
      <w:r w:rsidRPr="00714817">
        <w:rPr>
          <w:sz w:val="21"/>
          <w:szCs w:val="21"/>
        </w:rPr>
        <w:t xml:space="preserve"> </w:t>
      </w:r>
      <w:r>
        <w:rPr>
          <w:i/>
          <w:sz w:val="21"/>
          <w:szCs w:val="21"/>
        </w:rPr>
        <w:t>Cass.</w:t>
      </w:r>
      <w:r w:rsidRPr="00714817">
        <w:rPr>
          <w:sz w:val="21"/>
          <w:szCs w:val="21"/>
        </w:rPr>
        <w:t xml:space="preserve">, </w:t>
      </w:r>
      <w:r w:rsidR="007D34CA">
        <w:rPr>
          <w:i/>
          <w:sz w:val="21"/>
          <w:szCs w:val="21"/>
        </w:rPr>
        <w:t>s</w:t>
      </w:r>
      <w:r w:rsidRPr="00714817">
        <w:rPr>
          <w:i/>
          <w:sz w:val="21"/>
          <w:szCs w:val="21"/>
        </w:rPr>
        <w:t>ez.</w:t>
      </w:r>
      <w:r w:rsidRPr="00714817">
        <w:rPr>
          <w:sz w:val="21"/>
          <w:szCs w:val="21"/>
        </w:rPr>
        <w:t xml:space="preserve"> I, sent. nn. 4805 del 1993 (proc. </w:t>
      </w:r>
      <w:r w:rsidRPr="00714817">
        <w:rPr>
          <w:i/>
          <w:sz w:val="21"/>
          <w:szCs w:val="21"/>
        </w:rPr>
        <w:t>Altomonte</w:t>
      </w:r>
      <w:r w:rsidRPr="00714817">
        <w:rPr>
          <w:sz w:val="21"/>
          <w:szCs w:val="21"/>
        </w:rPr>
        <w:t xml:space="preserve">) sent. n. 2902 del 1993 (ric. </w:t>
      </w:r>
      <w:proofErr w:type="spellStart"/>
      <w:r w:rsidRPr="00714817">
        <w:rPr>
          <w:i/>
          <w:sz w:val="21"/>
          <w:szCs w:val="21"/>
        </w:rPr>
        <w:t>Turiano</w:t>
      </w:r>
      <w:proofErr w:type="spellEnd"/>
      <w:r w:rsidRPr="00714817">
        <w:rPr>
          <w:sz w:val="21"/>
          <w:szCs w:val="21"/>
        </w:rPr>
        <w:t xml:space="preserve">) e </w:t>
      </w:r>
      <w:r>
        <w:rPr>
          <w:i/>
          <w:sz w:val="21"/>
          <w:szCs w:val="21"/>
        </w:rPr>
        <w:t>Cass.</w:t>
      </w:r>
      <w:r w:rsidR="007D34CA">
        <w:rPr>
          <w:i/>
          <w:sz w:val="21"/>
          <w:szCs w:val="21"/>
        </w:rPr>
        <w:t xml:space="preserve"> s</w:t>
      </w:r>
      <w:r w:rsidRPr="00714817">
        <w:rPr>
          <w:i/>
          <w:sz w:val="21"/>
          <w:szCs w:val="21"/>
        </w:rPr>
        <w:t>ez. Feriale</w:t>
      </w:r>
      <w:r w:rsidRPr="00714817">
        <w:rPr>
          <w:sz w:val="21"/>
          <w:szCs w:val="21"/>
        </w:rPr>
        <w:t xml:space="preserve">, sent. 31 agosto 1993 (ric. </w:t>
      </w:r>
      <w:r w:rsidRPr="00714817">
        <w:rPr>
          <w:i/>
          <w:sz w:val="21"/>
          <w:szCs w:val="21"/>
        </w:rPr>
        <w:t>Di Corrado</w:t>
      </w:r>
      <w:r w:rsidRPr="00714817">
        <w:rPr>
          <w:sz w:val="21"/>
          <w:szCs w:val="21"/>
        </w:rPr>
        <w:t xml:space="preserve">). Ammette il concorso esterno in associazione mafiosa ma nei limiti in cui il contributo resti isolato o, tutt’al più, episodico </w:t>
      </w:r>
      <w:r>
        <w:rPr>
          <w:i/>
          <w:sz w:val="21"/>
          <w:szCs w:val="21"/>
        </w:rPr>
        <w:t>Cass.</w:t>
      </w:r>
      <w:r w:rsidR="007D34CA">
        <w:rPr>
          <w:i/>
          <w:sz w:val="21"/>
          <w:szCs w:val="21"/>
        </w:rPr>
        <w:t>, s</w:t>
      </w:r>
      <w:r w:rsidRPr="00714817">
        <w:rPr>
          <w:i/>
          <w:sz w:val="21"/>
          <w:szCs w:val="21"/>
        </w:rPr>
        <w:t>ez. I</w:t>
      </w:r>
      <w:r w:rsidRPr="00714817">
        <w:rPr>
          <w:sz w:val="21"/>
          <w:szCs w:val="21"/>
        </w:rPr>
        <w:t xml:space="preserve">, sent. n. 9242 del 1988 (ric. </w:t>
      </w:r>
      <w:r w:rsidRPr="00714817">
        <w:rPr>
          <w:i/>
          <w:sz w:val="21"/>
          <w:szCs w:val="21"/>
        </w:rPr>
        <w:t>Barbella</w:t>
      </w:r>
      <w:r w:rsidRPr="00714817">
        <w:rPr>
          <w:sz w:val="21"/>
          <w:szCs w:val="21"/>
        </w:rPr>
        <w:t>).</w:t>
      </w:r>
    </w:p>
  </w:footnote>
  <w:footnote w:id="19">
    <w:p w14:paraId="2AD44A63" w14:textId="5B95D3A1"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r>
        <w:rPr>
          <w:i/>
          <w:sz w:val="21"/>
          <w:szCs w:val="21"/>
        </w:rPr>
        <w:t>Cass.</w:t>
      </w:r>
      <w:r w:rsidRPr="00714817">
        <w:rPr>
          <w:i/>
          <w:sz w:val="21"/>
          <w:szCs w:val="21"/>
        </w:rPr>
        <w:t xml:space="preserve">, </w:t>
      </w:r>
      <w:r>
        <w:rPr>
          <w:i/>
          <w:sz w:val="21"/>
          <w:szCs w:val="21"/>
        </w:rPr>
        <w:t xml:space="preserve">sez. un. </w:t>
      </w:r>
      <w:r w:rsidRPr="00714817">
        <w:rPr>
          <w:sz w:val="21"/>
          <w:szCs w:val="21"/>
        </w:rPr>
        <w:t xml:space="preserve"> n. 16 del 5 ottobre 1994 (ric. </w:t>
      </w:r>
      <w:r w:rsidRPr="00714817">
        <w:rPr>
          <w:i/>
          <w:sz w:val="21"/>
          <w:szCs w:val="21"/>
        </w:rPr>
        <w:t>Giuseppe Demitry</w:t>
      </w:r>
      <w:r w:rsidRPr="00714817">
        <w:rPr>
          <w:sz w:val="21"/>
          <w:szCs w:val="21"/>
        </w:rPr>
        <w:t>).</w:t>
      </w:r>
    </w:p>
  </w:footnote>
  <w:footnote w:id="20">
    <w:p w14:paraId="06622098" w14:textId="6C3C8AF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Le Sezioni Unite definisco</w:t>
      </w:r>
      <w:r>
        <w:rPr>
          <w:sz w:val="21"/>
          <w:szCs w:val="21"/>
        </w:rPr>
        <w:t>no il partecipe come colui che «</w:t>
      </w:r>
      <w:r w:rsidRPr="00714817">
        <w:rPr>
          <w:i/>
          <w:sz w:val="21"/>
          <w:szCs w:val="21"/>
        </w:rPr>
        <w:t>entra nell'associazione e ne diventa parte</w:t>
      </w:r>
      <w:r>
        <w:rPr>
          <w:sz w:val="21"/>
          <w:szCs w:val="21"/>
        </w:rPr>
        <w:t>»</w:t>
      </w:r>
      <w:r w:rsidRPr="00714817">
        <w:rPr>
          <w:sz w:val="21"/>
          <w:szCs w:val="21"/>
        </w:rPr>
        <w:t xml:space="preserve">. La Suprema Corte riflette sulla soluzione legislativa che ha optato per l’utilizzo </w:t>
      </w:r>
      <w:r>
        <w:rPr>
          <w:sz w:val="21"/>
          <w:szCs w:val="21"/>
        </w:rPr>
        <w:t>della locuzione «</w:t>
      </w:r>
      <w:r w:rsidRPr="00714817">
        <w:rPr>
          <w:i/>
          <w:sz w:val="21"/>
          <w:szCs w:val="21"/>
        </w:rPr>
        <w:t>far parte</w:t>
      </w:r>
      <w:r>
        <w:rPr>
          <w:sz w:val="21"/>
          <w:szCs w:val="21"/>
        </w:rPr>
        <w:t>»</w:t>
      </w:r>
      <w:r w:rsidRPr="00714817">
        <w:rPr>
          <w:sz w:val="21"/>
          <w:szCs w:val="21"/>
        </w:rPr>
        <w:t>, preferita alla tradizionale formula "</w:t>
      </w:r>
      <w:r w:rsidRPr="00714817">
        <w:rPr>
          <w:i/>
          <w:sz w:val="21"/>
          <w:szCs w:val="21"/>
        </w:rPr>
        <w:t>per il solo fatto di partecipare</w:t>
      </w:r>
      <w:r w:rsidRPr="00714817">
        <w:rPr>
          <w:sz w:val="21"/>
          <w:szCs w:val="21"/>
        </w:rPr>
        <w:t>", adottata in pressoché tutti gli altri reati associativ</w:t>
      </w:r>
      <w:r>
        <w:rPr>
          <w:sz w:val="21"/>
          <w:szCs w:val="21"/>
        </w:rPr>
        <w:t>i. In tal senso il legislatore «</w:t>
      </w:r>
      <w:r w:rsidRPr="00714817">
        <w:rPr>
          <w:i/>
          <w:sz w:val="21"/>
          <w:szCs w:val="21"/>
        </w:rPr>
        <w:t>ha avuto consapevolezza di una peculiare caratterizzazione del rapporto associato-associazione nel contesto mafioso, consapevolezza che si è tradotta normativamente in una maggiore tipizzazione della figura del partecipe</w:t>
      </w:r>
      <w:r>
        <w:rPr>
          <w:sz w:val="21"/>
          <w:szCs w:val="21"/>
        </w:rPr>
        <w:t>»</w:t>
      </w:r>
      <w:r w:rsidRPr="00714817">
        <w:rPr>
          <w:sz w:val="21"/>
          <w:szCs w:val="21"/>
        </w:rPr>
        <w:t xml:space="preserve">. La Suprema Corte ne inferisce per dirsi tipica ai sensi dell’art. 416-bis c.p. la condotta del soggetto agente deve manifestare un tale livello di compenetrazione </w:t>
      </w:r>
      <w:r>
        <w:rPr>
          <w:sz w:val="21"/>
          <w:szCs w:val="21"/>
        </w:rPr>
        <w:t>con l’organizzazione criminale «</w:t>
      </w:r>
      <w:r w:rsidRPr="00714817">
        <w:rPr>
          <w:i/>
          <w:sz w:val="21"/>
          <w:szCs w:val="21"/>
        </w:rPr>
        <w:t>da potersi sostenere che egli, appunto, faccia parte di esso</w:t>
      </w:r>
      <w:r>
        <w:rPr>
          <w:sz w:val="21"/>
          <w:szCs w:val="21"/>
        </w:rPr>
        <w:t>»</w:t>
      </w:r>
      <w:r w:rsidRPr="00714817">
        <w:rPr>
          <w:sz w:val="21"/>
          <w:szCs w:val="21"/>
        </w:rPr>
        <w:t>. L’intreccio delle relazioni può essere comprovata con differenti modalità, tra le quali vi rientra l</w:t>
      </w:r>
      <w:r>
        <w:rPr>
          <w:sz w:val="21"/>
          <w:szCs w:val="21"/>
        </w:rPr>
        <w:t>a chiamata in «</w:t>
      </w:r>
      <w:r w:rsidRPr="00714817">
        <w:rPr>
          <w:i/>
          <w:sz w:val="21"/>
          <w:szCs w:val="21"/>
        </w:rPr>
        <w:t>correità a più voci</w:t>
      </w:r>
      <w:r>
        <w:rPr>
          <w:sz w:val="21"/>
          <w:szCs w:val="21"/>
        </w:rPr>
        <w:t>»</w:t>
      </w:r>
      <w:r w:rsidRPr="00714817">
        <w:rPr>
          <w:sz w:val="21"/>
          <w:szCs w:val="21"/>
        </w:rPr>
        <w:t xml:space="preserve">, intesa alla identificazione del ruolo compiutamente rivestito dal soggetto agente. Pertanto, è attraverso i comportamenti del soggetto agente che è possibile qualificarne la posizione penalisticamente assunta. In tale prospettiva, colui che fa parte della associazione è chi apporta un contributo assiduo o quotidiano senza il quale </w:t>
      </w:r>
      <w:r>
        <w:rPr>
          <w:sz w:val="21"/>
          <w:szCs w:val="21"/>
        </w:rPr>
        <w:t>«</w:t>
      </w:r>
      <w:r w:rsidRPr="00714817">
        <w:rPr>
          <w:i/>
          <w:sz w:val="21"/>
          <w:szCs w:val="21"/>
        </w:rPr>
        <w:t>l'associazione non raggiunge i suoi scopi o non li raggiunge con la dovuta speditezza, il che apre la strada ad una vasta gamma di possibili partecipi, che vanno da coloro che si sono assunti o ai quali sono stati affidati compiti di maggiore responsabilità</w:t>
      </w:r>
      <w:r>
        <w:rPr>
          <w:sz w:val="21"/>
          <w:szCs w:val="21"/>
        </w:rPr>
        <w:t>»</w:t>
      </w:r>
    </w:p>
  </w:footnote>
  <w:footnote w:id="21">
    <w:p w14:paraId="52A81157" w14:textId="27AFD76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V. ultra, par. 3 per le argomentazioni in chiave “convenzionale” (CEDU) e</w:t>
      </w:r>
      <w:r>
        <w:rPr>
          <w:sz w:val="21"/>
          <w:szCs w:val="21"/>
        </w:rPr>
        <w:t xml:space="preserve"> par.</w:t>
      </w:r>
      <w:r w:rsidRPr="00714817">
        <w:rPr>
          <w:sz w:val="21"/>
          <w:szCs w:val="21"/>
        </w:rPr>
        <w:t xml:space="preserve"> 4 per una disamina delle ricadute interne di siffatta qualificazione.</w:t>
      </w:r>
    </w:p>
  </w:footnote>
  <w:footnote w:id="22">
    <w:p w14:paraId="65186AE9" w14:textId="3BDD9024"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Il fatto sul quale si è espressa la Suprema Corte afferiva allo svolgimento di una attività di intermediazione, svolta dall’imputato Giuseppe Demitry, tra un magistrato e un noto esponente di una associazione camorristica al fine di ottenere l’«</w:t>
      </w:r>
      <w:r w:rsidRPr="00714817">
        <w:rPr>
          <w:i/>
          <w:sz w:val="21"/>
          <w:szCs w:val="21"/>
        </w:rPr>
        <w:t>aggiustamento</w:t>
      </w:r>
      <w:r w:rsidRPr="00714817">
        <w:rPr>
          <w:sz w:val="21"/>
          <w:szCs w:val="21"/>
        </w:rPr>
        <w:t>» di un processo penale a carico dei membri del sodalizio criminoso.</w:t>
      </w:r>
    </w:p>
  </w:footnote>
  <w:footnote w:id="23">
    <w:p w14:paraId="0A8C7A3D" w14:textId="383C9A63" w:rsidR="00C96A9E" w:rsidRPr="00714817" w:rsidRDefault="00C96A9E" w:rsidP="00714817">
      <w:pPr>
        <w:pStyle w:val="Testonotaapidipagina"/>
        <w:jc w:val="both"/>
        <w:rPr>
          <w:i/>
          <w:sz w:val="21"/>
          <w:szCs w:val="21"/>
        </w:rPr>
      </w:pPr>
      <w:r w:rsidRPr="00714817">
        <w:rPr>
          <w:rStyle w:val="Rimandonotaapidipagina"/>
          <w:sz w:val="21"/>
          <w:szCs w:val="21"/>
        </w:rPr>
        <w:footnoteRef/>
      </w:r>
      <w:r w:rsidRPr="00714817">
        <w:rPr>
          <w:sz w:val="21"/>
          <w:szCs w:val="21"/>
        </w:rPr>
        <w:t xml:space="preserve"> In tal senso, la sentenza sancisce il principio per il quale il c</w:t>
      </w:r>
      <w:r>
        <w:rPr>
          <w:sz w:val="21"/>
          <w:szCs w:val="21"/>
        </w:rPr>
        <w:t>oncorrente esterno è colui che «</w:t>
      </w:r>
      <w:r w:rsidRPr="00714817">
        <w:rPr>
          <w:i/>
          <w:sz w:val="21"/>
          <w:szCs w:val="21"/>
        </w:rPr>
        <w:t>non vuole far parte dell’associazione e che l’associazione non chiama a "fa</w:t>
      </w:r>
      <w:r>
        <w:rPr>
          <w:i/>
          <w:sz w:val="21"/>
          <w:szCs w:val="21"/>
        </w:rPr>
        <w:t>r parte” ma al quale si rivolge»</w:t>
      </w:r>
      <w:r w:rsidRPr="00714817">
        <w:rPr>
          <w:i/>
          <w:sz w:val="21"/>
          <w:szCs w:val="21"/>
        </w:rPr>
        <w:t xml:space="preserve"> </w:t>
      </w:r>
      <w:r w:rsidRPr="00714817">
        <w:rPr>
          <w:sz w:val="21"/>
          <w:szCs w:val="21"/>
        </w:rPr>
        <w:t>al fine di “colmare temporanei vuoti” organizzativi o al fin</w:t>
      </w:r>
      <w:r>
        <w:rPr>
          <w:sz w:val="21"/>
          <w:szCs w:val="21"/>
        </w:rPr>
        <w:t>e di sopperire ad uno stato di «</w:t>
      </w:r>
      <w:r w:rsidRPr="00714817">
        <w:rPr>
          <w:i/>
          <w:sz w:val="21"/>
          <w:szCs w:val="21"/>
        </w:rPr>
        <w:t>fibrillazione</w:t>
      </w:r>
      <w:r>
        <w:rPr>
          <w:sz w:val="21"/>
          <w:szCs w:val="21"/>
        </w:rPr>
        <w:t>» patologica, «</w:t>
      </w:r>
      <w:r w:rsidRPr="00714817">
        <w:rPr>
          <w:i/>
          <w:sz w:val="21"/>
          <w:szCs w:val="21"/>
        </w:rPr>
        <w:t>che, per essere superata, esige il contributo temporaneo, limitato di un esterno</w:t>
      </w:r>
      <w:r>
        <w:rPr>
          <w:sz w:val="21"/>
          <w:szCs w:val="21"/>
        </w:rPr>
        <w:t>»</w:t>
      </w:r>
      <w:r w:rsidRPr="00714817">
        <w:rPr>
          <w:sz w:val="21"/>
          <w:szCs w:val="21"/>
        </w:rPr>
        <w:t>. Del resto, è utile considerare come l’associazione possa optare per l’attribuzione del ruolo di ausiliario per il superamento delle difficoltà (patologia) agli stessi associati. Ciò non sconfessa la premessa di fondo: lo spazio tipico del concorso eventuale materiale sta proprio nella “anormalità”, ossia nello stato emergenziale. In tal senso si apprezza la differenza con quella situazione, fisiologicamente normale, nella quale tradizionalmente operano gli associati. A supporto di tale considerazione la Suprema Corte riflette su come l’anormalità e la patologia possano esigere anche un solo contributo. L’apporto in questione può, dunque, (come evidenzia la dottrina favorevole alla configurabilità del concorso eventuale) essere anche episodico o estrinsecarsi in un unico, isolato intervento. Pertanto,</w:t>
      </w:r>
      <w:r>
        <w:rPr>
          <w:i/>
          <w:sz w:val="21"/>
          <w:szCs w:val="21"/>
        </w:rPr>
        <w:t xml:space="preserve"> «</w:t>
      </w:r>
      <w:r w:rsidRPr="00714817">
        <w:rPr>
          <w:i/>
          <w:sz w:val="21"/>
          <w:szCs w:val="21"/>
        </w:rPr>
        <w:t>ciò che conta, ciò che rileva è che quell’unico contributo serva per consentire all’associazione di mantenersi in vita, anche solo in un determinato settore, onde poter perseguire i propri scopi</w:t>
      </w:r>
      <w:r>
        <w:rPr>
          <w:sz w:val="21"/>
          <w:szCs w:val="21"/>
        </w:rPr>
        <w:t>».</w:t>
      </w:r>
    </w:p>
  </w:footnote>
  <w:footnote w:id="24">
    <w:p w14:paraId="1419D148" w14:textId="69FDCAC7"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Che rinviene la sua qualificazione soggettiva nella assenza della volontà di entrare a far parte dell’associazione di stampo mafioso, che a sua volta non intende assoldarlo o si vede rifiutata la proposta di adesione.</w:t>
      </w:r>
    </w:p>
  </w:footnote>
  <w:footnote w:id="25">
    <w:p w14:paraId="4236E36C" w14:textId="6142F5B7"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Giova rammentare come secondo un orientamento successivamente affermatosi nella giurisprudenza di legittimità (</w:t>
      </w:r>
      <w:proofErr w:type="spellStart"/>
      <w:r w:rsidRPr="00714817">
        <w:rPr>
          <w:sz w:val="21"/>
          <w:szCs w:val="21"/>
        </w:rPr>
        <w:t>crf</w:t>
      </w:r>
      <w:proofErr w:type="spellEnd"/>
      <w:r w:rsidRPr="00714817">
        <w:rPr>
          <w:sz w:val="21"/>
          <w:szCs w:val="21"/>
        </w:rPr>
        <w:t xml:space="preserve">. </w:t>
      </w:r>
      <w:r>
        <w:rPr>
          <w:i/>
          <w:sz w:val="21"/>
          <w:szCs w:val="21"/>
        </w:rPr>
        <w:t>Cass.</w:t>
      </w:r>
      <w:r w:rsidRPr="00714817">
        <w:rPr>
          <w:i/>
          <w:sz w:val="21"/>
          <w:szCs w:val="21"/>
        </w:rPr>
        <w:t xml:space="preserve"> Pen. </w:t>
      </w:r>
      <w:r>
        <w:rPr>
          <w:i/>
          <w:sz w:val="21"/>
          <w:szCs w:val="21"/>
        </w:rPr>
        <w:t>sez. un</w:t>
      </w:r>
      <w:proofErr w:type="gramStart"/>
      <w:r>
        <w:rPr>
          <w:i/>
          <w:sz w:val="21"/>
          <w:szCs w:val="21"/>
        </w:rPr>
        <w:t xml:space="preserve">. </w:t>
      </w:r>
      <w:r w:rsidRPr="00714817">
        <w:rPr>
          <w:i/>
          <w:sz w:val="21"/>
          <w:szCs w:val="21"/>
        </w:rPr>
        <w:t>,</w:t>
      </w:r>
      <w:proofErr w:type="gramEnd"/>
      <w:r w:rsidRPr="00714817">
        <w:rPr>
          <w:sz w:val="21"/>
          <w:szCs w:val="21"/>
        </w:rPr>
        <w:t xml:space="preserve"> sent. n. 30 del 27 settembre 1995, </w:t>
      </w:r>
      <w:proofErr w:type="spellStart"/>
      <w:r w:rsidRPr="00714817">
        <w:rPr>
          <w:sz w:val="21"/>
          <w:szCs w:val="21"/>
        </w:rPr>
        <w:t>ric</w:t>
      </w:r>
      <w:proofErr w:type="spellEnd"/>
      <w:r w:rsidRPr="00714817">
        <w:rPr>
          <w:sz w:val="21"/>
          <w:szCs w:val="21"/>
        </w:rPr>
        <w:t xml:space="preserve"> </w:t>
      </w:r>
      <w:r w:rsidRPr="00714817">
        <w:rPr>
          <w:i/>
          <w:sz w:val="21"/>
          <w:szCs w:val="21"/>
        </w:rPr>
        <w:t>Mannin</w:t>
      </w:r>
      <w:r w:rsidRPr="00714817">
        <w:rPr>
          <w:sz w:val="21"/>
          <w:szCs w:val="21"/>
        </w:rPr>
        <w:t>o) il concorrente esterno può essere animato da dolo specifico. Tuttavia, il coefficiente psicologico andrebbe correttamente inteso come volontà di “contribuire” al fine di consentire all’organizzazione criminale di raggiungere i propri fini.</w:t>
      </w:r>
    </w:p>
  </w:footnote>
  <w:footnote w:id="26">
    <w:p w14:paraId="5F9166E6" w14:textId="0F0DEA14"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r>
        <w:rPr>
          <w:i/>
          <w:sz w:val="21"/>
          <w:szCs w:val="21"/>
        </w:rPr>
        <w:t>Cass., sez. u</w:t>
      </w:r>
      <w:r w:rsidRPr="00714817">
        <w:rPr>
          <w:i/>
          <w:sz w:val="21"/>
          <w:szCs w:val="21"/>
        </w:rPr>
        <w:t>n</w:t>
      </w:r>
      <w:r w:rsidRPr="00714817">
        <w:rPr>
          <w:sz w:val="21"/>
          <w:szCs w:val="21"/>
        </w:rPr>
        <w:t>., sent. n. 22327 del 30 ottobre 2002 e depositata il 21maggio 2003.</w:t>
      </w:r>
    </w:p>
  </w:footnote>
  <w:footnote w:id="27">
    <w:p w14:paraId="1866DC1C" w14:textId="385115A2"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 Suprema Corte pone come premessa del proprio ragionamento l’individuazione della natura del contegno di partecipazione. Quest’ultimo non può essere qualificato come comportamento monosoggettivo. L’integrazione del delitto non può prescindere da una compenetrazione con le condotte degli altri associati. Sicchè, la condotta di partecipazione </w:t>
      </w:r>
      <w:r>
        <w:rPr>
          <w:sz w:val="21"/>
          <w:szCs w:val="21"/>
        </w:rPr>
        <w:t>«</w:t>
      </w:r>
      <w:r w:rsidRPr="00714817">
        <w:rPr>
          <w:i/>
          <w:sz w:val="21"/>
          <w:szCs w:val="21"/>
        </w:rPr>
        <w:t>tanto nel momento iniziale quanto in tutto il suo svolgimento, destinata a combinarsi con le condotte degli altri associati, in un'unione di forze per imprese che generalmente trascendono le capacità individuali</w:t>
      </w:r>
      <w:r>
        <w:rPr>
          <w:sz w:val="21"/>
          <w:szCs w:val="21"/>
        </w:rPr>
        <w:t>»</w:t>
      </w:r>
      <w:r w:rsidRPr="00714817">
        <w:rPr>
          <w:sz w:val="21"/>
          <w:szCs w:val="21"/>
        </w:rPr>
        <w:t xml:space="preserve">. </w:t>
      </w:r>
    </w:p>
  </w:footnote>
  <w:footnote w:id="28">
    <w:p w14:paraId="11F48E13" w14:textId="49C5812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Le maggiori difficoltà di qualificazione come concorrente eventuale in un reato a concorso necessario (associazione a delinquere, rissa etc.) rispetto ai reati a formulazione monosoggettiva (furto, omicidio, etc.) non depone per l’inammissibilità dell’istituto di cui all’art. 110 c.p. nelle fattispecie ass</w:t>
      </w:r>
      <w:r>
        <w:rPr>
          <w:sz w:val="21"/>
          <w:szCs w:val="21"/>
        </w:rPr>
        <w:t>ociative. In tal e prospettiva «</w:t>
      </w:r>
      <w:r w:rsidRPr="00714817">
        <w:rPr>
          <w:i/>
          <w:sz w:val="21"/>
          <w:szCs w:val="21"/>
        </w:rPr>
        <w:t>queste intuibili difficoltà non rendono perciò solo «indistinguibile» la condotta del concorrente da quella del partecipe</w:t>
      </w:r>
      <w:r w:rsidRPr="00714817">
        <w:rPr>
          <w:sz w:val="21"/>
          <w:szCs w:val="21"/>
        </w:rPr>
        <w:t>” purchè ciò avvenga nel rispetto del</w:t>
      </w:r>
      <w:r w:rsidRPr="00714817">
        <w:rPr>
          <w:i/>
          <w:sz w:val="21"/>
          <w:szCs w:val="21"/>
        </w:rPr>
        <w:t xml:space="preserve"> </w:t>
      </w:r>
      <w:r w:rsidRPr="00714817">
        <w:rPr>
          <w:sz w:val="21"/>
          <w:szCs w:val="21"/>
        </w:rPr>
        <w:t>“</w:t>
      </w:r>
      <w:r w:rsidRPr="00714817">
        <w:rPr>
          <w:i/>
          <w:sz w:val="21"/>
          <w:szCs w:val="21"/>
        </w:rPr>
        <w:t>principio di tassatività o determinatezza della fattispecie penale, che costituisce uno dei fondamenti dell'ordinamento</w:t>
      </w:r>
      <w:r>
        <w:rPr>
          <w:sz w:val="21"/>
          <w:szCs w:val="21"/>
        </w:rPr>
        <w:t>».  Ed invero, «</w:t>
      </w:r>
      <w:r w:rsidRPr="00714817">
        <w:rPr>
          <w:i/>
          <w:sz w:val="21"/>
          <w:szCs w:val="21"/>
        </w:rPr>
        <w:t xml:space="preserve">il grado di determinatezza, nel caso dell'art. 416 bis, è tutto sommato raggiunto, perché il legislatore, lungi dal limitarsi a rimandare ad un generico concetto di consorteria mafiosa, individua condotte sufficientemente tipizzate </w:t>
      </w:r>
      <w:r w:rsidR="00392444">
        <w:rPr>
          <w:sz w:val="21"/>
          <w:szCs w:val="21"/>
        </w:rPr>
        <w:t xml:space="preserve">[N.d.R. </w:t>
      </w:r>
      <w:proofErr w:type="spellStart"/>
      <w:r w:rsidR="00392444">
        <w:rPr>
          <w:sz w:val="21"/>
          <w:szCs w:val="21"/>
        </w:rPr>
        <w:t>crf</w:t>
      </w:r>
      <w:proofErr w:type="spellEnd"/>
      <w:r w:rsidR="00392444">
        <w:rPr>
          <w:sz w:val="21"/>
          <w:szCs w:val="21"/>
        </w:rPr>
        <w:t>.</w:t>
      </w:r>
      <w:r w:rsidRPr="00714817">
        <w:rPr>
          <w:sz w:val="21"/>
          <w:szCs w:val="21"/>
        </w:rPr>
        <w:t xml:space="preserve"> commi 1 e 2]</w:t>
      </w:r>
      <w:r w:rsidRPr="00714817">
        <w:rPr>
          <w:i/>
          <w:sz w:val="21"/>
          <w:szCs w:val="21"/>
        </w:rPr>
        <w:t xml:space="preserve"> onde la vocazione estensiva propria della norma di cui all'art. 110 c.p. appare pur sempre ancorata a precisi riferimenti normativi</w:t>
      </w:r>
      <w:r>
        <w:rPr>
          <w:sz w:val="21"/>
          <w:szCs w:val="21"/>
        </w:rPr>
        <w:t>»</w:t>
      </w:r>
      <w:r w:rsidRPr="00714817">
        <w:rPr>
          <w:sz w:val="21"/>
          <w:szCs w:val="21"/>
        </w:rPr>
        <w:t>.</w:t>
      </w:r>
    </w:p>
  </w:footnote>
  <w:footnote w:id="29">
    <w:p w14:paraId="3C8AFF03" w14:textId="382F1669"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 Suprema Cort</w:t>
      </w:r>
      <w:r>
        <w:rPr>
          <w:sz w:val="21"/>
          <w:szCs w:val="21"/>
        </w:rPr>
        <w:t>e riflette sul significato del «</w:t>
      </w:r>
      <w:r w:rsidRPr="00AE56BB">
        <w:rPr>
          <w:i/>
          <w:sz w:val="21"/>
          <w:szCs w:val="21"/>
        </w:rPr>
        <w:t>far parte</w:t>
      </w:r>
      <w:r>
        <w:rPr>
          <w:sz w:val="21"/>
          <w:szCs w:val="21"/>
        </w:rPr>
        <w:t>»</w:t>
      </w:r>
      <w:r w:rsidRPr="00714817">
        <w:rPr>
          <w:sz w:val="21"/>
          <w:szCs w:val="21"/>
        </w:rPr>
        <w:t xml:space="preserve">. Essa può essere qualificata come “strutturale inserimento” in una organizzazione nella quale il partecipe riveste un ruolo </w:t>
      </w:r>
      <w:r>
        <w:rPr>
          <w:sz w:val="21"/>
          <w:szCs w:val="21"/>
        </w:rPr>
        <w:t>materiale, «</w:t>
      </w:r>
      <w:r w:rsidRPr="00714817">
        <w:rPr>
          <w:i/>
          <w:sz w:val="21"/>
          <w:szCs w:val="21"/>
        </w:rPr>
        <w:t>manifestato da un impegno reciproco e costante, funzionalmente orientato alla struttura e alla attività dell'organizzazione criminosa</w:t>
      </w:r>
      <w:r>
        <w:rPr>
          <w:sz w:val="21"/>
          <w:szCs w:val="21"/>
        </w:rPr>
        <w:t>»</w:t>
      </w:r>
      <w:r w:rsidRPr="00714817">
        <w:rPr>
          <w:sz w:val="21"/>
          <w:szCs w:val="21"/>
        </w:rPr>
        <w:t>.</w:t>
      </w:r>
    </w:p>
  </w:footnote>
  <w:footnote w:id="30">
    <w:p w14:paraId="25C0D1D7" w14:textId="1B6D2D04"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Sotto il profilo psicologico ciò che muta è l’angolo visuale. Il concorrente esterno pone in essere una condotta atipica, ed è rispetto ad essa che va calibrata la qualificazione dell’elemento soggettivo. </w:t>
      </w:r>
    </w:p>
  </w:footnote>
  <w:footnote w:id="31">
    <w:p w14:paraId="5DED6861" w14:textId="27484FB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Una simile ipotesi, come avrà modo di precisarsi, (v. par. 4) deve raccordarsi al principio di diritto di cui all’art. 110 c.p. per il quale si concorre nel “medesimo reato”. Ne deriva che il presupposto per la correlazione è l’integrazione di una condotta conforme al dettato di cui all’art. 416-bis, comma 1, c.p. In tal senso a rilevare è dunque un contegno esterno che si raccordi al comportamento consistente nel “far parte” posto in essere dall’associato.    </w:t>
      </w:r>
    </w:p>
  </w:footnote>
  <w:footnote w:id="32">
    <w:p w14:paraId="7E0707B3" w14:textId="336B6BFF"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 quale aveva sancito il principio per il quale il concorrente esterno può essere consapevole di agevolare l’associazione mafiosa. Ciononostante l’extraneus può disinteressarsi della strategia complessiva di quest'ultima e degli obiettivi che la stessa si propone di conseguire. In tale prosp</w:t>
      </w:r>
      <w:r>
        <w:rPr>
          <w:sz w:val="21"/>
          <w:szCs w:val="21"/>
        </w:rPr>
        <w:t>ettiva, il concorrente esterno «</w:t>
      </w:r>
      <w:r w:rsidRPr="00714817">
        <w:rPr>
          <w:i/>
          <w:sz w:val="21"/>
          <w:szCs w:val="21"/>
        </w:rPr>
        <w:t>può anche avere la volontà di contribuire alla realizzazione dei fini dell'associazione, senza che questo faccia mutare il suo ruolo di esterno</w:t>
      </w:r>
      <w:r>
        <w:rPr>
          <w:sz w:val="21"/>
          <w:szCs w:val="21"/>
        </w:rPr>
        <w:t>»</w:t>
      </w:r>
      <w:r w:rsidRPr="00714817">
        <w:rPr>
          <w:sz w:val="21"/>
          <w:szCs w:val="21"/>
        </w:rPr>
        <w:t>.</w:t>
      </w:r>
    </w:p>
  </w:footnote>
  <w:footnote w:id="33">
    <w:p w14:paraId="43DFBD50" w14:textId="1521A981"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questa chiave ermeneutica la Suprema Corte perviene alla conclusione che, quanto al profilo soggettivo </w:t>
      </w:r>
      <w:r>
        <w:rPr>
          <w:sz w:val="21"/>
          <w:szCs w:val="21"/>
        </w:rPr>
        <w:t>della fattispecie concorsuale, «</w:t>
      </w:r>
      <w:r w:rsidRPr="00714817">
        <w:rPr>
          <w:i/>
          <w:sz w:val="21"/>
          <w:szCs w:val="21"/>
        </w:rPr>
        <w:t>in definitiva, il discrimine tra concorso e partecipazione risiede essenzialmente nel segmento dell'atteggiamento psicologico che riguarda la volontà di far parte dell'associazione</w:t>
      </w:r>
      <w:r>
        <w:rPr>
          <w:sz w:val="21"/>
          <w:szCs w:val="21"/>
        </w:rPr>
        <w:t>»</w:t>
      </w:r>
      <w:r w:rsidRPr="00714817">
        <w:rPr>
          <w:sz w:val="21"/>
          <w:szCs w:val="21"/>
        </w:rPr>
        <w:t>.</w:t>
      </w:r>
    </w:p>
  </w:footnote>
  <w:footnote w:id="34">
    <w:p w14:paraId="3338AC0A" w14:textId="70A2568B"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Ne deriva che, per le Sezioni Unite, in una logica di risultato, l’obiettivo finalistico cui mira la condotta atipica del concorrente esterno in nulla differisce rispetto allo scopo materiale informa la condotta tipica dell’associato. Ciò va assodato a prescindere dalla episodicità o continuità della prestazione. In tal senso</w:t>
      </w:r>
      <w:r>
        <w:rPr>
          <w:sz w:val="21"/>
          <w:szCs w:val="21"/>
        </w:rPr>
        <w:t>, con riguardo a tale condotta «</w:t>
      </w:r>
      <w:r w:rsidRPr="00714817">
        <w:rPr>
          <w:i/>
          <w:sz w:val="21"/>
          <w:szCs w:val="21"/>
        </w:rPr>
        <w:t>dovrà valutarsi esclusivamente se la pluralità o l'unica attività posta in essere, per il grado di concretezza e specificità che la distingue e per la rilevanza causale che esprime, possa ritenersi i</w:t>
      </w:r>
      <w:r>
        <w:rPr>
          <w:i/>
          <w:sz w:val="21"/>
          <w:szCs w:val="21"/>
        </w:rPr>
        <w:t>donea a conseguire il risultato»</w:t>
      </w:r>
      <w:r w:rsidRPr="00714817">
        <w:rPr>
          <w:sz w:val="21"/>
          <w:szCs w:val="21"/>
        </w:rPr>
        <w:t>.</w:t>
      </w:r>
    </w:p>
  </w:footnote>
  <w:footnote w:id="35">
    <w:p w14:paraId="21EE57EC" w14:textId="067C5D7B"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r>
        <w:rPr>
          <w:i/>
          <w:sz w:val="21"/>
          <w:szCs w:val="21"/>
        </w:rPr>
        <w:t>Cass., sez. u</w:t>
      </w:r>
      <w:r w:rsidRPr="00714817">
        <w:rPr>
          <w:i/>
          <w:sz w:val="21"/>
          <w:szCs w:val="21"/>
        </w:rPr>
        <w:t>n</w:t>
      </w:r>
      <w:r w:rsidRPr="00714817">
        <w:rPr>
          <w:sz w:val="21"/>
          <w:szCs w:val="21"/>
        </w:rPr>
        <w:t>., sent. n. 33748 del 12 luglio 2005.</w:t>
      </w:r>
    </w:p>
  </w:footnote>
  <w:footnote w:id="36">
    <w:p w14:paraId="28C202F8" w14:textId="610A8822" w:rsidR="00C96A9E" w:rsidRPr="00AE56BB" w:rsidRDefault="00C96A9E" w:rsidP="00714817">
      <w:pPr>
        <w:pStyle w:val="Testonotaapidipagina"/>
        <w:jc w:val="both"/>
        <w:rPr>
          <w:b/>
          <w:sz w:val="21"/>
          <w:szCs w:val="21"/>
        </w:rPr>
      </w:pPr>
      <w:r w:rsidRPr="00714817">
        <w:rPr>
          <w:rStyle w:val="Rimandonotaapidipagina"/>
          <w:sz w:val="21"/>
          <w:szCs w:val="21"/>
        </w:rPr>
        <w:footnoteRef/>
      </w:r>
      <w:r w:rsidRPr="00714817">
        <w:rPr>
          <w:sz w:val="21"/>
          <w:szCs w:val="21"/>
        </w:rPr>
        <w:t xml:space="preserve"> Secondo il capo d’imputazione Calogero Mannino</w:t>
      </w:r>
      <w:r>
        <w:rPr>
          <w:sz w:val="21"/>
          <w:szCs w:val="21"/>
        </w:rPr>
        <w:t xml:space="preserve"> è stato tratto a giudizio per «</w:t>
      </w:r>
      <w:r w:rsidRPr="00714817">
        <w:rPr>
          <w:i/>
          <w:sz w:val="21"/>
          <w:szCs w:val="21"/>
        </w:rPr>
        <w:t>per avere</w:t>
      </w:r>
      <w:r w:rsidRPr="00714817">
        <w:rPr>
          <w:sz w:val="21"/>
          <w:szCs w:val="21"/>
        </w:rPr>
        <w:t xml:space="preserve"> [sfruttato le sue qualità di esponente politico per contribuire] </w:t>
      </w:r>
      <w:r w:rsidRPr="00714817">
        <w:rPr>
          <w:i/>
          <w:sz w:val="21"/>
          <w:szCs w:val="21"/>
        </w:rPr>
        <w:t>sistematicamente e consapevolmente alle attività e al raggiungimento degli scopi criminali di Cosa nostra, mediante la strumentalizzazione della propria attività politica, nonché delle attività politiche ed amministrative di esponenti della stessa area, collocati in centri di potere istituzionale (amministratori comunali, provinciali e regionali) e sub-istituzionali (enti pubblici e privati) onde agevolare l’attribuzione di appalti, concessioni, licenze, finanziamenti, posti di lavoro ed altre utilità in favore di membri di organizzazioni criminali di stampo mafioso</w:t>
      </w:r>
      <w:r>
        <w:rPr>
          <w:sz w:val="21"/>
          <w:szCs w:val="21"/>
        </w:rPr>
        <w:t>»</w:t>
      </w:r>
      <w:r>
        <w:rPr>
          <w:i/>
          <w:sz w:val="21"/>
          <w:szCs w:val="21"/>
        </w:rPr>
        <w:t>.</w:t>
      </w:r>
    </w:p>
  </w:footnote>
  <w:footnote w:id="37">
    <w:p w14:paraId="3D190F2B" w14:textId="2D0F5CA5"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Il </w:t>
      </w:r>
      <w:r>
        <w:rPr>
          <w:sz w:val="21"/>
          <w:szCs w:val="21"/>
        </w:rPr>
        <w:t>«</w:t>
      </w:r>
      <w:r w:rsidRPr="00714817">
        <w:rPr>
          <w:i/>
          <w:sz w:val="21"/>
          <w:szCs w:val="21"/>
        </w:rPr>
        <w:t>far parte</w:t>
      </w:r>
      <w:r>
        <w:rPr>
          <w:sz w:val="21"/>
          <w:szCs w:val="21"/>
        </w:rPr>
        <w:t>»</w:t>
      </w:r>
      <w:r w:rsidRPr="00714817">
        <w:rPr>
          <w:sz w:val="21"/>
          <w:szCs w:val="21"/>
        </w:rPr>
        <w:t xml:space="preserve"> andrebbe più correttamente inteso in senso funzionalistico come il “</w:t>
      </w:r>
      <w:r w:rsidRPr="00714817">
        <w:rPr>
          <w:i/>
          <w:sz w:val="21"/>
          <w:szCs w:val="21"/>
        </w:rPr>
        <w:t>prendere parte</w:t>
      </w:r>
      <w:r w:rsidRPr="00714817">
        <w:rPr>
          <w:sz w:val="21"/>
          <w:szCs w:val="21"/>
        </w:rPr>
        <w:t>”, con una correlativa valorizzazione del ruolo effettivamente ricoperto nonché dei compiti che si è chiamati a svolgere affinché l’associazione raggiunga i suoi propositi criminosi, con la correlativa messa a disposizione per le attività predeterminate.</w:t>
      </w:r>
    </w:p>
  </w:footnote>
  <w:footnote w:id="38">
    <w:p w14:paraId="68829C44" w14:textId="68AB891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Con la precisazi</w:t>
      </w:r>
      <w:r>
        <w:rPr>
          <w:sz w:val="21"/>
          <w:szCs w:val="21"/>
        </w:rPr>
        <w:t>one, sul piano della tipicità, «</w:t>
      </w:r>
      <w:r w:rsidRPr="00714817">
        <w:rPr>
          <w:i/>
          <w:sz w:val="21"/>
          <w:szCs w:val="21"/>
        </w:rPr>
        <w:t>che questo abbia un’effettiva rilevanza causale ai fini della conservazione o del rafforzamento delle capacità operative dell’associazione (o, per quelle operanti su larga scala come “Cosa nostra”, di un suo particolare settore e ramo di attività o articolazione territoriale) e sia comunque diretto alla realizzazione, anche parziale, del programma criminoso della medesima</w:t>
      </w:r>
      <w:r>
        <w:rPr>
          <w:sz w:val="21"/>
          <w:szCs w:val="21"/>
        </w:rPr>
        <w:t>».</w:t>
      </w:r>
    </w:p>
  </w:footnote>
  <w:footnote w:id="39">
    <w:p w14:paraId="274074E9" w14:textId="403E4BA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 funzione incriminante spiegata dall’art. 110 c.p. presuppone che siano rispettati i principi che regolano l’istituto del concorso eventuale di persone. In tale prospettiva, le Sezioni Unite evidenziano l’indissolubile esigenza che sia integrato un doppio requisito. Per un verso, è necessaria la configurazione, nella forma tentata o consumata, tutti gli elementi del fatto tipico del reato descritto dalla fattispecie incriminatrice e che la condotta di concorso sia oggettivamente e soggettivamente collegata con quegli elementi (arg. 115 c.p.). Come secondo ineliminabile presupposto la Suprema Corte fa leva sul rispetto di una delle categorie più pregnanti del diritto penale: il nesso di causalità.</w:t>
      </w:r>
    </w:p>
  </w:footnote>
  <w:footnote w:id="40">
    <w:p w14:paraId="17879A6C" w14:textId="2B8BF263"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linea di continuità con il pregresso incedere argomentativo, il Supremo Consesso si addentra nella soluzione della rilevanza causale del contributo atipico di natura morale o materiale. Sicchè ciò che conta realmente è che tale apporto, ancorchè sinergicamente operante con i partecipanti interni, abbia sortito un reale</w:t>
      </w:r>
      <w:r>
        <w:rPr>
          <w:sz w:val="21"/>
          <w:szCs w:val="21"/>
        </w:rPr>
        <w:t xml:space="preserve"> influsso causale assurgendo a «</w:t>
      </w:r>
      <w:r w:rsidRPr="00714817">
        <w:rPr>
          <w:i/>
          <w:sz w:val="21"/>
          <w:szCs w:val="21"/>
        </w:rPr>
        <w:t>condizione necessaria  - secondo un modello unitario e indifferenziato, ispirato allo schema della condicio sine qua non proprio delle fattispecie a forma libera e causalmente orientate - per la concreta realizzazione del fatto criminoso collettivo e per la produzione dell’evento lesivo del bene giuridico protetto, che nella specie è costituito dall’integrità dell’ordine pubblico, violata dall’esistenza e dall’operatività del sodalizio e dal diffuso pericolo di attuazione dei delitti-scopo del programma criminoso</w:t>
      </w:r>
      <w:r>
        <w:rPr>
          <w:sz w:val="21"/>
          <w:szCs w:val="21"/>
        </w:rPr>
        <w:t>»</w:t>
      </w:r>
      <w:r w:rsidRPr="00714817">
        <w:rPr>
          <w:sz w:val="21"/>
          <w:szCs w:val="21"/>
        </w:rPr>
        <w:t>.</w:t>
      </w:r>
    </w:p>
  </w:footnote>
  <w:footnote w:id="41">
    <w:p w14:paraId="549A6936" w14:textId="661C6B50"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tale cornice esplicativa la Corte non ritiene affatto sufficiente che il contributo atipico, valutato secondo una prognosi di mera pericolosità ex ante, sia ritenuto idoneo ad incrementare il rischio o la probabilità di verificazione del </w:t>
      </w:r>
      <w:proofErr w:type="spellStart"/>
      <w:r w:rsidRPr="00714817">
        <w:rPr>
          <w:sz w:val="21"/>
          <w:szCs w:val="21"/>
        </w:rPr>
        <w:t>del</w:t>
      </w:r>
      <w:proofErr w:type="spellEnd"/>
      <w:r w:rsidRPr="00714817">
        <w:rPr>
          <w:sz w:val="21"/>
          <w:szCs w:val="21"/>
        </w:rPr>
        <w:t xml:space="preserve"> fatto di reato, Ciò che realmente rileva è il giudizio ex post. Ed invero è a quest’ultimo che spetta decretare, con una logica retrospettiva, “l’</w:t>
      </w:r>
      <w:proofErr w:type="spellStart"/>
      <w:r w:rsidRPr="00714817">
        <w:rPr>
          <w:sz w:val="21"/>
          <w:szCs w:val="21"/>
        </w:rPr>
        <w:t>exitus</w:t>
      </w:r>
      <w:proofErr w:type="spellEnd"/>
      <w:r w:rsidRPr="00714817">
        <w:rPr>
          <w:sz w:val="21"/>
          <w:szCs w:val="21"/>
        </w:rPr>
        <w:t xml:space="preserve"> causale”, esplicativo di come si sono realmente svolti i fatti (è possibile che un contegno perico</w:t>
      </w:r>
      <w:r>
        <w:rPr>
          <w:sz w:val="21"/>
          <w:szCs w:val="21"/>
        </w:rPr>
        <w:t>loso ex ante si riveli ex post «</w:t>
      </w:r>
      <w:r w:rsidRPr="00714817">
        <w:rPr>
          <w:i/>
          <w:sz w:val="21"/>
          <w:szCs w:val="21"/>
        </w:rPr>
        <w:t>ininfluente o addirittura controproducente per la verificazione dell’evento lesivo</w:t>
      </w:r>
      <w:r>
        <w:rPr>
          <w:sz w:val="21"/>
          <w:szCs w:val="21"/>
        </w:rPr>
        <w:t>»</w:t>
      </w:r>
      <w:r w:rsidRPr="00714817">
        <w:rPr>
          <w:sz w:val="21"/>
          <w:szCs w:val="21"/>
        </w:rPr>
        <w:t>.</w:t>
      </w:r>
    </w:p>
  </w:footnote>
  <w:footnote w:id="42">
    <w:p w14:paraId="4B7E346C" w14:textId="4E1D6C89" w:rsidR="00C96A9E" w:rsidRPr="00714817" w:rsidRDefault="00C96A9E" w:rsidP="00714817">
      <w:pPr>
        <w:pStyle w:val="Testonotaapidipagina"/>
        <w:jc w:val="both"/>
        <w:rPr>
          <w:sz w:val="21"/>
          <w:szCs w:val="21"/>
        </w:rPr>
      </w:pPr>
      <w:r w:rsidRPr="00714817">
        <w:rPr>
          <w:rStyle w:val="Rimandonotaapidipagina"/>
          <w:sz w:val="21"/>
          <w:szCs w:val="21"/>
        </w:rPr>
        <w:footnoteRef/>
      </w:r>
      <w:r w:rsidR="00D4103F">
        <w:rPr>
          <w:sz w:val="21"/>
          <w:szCs w:val="21"/>
        </w:rPr>
        <w:t xml:space="preserve"> Crf., ex multis, </w:t>
      </w:r>
      <w:proofErr w:type="spellStart"/>
      <w:r w:rsidR="00D4103F">
        <w:rPr>
          <w:sz w:val="21"/>
          <w:szCs w:val="21"/>
        </w:rPr>
        <w:t>c</w:t>
      </w:r>
      <w:r w:rsidRPr="00714817">
        <w:rPr>
          <w:sz w:val="21"/>
          <w:szCs w:val="21"/>
        </w:rPr>
        <w:t>rf</w:t>
      </w:r>
      <w:proofErr w:type="spellEnd"/>
      <w:r w:rsidRPr="00714817">
        <w:rPr>
          <w:sz w:val="21"/>
          <w:szCs w:val="21"/>
        </w:rPr>
        <w:t xml:space="preserve">. </w:t>
      </w:r>
      <w:r w:rsidRPr="00C96A9E">
        <w:rPr>
          <w:smallCaps/>
          <w:sz w:val="21"/>
          <w:szCs w:val="21"/>
        </w:rPr>
        <w:t>Fiandaca-Musco</w:t>
      </w:r>
      <w:r w:rsidRPr="00714817">
        <w:rPr>
          <w:sz w:val="21"/>
          <w:szCs w:val="21"/>
        </w:rPr>
        <w:t xml:space="preserve">, </w:t>
      </w:r>
      <w:r>
        <w:rPr>
          <w:sz w:val="21"/>
          <w:szCs w:val="21"/>
        </w:rPr>
        <w:t>op. cit.</w:t>
      </w:r>
      <w:r w:rsidR="00D4103F">
        <w:rPr>
          <w:sz w:val="21"/>
          <w:szCs w:val="21"/>
        </w:rPr>
        <w:t xml:space="preserve">, p. 361; e </w:t>
      </w:r>
      <w:r w:rsidR="00D4103F" w:rsidRPr="00D4103F">
        <w:rPr>
          <w:smallCaps/>
          <w:sz w:val="21"/>
          <w:szCs w:val="21"/>
        </w:rPr>
        <w:t>Marinucci-Dolcini</w:t>
      </w:r>
      <w:r w:rsidRPr="00714817">
        <w:rPr>
          <w:sz w:val="21"/>
          <w:szCs w:val="21"/>
        </w:rPr>
        <w:t xml:space="preserve"> “</w:t>
      </w:r>
      <w:r w:rsidRPr="00714817">
        <w:rPr>
          <w:i/>
          <w:sz w:val="21"/>
          <w:szCs w:val="21"/>
        </w:rPr>
        <w:t>Manuale di diritto penale: parte generale</w:t>
      </w:r>
      <w:r w:rsidRPr="00714817">
        <w:rPr>
          <w:sz w:val="21"/>
          <w:szCs w:val="21"/>
        </w:rPr>
        <w:t xml:space="preserve">”, IV </w:t>
      </w:r>
      <w:proofErr w:type="gramStart"/>
      <w:r w:rsidRPr="00714817">
        <w:rPr>
          <w:sz w:val="21"/>
          <w:szCs w:val="21"/>
        </w:rPr>
        <w:t>Ed</w:t>
      </w:r>
      <w:proofErr w:type="gramEnd"/>
      <w:r w:rsidRPr="00714817">
        <w:rPr>
          <w:sz w:val="21"/>
          <w:szCs w:val="21"/>
        </w:rPr>
        <w:t>, Giuffrè Editore, Milano, 2015, p. 326 e seg.</w:t>
      </w:r>
    </w:p>
  </w:footnote>
  <w:footnote w:id="43">
    <w:p w14:paraId="42EA693F" w14:textId="0B516FD1" w:rsidR="00C96A9E" w:rsidRPr="00714817" w:rsidRDefault="00C96A9E" w:rsidP="00714817">
      <w:pPr>
        <w:pStyle w:val="Testonotaapidipagina"/>
        <w:jc w:val="both"/>
        <w:rPr>
          <w:sz w:val="21"/>
          <w:szCs w:val="21"/>
        </w:rPr>
      </w:pPr>
      <w:r w:rsidRPr="00714817">
        <w:rPr>
          <w:rStyle w:val="Rimandonotaapidipagina"/>
          <w:sz w:val="21"/>
          <w:szCs w:val="21"/>
        </w:rPr>
        <w:footnoteRef/>
      </w:r>
      <w:r w:rsidR="00D4103F">
        <w:rPr>
          <w:sz w:val="21"/>
          <w:szCs w:val="21"/>
        </w:rPr>
        <w:t xml:space="preserve"> Crf., ex multis, </w:t>
      </w:r>
      <w:r w:rsidR="00D4103F" w:rsidRPr="00D4103F">
        <w:rPr>
          <w:smallCaps/>
          <w:sz w:val="21"/>
          <w:szCs w:val="21"/>
        </w:rPr>
        <w:t>Vassalli</w:t>
      </w:r>
      <w:r w:rsidRPr="00714817">
        <w:rPr>
          <w:sz w:val="21"/>
          <w:szCs w:val="21"/>
        </w:rPr>
        <w:t>, “</w:t>
      </w:r>
      <w:r w:rsidRPr="00714817">
        <w:rPr>
          <w:i/>
          <w:iCs/>
          <w:sz w:val="21"/>
          <w:szCs w:val="21"/>
        </w:rPr>
        <w:t>Note in margine alla riforma del concorso di persone nel reato</w:t>
      </w:r>
      <w:r w:rsidRPr="00714817">
        <w:rPr>
          <w:sz w:val="21"/>
          <w:szCs w:val="21"/>
        </w:rPr>
        <w:t xml:space="preserve">, in </w:t>
      </w:r>
      <w:r w:rsidRPr="00714817">
        <w:rPr>
          <w:i/>
          <w:iCs/>
          <w:sz w:val="21"/>
          <w:szCs w:val="21"/>
        </w:rPr>
        <w:t>Studi in onore di G. Marinucci”</w:t>
      </w:r>
      <w:r w:rsidRPr="00714817">
        <w:rPr>
          <w:sz w:val="21"/>
          <w:szCs w:val="21"/>
        </w:rPr>
        <w:t>, 2005, 1629;</w:t>
      </w:r>
    </w:p>
  </w:footnote>
  <w:footnote w:id="44">
    <w:p w14:paraId="29FCEDD1" w14:textId="329712E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Per una ricostruzione storica e l’inquadramento della teoria della qualificazione secondaria rispetto ad una fattispecie principale </w:t>
      </w:r>
      <w:proofErr w:type="spellStart"/>
      <w:r w:rsidRPr="00714817">
        <w:rPr>
          <w:sz w:val="21"/>
          <w:szCs w:val="21"/>
        </w:rPr>
        <w:t>crf</w:t>
      </w:r>
      <w:proofErr w:type="spellEnd"/>
      <w:r w:rsidRPr="00714817">
        <w:rPr>
          <w:sz w:val="21"/>
          <w:szCs w:val="21"/>
        </w:rPr>
        <w:t xml:space="preserve">. </w:t>
      </w:r>
      <w:r w:rsidR="00D4103F" w:rsidRPr="00D4103F">
        <w:rPr>
          <w:smallCaps/>
          <w:sz w:val="21"/>
          <w:szCs w:val="21"/>
        </w:rPr>
        <w:t>Padovani</w:t>
      </w:r>
      <w:r w:rsidRPr="00714817">
        <w:rPr>
          <w:sz w:val="21"/>
          <w:szCs w:val="21"/>
        </w:rPr>
        <w:t>, “</w:t>
      </w:r>
      <w:r w:rsidRPr="00714817">
        <w:rPr>
          <w:i/>
          <w:sz w:val="21"/>
          <w:szCs w:val="21"/>
        </w:rPr>
        <w:t>Diritto Penale</w:t>
      </w:r>
      <w:r w:rsidRPr="00714817">
        <w:rPr>
          <w:sz w:val="21"/>
          <w:szCs w:val="21"/>
        </w:rPr>
        <w:t xml:space="preserve">”, X </w:t>
      </w:r>
      <w:proofErr w:type="gramStart"/>
      <w:r w:rsidRPr="00714817">
        <w:rPr>
          <w:sz w:val="21"/>
          <w:szCs w:val="21"/>
        </w:rPr>
        <w:t>Ed</w:t>
      </w:r>
      <w:proofErr w:type="gramEnd"/>
      <w:r w:rsidRPr="00714817">
        <w:rPr>
          <w:sz w:val="21"/>
          <w:szCs w:val="21"/>
        </w:rPr>
        <w:t>, Giuffrè Editore, Milano, 2012, pp. 289</w:t>
      </w:r>
      <w:r>
        <w:rPr>
          <w:sz w:val="21"/>
          <w:szCs w:val="21"/>
        </w:rPr>
        <w:t xml:space="preserve"> </w:t>
      </w:r>
      <w:r w:rsidR="00392444">
        <w:rPr>
          <w:sz w:val="21"/>
          <w:szCs w:val="21"/>
        </w:rPr>
        <w:t>ss.</w:t>
      </w:r>
    </w:p>
  </w:footnote>
  <w:footnote w:id="45">
    <w:p w14:paraId="3245575F" w14:textId="19DC878B"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Ne co</w:t>
      </w:r>
      <w:r>
        <w:rPr>
          <w:sz w:val="21"/>
          <w:szCs w:val="21"/>
        </w:rPr>
        <w:t>nsegue come, ancorchè privo di «</w:t>
      </w:r>
      <w:r w:rsidRPr="00714817">
        <w:rPr>
          <w:i/>
          <w:sz w:val="21"/>
          <w:szCs w:val="21"/>
        </w:rPr>
        <w:t>affectio societatis</w:t>
      </w:r>
      <w:r>
        <w:rPr>
          <w:sz w:val="21"/>
          <w:szCs w:val="21"/>
        </w:rPr>
        <w:t>»</w:t>
      </w:r>
      <w:r w:rsidRPr="00714817">
        <w:rPr>
          <w:sz w:val="21"/>
          <w:szCs w:val="21"/>
        </w:rPr>
        <w:t xml:space="preserve"> il concorrente esterno sia comunque un soggetto che opera</w:t>
      </w:r>
      <w:r>
        <w:rPr>
          <w:sz w:val="21"/>
          <w:szCs w:val="21"/>
        </w:rPr>
        <w:t xml:space="preserve"> con cognizione di causa. Egli «</w:t>
      </w:r>
      <w:r w:rsidRPr="00AE56BB">
        <w:rPr>
          <w:i/>
          <w:sz w:val="21"/>
          <w:szCs w:val="21"/>
        </w:rPr>
        <w:t>sa</w:t>
      </w:r>
      <w:r>
        <w:rPr>
          <w:sz w:val="21"/>
          <w:szCs w:val="21"/>
        </w:rPr>
        <w:t>»</w:t>
      </w:r>
      <w:r w:rsidRPr="00714817">
        <w:rPr>
          <w:sz w:val="21"/>
          <w:szCs w:val="21"/>
        </w:rPr>
        <w:t xml:space="preserve"> con quali metodi l’organizzaz</w:t>
      </w:r>
      <w:r>
        <w:rPr>
          <w:sz w:val="21"/>
          <w:szCs w:val="21"/>
        </w:rPr>
        <w:t>ione opera. Ciononostante egli «</w:t>
      </w:r>
      <w:r w:rsidRPr="00AE56BB">
        <w:rPr>
          <w:i/>
          <w:sz w:val="21"/>
          <w:szCs w:val="21"/>
        </w:rPr>
        <w:t>vuole</w:t>
      </w:r>
      <w:r>
        <w:rPr>
          <w:sz w:val="21"/>
          <w:szCs w:val="21"/>
        </w:rPr>
        <w:t>»</w:t>
      </w:r>
      <w:r w:rsidRPr="00714817">
        <w:rPr>
          <w:sz w:val="21"/>
          <w:szCs w:val="21"/>
        </w:rPr>
        <w:t xml:space="preserve"> apportare un contributo, della cui rilevanza causale (in termini di conservazione e rafforzamento associativo nonché di realizzazione, anche parziale, del programma criminoso) è consapevole.</w:t>
      </w:r>
    </w:p>
  </w:footnote>
  <w:footnote w:id="46">
    <w:p w14:paraId="4B778DA4" w14:textId="0DBBF01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Con maggiore sforzo esplicativo la Corte evidenzia la fungibile qualificazione del comportament</w:t>
      </w:r>
      <w:r>
        <w:rPr>
          <w:sz w:val="21"/>
          <w:szCs w:val="21"/>
        </w:rPr>
        <w:t>o dell’estraneo, nel senso che «</w:t>
      </w:r>
      <w:r w:rsidRPr="00714817">
        <w:rPr>
          <w:i/>
          <w:sz w:val="21"/>
          <w:szCs w:val="21"/>
        </w:rPr>
        <w:t>la condotta atipica, se obiettivamente significativa</w:t>
      </w:r>
      <w:r>
        <w:rPr>
          <w:sz w:val="21"/>
          <w:szCs w:val="21"/>
        </w:rPr>
        <w:t>»</w:t>
      </w:r>
      <w:r w:rsidRPr="00714817">
        <w:rPr>
          <w:sz w:val="21"/>
          <w:szCs w:val="21"/>
        </w:rPr>
        <w:t>, a prescindere dalla sua efficienza materiale, è comunque in grado di determinare</w:t>
      </w:r>
      <w:r w:rsidRPr="00714817">
        <w:rPr>
          <w:i/>
          <w:sz w:val="21"/>
          <w:szCs w:val="21"/>
        </w:rPr>
        <w:t xml:space="preserve"> </w:t>
      </w:r>
      <w:r>
        <w:rPr>
          <w:sz w:val="21"/>
          <w:szCs w:val="21"/>
        </w:rPr>
        <w:t>«</w:t>
      </w:r>
      <w:r w:rsidRPr="00714817">
        <w:rPr>
          <w:i/>
          <w:sz w:val="21"/>
          <w:szCs w:val="21"/>
        </w:rPr>
        <w:t>nei membri dell’associazione criminosa la fiduciosa consapevolezza di poter contare sul sicuro apporto del concorrente esterno, e quindi un reale effetto vantaggioso per la struttura organizzativa della stessa</w:t>
      </w:r>
      <w:r>
        <w:rPr>
          <w:sz w:val="21"/>
          <w:szCs w:val="21"/>
        </w:rPr>
        <w:t>»</w:t>
      </w:r>
      <w:r w:rsidRPr="00714817">
        <w:rPr>
          <w:sz w:val="21"/>
          <w:szCs w:val="21"/>
        </w:rPr>
        <w:t>.</w:t>
      </w:r>
    </w:p>
  </w:footnote>
  <w:footnote w:id="47">
    <w:p w14:paraId="317A52AC" w14:textId="7CD2BBD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r>
        <w:rPr>
          <w:i/>
          <w:sz w:val="21"/>
          <w:szCs w:val="21"/>
        </w:rPr>
        <w:t>Cass.</w:t>
      </w:r>
      <w:r w:rsidR="007D34CA">
        <w:rPr>
          <w:bCs/>
          <w:i/>
          <w:sz w:val="21"/>
          <w:szCs w:val="21"/>
        </w:rPr>
        <w:t>, s</w:t>
      </w:r>
      <w:r w:rsidRPr="00714817">
        <w:rPr>
          <w:bCs/>
          <w:i/>
          <w:sz w:val="21"/>
          <w:szCs w:val="21"/>
        </w:rPr>
        <w:t>ez. V</w:t>
      </w:r>
      <w:r w:rsidRPr="00714817">
        <w:rPr>
          <w:bCs/>
          <w:sz w:val="21"/>
          <w:szCs w:val="21"/>
        </w:rPr>
        <w:t>, 9 marzo 2012 (</w:t>
      </w:r>
      <w:proofErr w:type="spellStart"/>
      <w:r w:rsidRPr="00714817">
        <w:rPr>
          <w:bCs/>
          <w:sz w:val="21"/>
          <w:szCs w:val="21"/>
        </w:rPr>
        <w:t>dep</w:t>
      </w:r>
      <w:proofErr w:type="spellEnd"/>
      <w:r w:rsidRPr="00714817">
        <w:rPr>
          <w:bCs/>
          <w:sz w:val="21"/>
          <w:szCs w:val="21"/>
        </w:rPr>
        <w:t>. 24 aprile 2012), n. 15727,</w:t>
      </w:r>
    </w:p>
  </w:footnote>
  <w:footnote w:id="48">
    <w:p w14:paraId="18A8D200" w14:textId="00A2F58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Si rammenti come parte della dottrina ravvisi nella fattispecie di concorso eventuale nel reato associativo una fattispecie di “</w:t>
      </w:r>
      <w:r w:rsidRPr="00714817">
        <w:rPr>
          <w:i/>
          <w:sz w:val="21"/>
          <w:szCs w:val="21"/>
        </w:rPr>
        <w:t>reato eventualmente permanente</w:t>
      </w:r>
      <w:r w:rsidRPr="00714817">
        <w:rPr>
          <w:sz w:val="21"/>
          <w:szCs w:val="21"/>
        </w:rPr>
        <w:t>” (</w:t>
      </w:r>
      <w:proofErr w:type="spellStart"/>
      <w:r w:rsidRPr="00714817">
        <w:rPr>
          <w:sz w:val="21"/>
          <w:szCs w:val="21"/>
        </w:rPr>
        <w:t>crf</w:t>
      </w:r>
      <w:proofErr w:type="spellEnd"/>
      <w:r w:rsidRPr="00714817">
        <w:rPr>
          <w:sz w:val="21"/>
          <w:szCs w:val="21"/>
        </w:rPr>
        <w:t xml:space="preserve">. </w:t>
      </w:r>
      <w:proofErr w:type="spellStart"/>
      <w:r w:rsidRPr="00714817">
        <w:rPr>
          <w:sz w:val="21"/>
          <w:szCs w:val="21"/>
        </w:rPr>
        <w:t>pp</w:t>
      </w:r>
      <w:proofErr w:type="spellEnd"/>
      <w:r w:rsidRPr="00714817">
        <w:rPr>
          <w:sz w:val="21"/>
          <w:szCs w:val="21"/>
        </w:rPr>
        <w:t xml:space="preserve"> 117-118 della</w:t>
      </w:r>
      <w:r w:rsidR="007D34CA">
        <w:rPr>
          <w:sz w:val="21"/>
          <w:szCs w:val="21"/>
        </w:rPr>
        <w:t xml:space="preserve"> sentenza in oggetto). Di talché</w:t>
      </w:r>
      <w:r w:rsidRPr="00714817">
        <w:rPr>
          <w:sz w:val="21"/>
          <w:szCs w:val="21"/>
        </w:rPr>
        <w:t xml:space="preserve"> la sua effettiva natura dipende dal concreto manifestarsi della fattispecie. La Cassazione si occupa di una peculiare attuazione del proposito delittuoso, consistente nella attività di mediazione e promozione di un accordo tra la realtà imprenditoriale e il mondo mafioso. Si tratta, dunque di una fenomenologia criminosa che vive in una dimensione temporale di durata per la quale il reato si protrae fin tanto che non giunga ad esaurimento il programma delle attività concordate.  </w:t>
      </w:r>
    </w:p>
  </w:footnote>
  <w:footnote w:id="49">
    <w:p w14:paraId="4F54D3AF" w14:textId="33998138"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i/>
          <w:sz w:val="21"/>
          <w:szCs w:val="21"/>
        </w:rPr>
        <w:t xml:space="preserve"> </w:t>
      </w:r>
      <w:r w:rsidR="007D34CA">
        <w:rPr>
          <w:i/>
          <w:sz w:val="21"/>
          <w:szCs w:val="21"/>
        </w:rPr>
        <w:t>Cass</w:t>
      </w:r>
      <w:r w:rsidR="007D34CA">
        <w:rPr>
          <w:bCs/>
          <w:i/>
          <w:sz w:val="21"/>
          <w:szCs w:val="21"/>
        </w:rPr>
        <w:t>, s</w:t>
      </w:r>
      <w:r w:rsidRPr="00714817">
        <w:rPr>
          <w:bCs/>
          <w:i/>
          <w:sz w:val="21"/>
          <w:szCs w:val="21"/>
        </w:rPr>
        <w:t>ez. I</w:t>
      </w:r>
      <w:r w:rsidRPr="00714817">
        <w:rPr>
          <w:bCs/>
          <w:sz w:val="21"/>
          <w:szCs w:val="21"/>
        </w:rPr>
        <w:t>, sent. n. 28225 del 9 maggio 2014 (</w:t>
      </w:r>
      <w:proofErr w:type="spellStart"/>
      <w:r w:rsidRPr="00714817">
        <w:rPr>
          <w:bCs/>
          <w:sz w:val="21"/>
          <w:szCs w:val="21"/>
        </w:rPr>
        <w:t>dep</w:t>
      </w:r>
      <w:proofErr w:type="spellEnd"/>
      <w:r w:rsidRPr="00714817">
        <w:rPr>
          <w:bCs/>
          <w:sz w:val="21"/>
          <w:szCs w:val="21"/>
        </w:rPr>
        <w:t>. 1 luglio 2014).</w:t>
      </w:r>
    </w:p>
  </w:footnote>
  <w:footnote w:id="50">
    <w:p w14:paraId="1E07DEE4" w14:textId="56C8AC43"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Adottando un approccio di </w:t>
      </w:r>
      <w:proofErr w:type="spellStart"/>
      <w:r w:rsidRPr="00714817">
        <w:rPr>
          <w:i/>
          <w:sz w:val="21"/>
          <w:szCs w:val="21"/>
        </w:rPr>
        <w:t>remand</w:t>
      </w:r>
      <w:proofErr w:type="spellEnd"/>
      <w:r w:rsidRPr="00714817">
        <w:rPr>
          <w:i/>
          <w:sz w:val="21"/>
          <w:szCs w:val="21"/>
        </w:rPr>
        <w:t xml:space="preserve"> </w:t>
      </w:r>
      <w:r w:rsidRPr="00714817">
        <w:rPr>
          <w:sz w:val="21"/>
          <w:szCs w:val="21"/>
        </w:rPr>
        <w:t>letterale la Cassazio</w:t>
      </w:r>
      <w:r>
        <w:rPr>
          <w:sz w:val="21"/>
          <w:szCs w:val="21"/>
        </w:rPr>
        <w:t>ne afferma perentoriamente che «</w:t>
      </w:r>
      <w:r w:rsidRPr="00714817">
        <w:rPr>
          <w:i/>
          <w:iCs/>
          <w:sz w:val="21"/>
          <w:szCs w:val="21"/>
        </w:rPr>
        <w:t xml:space="preserve">il dolo del concorrente esterno </w:t>
      </w:r>
      <w:proofErr w:type="spellStart"/>
      <w:r w:rsidRPr="00714817">
        <w:rPr>
          <w:i/>
          <w:iCs/>
          <w:sz w:val="21"/>
          <w:szCs w:val="21"/>
        </w:rPr>
        <w:t>invest</w:t>
      </w:r>
      <w:proofErr w:type="spellEnd"/>
      <w:r w:rsidRPr="00714817">
        <w:rPr>
          <w:iCs/>
          <w:sz w:val="21"/>
          <w:szCs w:val="21"/>
        </w:rPr>
        <w:t>[e]</w:t>
      </w:r>
      <w:r w:rsidRPr="00714817">
        <w:rPr>
          <w:i/>
          <w:iCs/>
          <w:sz w:val="21"/>
          <w:szCs w:val="21"/>
        </w:rPr>
        <w:t xml:space="preserve">, nei momenti della rappresentazione e della volizione, sia tutti gli elementi essenziali della figura criminosa tipica sia il contributo causale recato dal proprio comportamento alla realizzazione del fatto concreto, con la consapevolezza e la volontà di interagire, sinergicamente, con le condotte altrui nella produzione dell'evento lesivo del </w:t>
      </w:r>
      <w:r w:rsidRPr="00714817">
        <w:rPr>
          <w:rStyle w:val="st1"/>
          <w:color w:val="545454"/>
          <w:sz w:val="21"/>
          <w:szCs w:val="21"/>
        </w:rPr>
        <w:t>«</w:t>
      </w:r>
      <w:r w:rsidRPr="00714817">
        <w:rPr>
          <w:i/>
          <w:iCs/>
          <w:sz w:val="21"/>
          <w:szCs w:val="21"/>
        </w:rPr>
        <w:t>medesimo reato</w:t>
      </w:r>
      <w:r w:rsidRPr="00714817">
        <w:rPr>
          <w:rStyle w:val="st1"/>
          <w:color w:val="545454"/>
          <w:sz w:val="21"/>
          <w:szCs w:val="21"/>
        </w:rPr>
        <w:t>»”.</w:t>
      </w:r>
    </w:p>
  </w:footnote>
  <w:footnote w:id="51">
    <w:p w14:paraId="50666586" w14:textId="78139BEF"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L’affermazione è di </w:t>
      </w:r>
      <w:r w:rsidRPr="00C96A9E">
        <w:rPr>
          <w:smallCaps/>
          <w:sz w:val="21"/>
          <w:szCs w:val="21"/>
        </w:rPr>
        <w:t>Fiandaca-Musco</w:t>
      </w:r>
      <w:r w:rsidRPr="00714817">
        <w:rPr>
          <w:sz w:val="21"/>
          <w:szCs w:val="21"/>
        </w:rPr>
        <w:t xml:space="preserve">, </w:t>
      </w:r>
      <w:r>
        <w:rPr>
          <w:sz w:val="21"/>
          <w:szCs w:val="21"/>
        </w:rPr>
        <w:t>op. cit.</w:t>
      </w:r>
      <w:r w:rsidRPr="00714817">
        <w:rPr>
          <w:sz w:val="21"/>
          <w:szCs w:val="21"/>
        </w:rPr>
        <w:t>, p. 513 che riferisce il quid pluris materiale sul quale si incentra il concorso di persone nel re</w:t>
      </w:r>
      <w:r>
        <w:rPr>
          <w:sz w:val="21"/>
          <w:szCs w:val="21"/>
        </w:rPr>
        <w:t>ato al quid pluris soggettivo, «</w:t>
      </w:r>
      <w:r w:rsidRPr="00714817">
        <w:rPr>
          <w:i/>
          <w:sz w:val="21"/>
          <w:szCs w:val="21"/>
        </w:rPr>
        <w:t>rappresentato dalla volontà di concorrere con altri alla realizzazione di un reato comune</w:t>
      </w:r>
      <w:r>
        <w:rPr>
          <w:sz w:val="21"/>
          <w:szCs w:val="21"/>
        </w:rPr>
        <w:t>»</w:t>
      </w:r>
      <w:r w:rsidRPr="00714817">
        <w:rPr>
          <w:sz w:val="21"/>
          <w:szCs w:val="21"/>
        </w:rPr>
        <w:t xml:space="preserve">. L’autore richiama in nota gli studi di </w:t>
      </w:r>
      <w:r w:rsidRPr="00D4103F">
        <w:rPr>
          <w:smallCaps/>
          <w:sz w:val="21"/>
          <w:szCs w:val="21"/>
        </w:rPr>
        <w:t>M. G</w:t>
      </w:r>
      <w:r w:rsidR="00D4103F" w:rsidRPr="00D4103F">
        <w:rPr>
          <w:smallCaps/>
          <w:sz w:val="21"/>
          <w:szCs w:val="21"/>
        </w:rPr>
        <w:t>allo</w:t>
      </w:r>
      <w:r w:rsidRPr="00714817">
        <w:rPr>
          <w:sz w:val="21"/>
          <w:szCs w:val="21"/>
        </w:rPr>
        <w:t xml:space="preserve"> nella citata opera “</w:t>
      </w:r>
      <w:r w:rsidRPr="00714817">
        <w:rPr>
          <w:i/>
          <w:sz w:val="21"/>
          <w:szCs w:val="21"/>
        </w:rPr>
        <w:t>Lineamenti di una teoria sul concorso di persone nel reato</w:t>
      </w:r>
      <w:r w:rsidRPr="00714817">
        <w:rPr>
          <w:sz w:val="21"/>
          <w:szCs w:val="21"/>
        </w:rPr>
        <w:t>”, Giuffrè Editore, Milano</w:t>
      </w:r>
      <w:r w:rsidRPr="00714817">
        <w:rPr>
          <w:i/>
          <w:sz w:val="21"/>
          <w:szCs w:val="21"/>
        </w:rPr>
        <w:t xml:space="preserve">, </w:t>
      </w:r>
      <w:r w:rsidRPr="00714817">
        <w:rPr>
          <w:sz w:val="21"/>
          <w:szCs w:val="21"/>
        </w:rPr>
        <w:t>1957, p. 99.</w:t>
      </w:r>
    </w:p>
  </w:footnote>
  <w:footnote w:id="52">
    <w:p w14:paraId="7703409B" w14:textId="39DA436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termini pratici ciò ha consentito alla Suprema Corte di ritenere provata la responsabilità penale dell’imputato che aveva manifestato un atteggiamento critico e contraddittorio nei confronti dell’organizzazione criminale. Sulla scorta delle considerazioni effettuate, l’avversione manifestata dal Dell’Utri non può costituire un fatto preclusivo del dolo diretto.    </w:t>
      </w:r>
    </w:p>
  </w:footnote>
  <w:footnote w:id="53">
    <w:p w14:paraId="45782ECB" w14:textId="0B48A581"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quest’ottica la sentenza sembra consegnare all’interprete un reato dalla componente psicologica in cui il “fine” prevale sul “come”. Una simile logica ricostruttiva sembra porsi in attrito con un diritto positivo che fa della norma incriminatrice di cui all’art. 416-bis c.p. una fattispecie in cui la tipicità (e, dunque, anche l’elemento psicologico) si riflette anche sulla metodica (mafiosa) con la quale il delitto viene perpetrato.  </w:t>
      </w:r>
    </w:p>
  </w:footnote>
  <w:footnote w:id="54">
    <w:p w14:paraId="7BC2C98E" w14:textId="6140890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bookmarkStart w:id="15" w:name="_Hlk494450590"/>
      <w:r w:rsidRPr="00714817">
        <w:rPr>
          <w:i/>
          <w:sz w:val="21"/>
          <w:szCs w:val="21"/>
        </w:rPr>
        <w:t xml:space="preserve">Corte EDU, </w:t>
      </w:r>
      <w:bookmarkStart w:id="16" w:name="_Hlk495178714"/>
      <w:r w:rsidR="007D34CA">
        <w:rPr>
          <w:i/>
          <w:sz w:val="21"/>
          <w:szCs w:val="21"/>
        </w:rPr>
        <w:t>s</w:t>
      </w:r>
      <w:r w:rsidRPr="00714817">
        <w:rPr>
          <w:i/>
          <w:sz w:val="21"/>
          <w:szCs w:val="21"/>
        </w:rPr>
        <w:t>ez. IV</w:t>
      </w:r>
      <w:r w:rsidRPr="00714817">
        <w:rPr>
          <w:sz w:val="21"/>
          <w:szCs w:val="21"/>
        </w:rPr>
        <w:t xml:space="preserve">, sent. 14 aprile 2015, </w:t>
      </w:r>
      <w:r w:rsidRPr="00714817">
        <w:rPr>
          <w:i/>
          <w:sz w:val="21"/>
          <w:szCs w:val="21"/>
        </w:rPr>
        <w:t>Contrada c. Italia</w:t>
      </w:r>
      <w:bookmarkEnd w:id="15"/>
      <w:bookmarkEnd w:id="16"/>
    </w:p>
  </w:footnote>
  <w:footnote w:id="55">
    <w:p w14:paraId="1504197A" w14:textId="6FAD6992" w:rsidR="00C96A9E" w:rsidRPr="00714817" w:rsidRDefault="00C96A9E" w:rsidP="00714817">
      <w:pPr>
        <w:pStyle w:val="Testonotaapidipagina"/>
        <w:jc w:val="both"/>
        <w:rPr>
          <w:bCs/>
          <w:iCs/>
          <w:sz w:val="21"/>
          <w:szCs w:val="21"/>
        </w:rPr>
      </w:pPr>
      <w:r w:rsidRPr="00714817">
        <w:rPr>
          <w:rStyle w:val="Rimandonotaapidipagina"/>
          <w:sz w:val="21"/>
          <w:szCs w:val="21"/>
        </w:rPr>
        <w:footnoteRef/>
      </w:r>
      <w:r w:rsidRPr="00714817">
        <w:rPr>
          <w:sz w:val="21"/>
          <w:szCs w:val="21"/>
        </w:rPr>
        <w:t xml:space="preserve"> La concezione autonomista che permea il sistema convenzionale determina inevitabili ripercussioni sulla qualificazione degli elementi normativi enunciati dalla Convenzione. In quest’ottica si apprezza la nozione autonoma del termine “</w:t>
      </w:r>
      <w:r w:rsidRPr="00714817">
        <w:rPr>
          <w:i/>
          <w:sz w:val="21"/>
          <w:szCs w:val="21"/>
        </w:rPr>
        <w:t>legge</w:t>
      </w:r>
      <w:r w:rsidRPr="00714817">
        <w:rPr>
          <w:sz w:val="21"/>
          <w:szCs w:val="21"/>
        </w:rPr>
        <w:t xml:space="preserve">” di cui all’art. </w:t>
      </w:r>
      <w:r w:rsidRPr="00714817">
        <w:rPr>
          <w:i/>
          <w:sz w:val="21"/>
          <w:szCs w:val="21"/>
        </w:rPr>
        <w:t>7</w:t>
      </w:r>
      <w:r w:rsidRPr="00714817">
        <w:rPr>
          <w:sz w:val="21"/>
          <w:szCs w:val="21"/>
        </w:rPr>
        <w:t xml:space="preserve"> CEDU. Seco</w:t>
      </w:r>
      <w:r>
        <w:rPr>
          <w:sz w:val="21"/>
          <w:szCs w:val="21"/>
        </w:rPr>
        <w:t>ndo l’impostazione consolidata «</w:t>
      </w:r>
      <w:r w:rsidRPr="00714817">
        <w:rPr>
          <w:i/>
          <w:sz w:val="21"/>
          <w:szCs w:val="21"/>
        </w:rPr>
        <w:t xml:space="preserve">la garanzia sancita all’articolo 7, che è un elemento essenziale dello stato di diritto, occupa un posto preminente nel sistema di protezione della Convenzione </w:t>
      </w:r>
      <w:r w:rsidRPr="00714817">
        <w:rPr>
          <w:sz w:val="21"/>
          <w:szCs w:val="21"/>
        </w:rPr>
        <w:t xml:space="preserve">[…] </w:t>
      </w:r>
      <w:r w:rsidRPr="00714817">
        <w:rPr>
          <w:i/>
          <w:sz w:val="21"/>
          <w:szCs w:val="21"/>
        </w:rPr>
        <w:t>essa dovrebbe essere interpretata e applicata in modo da assicurare una protezione effettiva contro le azioni penali, le condanne e le sanzioni arbitrarie</w:t>
      </w:r>
      <w:r>
        <w:rPr>
          <w:sz w:val="21"/>
          <w:szCs w:val="21"/>
        </w:rPr>
        <w:t>»</w:t>
      </w:r>
      <w:r w:rsidRPr="00714817">
        <w:rPr>
          <w:sz w:val="21"/>
          <w:szCs w:val="21"/>
        </w:rPr>
        <w:t>. Un simile enunciato giurisprudenziale consente di cogliere la premessa che informa l’operatività del</w:t>
      </w:r>
      <w:r w:rsidRPr="00714817">
        <w:rPr>
          <w:bCs/>
          <w:iCs/>
          <w:sz w:val="21"/>
          <w:szCs w:val="21"/>
        </w:rPr>
        <w:t xml:space="preserve"> sistema convenzionale. La tutela efficiente giustifica l’inquadramento della giurisprudenza tra le fonti di diritto. In questa prospettiva, il principio di legalità assume una connotazione certamente differente rispetto a quella accolta dal nostro ordinamento. Ciononostante non può non apprezzarsi come, inteso nella concezione convenzionale, il principio in esame muova verso il medesimo fine di garanzia che ispira la legalità del sistema penale a livello interno. Adottando un approccio unitario, il principio di legalità si presenta come un assioma unico a doppia declinazione. Il nucleo significativo essenziale del principio consiste nella legge. Tuttavia, la doppia dimensione del termine si raccorda, ora alla previsione legislativa in senso stretto (concezione nazionale), ora alla definizione di “legge”, così come convenzionalmente qualificata (in quest’ottica rileva l’impostazione autonomista che ascrive al consolidamento interpretativo della giurisprudenza il valore di legge).</w:t>
      </w:r>
    </w:p>
  </w:footnote>
  <w:footnote w:id="56">
    <w:p w14:paraId="501E9E27" w14:textId="579E32EA"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tal senso rileverebbe il principio di cui all’art. articolo 7 della Convenzione, il quale proibisce l’applicazione retroattiva del diritto penale a svantaggio dell’imputato (Crf. C</w:t>
      </w:r>
      <w:r w:rsidRPr="00714817">
        <w:rPr>
          <w:i/>
          <w:sz w:val="21"/>
          <w:szCs w:val="21"/>
        </w:rPr>
        <w:t>orte EDU</w:t>
      </w:r>
      <w:r w:rsidRPr="00714817">
        <w:rPr>
          <w:sz w:val="21"/>
          <w:szCs w:val="21"/>
        </w:rPr>
        <w:t xml:space="preserve">, casi </w:t>
      </w:r>
      <w:r w:rsidRPr="00714817">
        <w:rPr>
          <w:i/>
          <w:sz w:val="21"/>
          <w:szCs w:val="21"/>
        </w:rPr>
        <w:t>Welch c. Regno Unito</w:t>
      </w:r>
      <w:r w:rsidRPr="00714817">
        <w:rPr>
          <w:sz w:val="21"/>
          <w:szCs w:val="21"/>
        </w:rPr>
        <w:t xml:space="preserve">, 9 febbraio 1995; </w:t>
      </w:r>
      <w:r w:rsidRPr="00714817">
        <w:rPr>
          <w:i/>
          <w:sz w:val="21"/>
          <w:szCs w:val="21"/>
        </w:rPr>
        <w:t>Jamil c. Francia</w:t>
      </w:r>
      <w:r w:rsidRPr="00714817">
        <w:rPr>
          <w:sz w:val="21"/>
          <w:szCs w:val="21"/>
        </w:rPr>
        <w:t xml:space="preserve">, 8 giugno 1995; </w:t>
      </w:r>
      <w:proofErr w:type="spellStart"/>
      <w:r w:rsidRPr="00714817">
        <w:rPr>
          <w:i/>
          <w:sz w:val="21"/>
          <w:szCs w:val="21"/>
        </w:rPr>
        <w:t>Ecer</w:t>
      </w:r>
      <w:proofErr w:type="spellEnd"/>
      <w:r w:rsidRPr="00714817">
        <w:rPr>
          <w:i/>
          <w:sz w:val="21"/>
          <w:szCs w:val="21"/>
        </w:rPr>
        <w:t xml:space="preserve"> e </w:t>
      </w:r>
      <w:proofErr w:type="spellStart"/>
      <w:r w:rsidRPr="00714817">
        <w:rPr>
          <w:i/>
          <w:sz w:val="21"/>
          <w:szCs w:val="21"/>
        </w:rPr>
        <w:t>Zeyrek</w:t>
      </w:r>
      <w:proofErr w:type="spellEnd"/>
      <w:r w:rsidRPr="00714817">
        <w:rPr>
          <w:i/>
          <w:sz w:val="21"/>
          <w:szCs w:val="21"/>
        </w:rPr>
        <w:t xml:space="preserve"> c. Turchia</w:t>
      </w:r>
      <w:r w:rsidRPr="00714817">
        <w:rPr>
          <w:sz w:val="21"/>
          <w:szCs w:val="21"/>
        </w:rPr>
        <w:t>, nn. 29295/95 e 29363/95</w:t>
      </w:r>
      <w:bookmarkStart w:id="17" w:name="_Hlk495476922"/>
    </w:p>
    <w:bookmarkEnd w:id="17"/>
  </w:footnote>
  <w:footnote w:id="57">
    <w:p w14:paraId="7913D06F" w14:textId="27A209C5"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L’art. 7 CEDU sancisce il più generale principio della legalità dei delitti e delle pene, esplicato nel noto brocardo latino </w:t>
      </w:r>
      <w:r>
        <w:rPr>
          <w:sz w:val="21"/>
          <w:szCs w:val="21"/>
        </w:rPr>
        <w:t>«</w:t>
      </w:r>
      <w:proofErr w:type="spellStart"/>
      <w:r w:rsidRPr="00714817">
        <w:rPr>
          <w:i/>
          <w:sz w:val="21"/>
          <w:szCs w:val="21"/>
        </w:rPr>
        <w:t>nullum</w:t>
      </w:r>
      <w:proofErr w:type="spellEnd"/>
      <w:r w:rsidRPr="00714817">
        <w:rPr>
          <w:i/>
          <w:sz w:val="21"/>
          <w:szCs w:val="21"/>
        </w:rPr>
        <w:t xml:space="preserve"> </w:t>
      </w:r>
      <w:proofErr w:type="spellStart"/>
      <w:r w:rsidRPr="00714817">
        <w:rPr>
          <w:i/>
          <w:sz w:val="21"/>
          <w:szCs w:val="21"/>
        </w:rPr>
        <w:t>crimen</w:t>
      </w:r>
      <w:proofErr w:type="spellEnd"/>
      <w:r w:rsidRPr="00714817">
        <w:rPr>
          <w:i/>
          <w:sz w:val="21"/>
          <w:szCs w:val="21"/>
        </w:rPr>
        <w:t>, nulla poena sine lege</w:t>
      </w:r>
      <w:r>
        <w:rPr>
          <w:sz w:val="21"/>
          <w:szCs w:val="21"/>
        </w:rPr>
        <w:t>»</w:t>
      </w:r>
      <w:r w:rsidRPr="00714817">
        <w:rPr>
          <w:sz w:val="21"/>
          <w:szCs w:val="21"/>
        </w:rPr>
        <w:t xml:space="preserve"> (</w:t>
      </w:r>
      <w:proofErr w:type="spellStart"/>
      <w:r w:rsidRPr="00714817">
        <w:rPr>
          <w:sz w:val="21"/>
          <w:szCs w:val="21"/>
        </w:rPr>
        <w:t>crf</w:t>
      </w:r>
      <w:proofErr w:type="spellEnd"/>
      <w:r w:rsidRPr="00714817">
        <w:rPr>
          <w:sz w:val="21"/>
          <w:szCs w:val="21"/>
        </w:rPr>
        <w:t xml:space="preserve">. </w:t>
      </w:r>
      <w:r w:rsidRPr="00714817">
        <w:rPr>
          <w:i/>
          <w:sz w:val="21"/>
          <w:szCs w:val="21"/>
        </w:rPr>
        <w:t>Corte EDU</w:t>
      </w:r>
      <w:r w:rsidRPr="00714817">
        <w:rPr>
          <w:sz w:val="21"/>
          <w:szCs w:val="21"/>
        </w:rPr>
        <w:t xml:space="preserve">, caso </w:t>
      </w:r>
      <w:proofErr w:type="spellStart"/>
      <w:r w:rsidRPr="00714817">
        <w:rPr>
          <w:i/>
          <w:sz w:val="21"/>
          <w:szCs w:val="21"/>
        </w:rPr>
        <w:t>Kokkinakis</w:t>
      </w:r>
      <w:proofErr w:type="spellEnd"/>
      <w:r w:rsidRPr="00714817">
        <w:rPr>
          <w:i/>
          <w:sz w:val="21"/>
          <w:szCs w:val="21"/>
        </w:rPr>
        <w:t xml:space="preserve"> c. Grecia</w:t>
      </w:r>
      <w:r w:rsidRPr="00714817">
        <w:rPr>
          <w:sz w:val="21"/>
          <w:szCs w:val="21"/>
        </w:rPr>
        <w:t>, 25 maggio 1993, ricorso n. 14307/88). La Corte europea dei diritti dell’uomo ha in più circostanze posto l’attenzione sulle ricadute interpretative del principio. A ben guardare, infatti, se il precetto assiomatico in oggetto vieta di estendere l’area penalmente riprovata a fatti che, in precedenza, non costituivano re</w:t>
      </w:r>
      <w:r>
        <w:rPr>
          <w:sz w:val="21"/>
          <w:szCs w:val="21"/>
        </w:rPr>
        <w:t>ato, allora esso implica anche «</w:t>
      </w:r>
      <w:r w:rsidRPr="00714817">
        <w:rPr>
          <w:i/>
          <w:sz w:val="21"/>
          <w:szCs w:val="21"/>
        </w:rPr>
        <w:t>di non applicare la legge penale in modo estensivo a svantaggio dell’imputato, ad esempio per analogia</w:t>
      </w:r>
      <w:r>
        <w:rPr>
          <w:sz w:val="21"/>
          <w:szCs w:val="21"/>
        </w:rPr>
        <w:t>»</w:t>
      </w:r>
      <w:r w:rsidRPr="00714817">
        <w:rPr>
          <w:i/>
          <w:sz w:val="21"/>
          <w:szCs w:val="21"/>
        </w:rPr>
        <w:t xml:space="preserve"> </w:t>
      </w:r>
      <w:r w:rsidRPr="00714817">
        <w:rPr>
          <w:sz w:val="21"/>
          <w:szCs w:val="21"/>
        </w:rPr>
        <w:t>(</w:t>
      </w:r>
      <w:proofErr w:type="spellStart"/>
      <w:r w:rsidRPr="00714817">
        <w:rPr>
          <w:sz w:val="21"/>
          <w:szCs w:val="21"/>
        </w:rPr>
        <w:t>crf</w:t>
      </w:r>
      <w:proofErr w:type="spellEnd"/>
      <w:r w:rsidRPr="00714817">
        <w:rPr>
          <w:sz w:val="21"/>
          <w:szCs w:val="21"/>
        </w:rPr>
        <w:t xml:space="preserve">. </w:t>
      </w:r>
      <w:r w:rsidRPr="00714817">
        <w:rPr>
          <w:i/>
          <w:sz w:val="21"/>
          <w:szCs w:val="21"/>
        </w:rPr>
        <w:t>Corte EDU</w:t>
      </w:r>
      <w:r w:rsidRPr="00714817">
        <w:rPr>
          <w:sz w:val="21"/>
          <w:szCs w:val="21"/>
        </w:rPr>
        <w:t xml:space="preserve">, casi </w:t>
      </w:r>
      <w:proofErr w:type="spellStart"/>
      <w:r w:rsidRPr="00714817">
        <w:rPr>
          <w:i/>
          <w:sz w:val="21"/>
          <w:szCs w:val="21"/>
        </w:rPr>
        <w:t>Coëme</w:t>
      </w:r>
      <w:proofErr w:type="spellEnd"/>
      <w:r w:rsidRPr="00714817">
        <w:rPr>
          <w:i/>
          <w:sz w:val="21"/>
          <w:szCs w:val="21"/>
        </w:rPr>
        <w:t xml:space="preserve"> e altri c. Belgio</w:t>
      </w:r>
      <w:r w:rsidRPr="00714817">
        <w:rPr>
          <w:sz w:val="21"/>
          <w:szCs w:val="21"/>
        </w:rPr>
        <w:t>, nn. 32492/96, 32547/96, 32548/96, 33209/96 e 33210/96). In tale prospe</w:t>
      </w:r>
      <w:r>
        <w:rPr>
          <w:sz w:val="21"/>
          <w:szCs w:val="21"/>
        </w:rPr>
        <w:t>ttiva ermeneutica, «</w:t>
      </w:r>
      <w:r w:rsidRPr="00714817">
        <w:rPr>
          <w:i/>
          <w:sz w:val="21"/>
          <w:szCs w:val="21"/>
        </w:rPr>
        <w:t>la legge deve definire chiaramente i reati e le pene che li reprimono</w:t>
      </w:r>
      <w:r>
        <w:rPr>
          <w:sz w:val="21"/>
          <w:szCs w:val="21"/>
        </w:rPr>
        <w:t>»</w:t>
      </w:r>
      <w:r w:rsidRPr="00714817">
        <w:rPr>
          <w:sz w:val="21"/>
          <w:szCs w:val="21"/>
        </w:rPr>
        <w:t xml:space="preserve"> Secondo l’orientamento della Corte europea dei diritti dell’uomo</w:t>
      </w:r>
      <w:r>
        <w:rPr>
          <w:i/>
          <w:sz w:val="21"/>
          <w:szCs w:val="21"/>
        </w:rPr>
        <w:t xml:space="preserve"> «</w:t>
      </w:r>
      <w:r w:rsidRPr="00714817">
        <w:rPr>
          <w:i/>
          <w:sz w:val="21"/>
          <w:szCs w:val="21"/>
        </w:rPr>
        <w:t xml:space="preserve">questo requisito è soddisfatto se la persona sottoposta a giudizio può sapere, a partire dal testo della disposizione pertinente, se necessario con l’assistenza dell’interpretazione che ne viene data dai tribunali e, se del caso, dopo aver avuto ricorso a consulenti illuminati, per quali atti e omissioni le viene attribuita una responsabilità penale e di quale pena è passibile per tali atti. Pertanto, il compito della Corte è, in particolare, quello di verificare che, nel momento in cui un imputato ha commesso l’atto che ha comportato l’esercizio dell’azione penale e la condanna, esistesse una disposizione di legge </w:t>
      </w:r>
      <w:r w:rsidRPr="00714817">
        <w:rPr>
          <w:sz w:val="21"/>
          <w:szCs w:val="21"/>
        </w:rPr>
        <w:t xml:space="preserve">[da intendersi nella accezione convenzionale del termine] </w:t>
      </w:r>
      <w:r w:rsidRPr="00714817">
        <w:rPr>
          <w:i/>
          <w:sz w:val="21"/>
          <w:szCs w:val="21"/>
        </w:rPr>
        <w:t>che rendeva l’atto punibile, e che la pena inflitta non eccedesse i limiti fissati da tale disposizione</w:t>
      </w:r>
      <w:r>
        <w:rPr>
          <w:sz w:val="21"/>
          <w:szCs w:val="21"/>
        </w:rPr>
        <w:t>»</w:t>
      </w:r>
      <w:r w:rsidRPr="00714817">
        <w:rPr>
          <w:sz w:val="21"/>
          <w:szCs w:val="21"/>
        </w:rPr>
        <w:t xml:space="preserve"> (il principio è enunciato nella sentenza del 14 aprile 2015, </w:t>
      </w:r>
      <w:r w:rsidRPr="00714817">
        <w:rPr>
          <w:i/>
          <w:sz w:val="21"/>
          <w:szCs w:val="21"/>
        </w:rPr>
        <w:t>Contrada c. Italia</w:t>
      </w:r>
      <w:r w:rsidRPr="00714817">
        <w:rPr>
          <w:sz w:val="21"/>
          <w:szCs w:val="21"/>
        </w:rPr>
        <w:t xml:space="preserve"> ma si rifà a pronunce pregresse, tra le quali la citata sentenza </w:t>
      </w:r>
      <w:proofErr w:type="spellStart"/>
      <w:r w:rsidRPr="00714817">
        <w:rPr>
          <w:i/>
          <w:sz w:val="21"/>
          <w:szCs w:val="21"/>
        </w:rPr>
        <w:t>Coëme</w:t>
      </w:r>
      <w:proofErr w:type="spellEnd"/>
      <w:r w:rsidRPr="00714817">
        <w:rPr>
          <w:i/>
          <w:sz w:val="21"/>
          <w:szCs w:val="21"/>
        </w:rPr>
        <w:t xml:space="preserve"> e altri c. Belgio</w:t>
      </w:r>
      <w:r w:rsidRPr="00714817">
        <w:rPr>
          <w:sz w:val="21"/>
          <w:szCs w:val="21"/>
        </w:rPr>
        <w:t xml:space="preserve"> e </w:t>
      </w:r>
      <w:proofErr w:type="spellStart"/>
      <w:r w:rsidRPr="00714817">
        <w:rPr>
          <w:i/>
          <w:sz w:val="21"/>
          <w:szCs w:val="21"/>
        </w:rPr>
        <w:t>Achour</w:t>
      </w:r>
      <w:proofErr w:type="spellEnd"/>
      <w:r w:rsidRPr="00714817">
        <w:rPr>
          <w:i/>
          <w:sz w:val="21"/>
          <w:szCs w:val="21"/>
        </w:rPr>
        <w:t xml:space="preserve"> c. Francia</w:t>
      </w:r>
      <w:r w:rsidRPr="00714817">
        <w:rPr>
          <w:sz w:val="21"/>
          <w:szCs w:val="21"/>
        </w:rPr>
        <w:t>, n. 67335/01).</w:t>
      </w:r>
    </w:p>
  </w:footnote>
  <w:footnote w:id="58">
    <w:p w14:paraId="1D263CDB" w14:textId="5EA8FB3C"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r w:rsidRPr="00714817">
        <w:rPr>
          <w:i/>
          <w:sz w:val="21"/>
          <w:szCs w:val="21"/>
        </w:rPr>
        <w:t>Ex multis</w:t>
      </w:r>
      <w:r w:rsidRPr="00714817">
        <w:rPr>
          <w:sz w:val="21"/>
          <w:szCs w:val="21"/>
        </w:rPr>
        <w:t xml:space="preserve">, </w:t>
      </w:r>
      <w:proofErr w:type="spellStart"/>
      <w:r w:rsidRPr="00714817">
        <w:rPr>
          <w:sz w:val="21"/>
          <w:szCs w:val="21"/>
        </w:rPr>
        <w:t>crf</w:t>
      </w:r>
      <w:proofErr w:type="spellEnd"/>
      <w:r w:rsidRPr="00714817">
        <w:rPr>
          <w:sz w:val="21"/>
          <w:szCs w:val="21"/>
        </w:rPr>
        <w:t xml:space="preserve">. </w:t>
      </w:r>
      <w:r w:rsidRPr="00714817">
        <w:rPr>
          <w:i/>
          <w:sz w:val="21"/>
          <w:szCs w:val="21"/>
        </w:rPr>
        <w:t>Corte EDU</w:t>
      </w:r>
      <w:r w:rsidRPr="00714817">
        <w:rPr>
          <w:sz w:val="21"/>
          <w:szCs w:val="21"/>
        </w:rPr>
        <w:t xml:space="preserve">, sent. 21 ottobre 2013, </w:t>
      </w:r>
      <w:r w:rsidRPr="00714817">
        <w:rPr>
          <w:i/>
          <w:sz w:val="21"/>
          <w:szCs w:val="21"/>
        </w:rPr>
        <w:t xml:space="preserve">Del </w:t>
      </w:r>
      <w:r w:rsidRPr="00714817">
        <w:rPr>
          <w:bCs/>
          <w:i/>
          <w:sz w:val="21"/>
          <w:szCs w:val="21"/>
        </w:rPr>
        <w:t>Rio Prada c</w:t>
      </w:r>
      <w:r w:rsidRPr="00714817">
        <w:rPr>
          <w:i/>
          <w:sz w:val="21"/>
          <w:szCs w:val="21"/>
        </w:rPr>
        <w:t xml:space="preserve">. </w:t>
      </w:r>
      <w:r w:rsidRPr="00714817">
        <w:rPr>
          <w:bCs/>
          <w:i/>
          <w:sz w:val="21"/>
          <w:szCs w:val="21"/>
        </w:rPr>
        <w:t>Spagna</w:t>
      </w:r>
      <w:r w:rsidRPr="00714817">
        <w:rPr>
          <w:sz w:val="21"/>
          <w:szCs w:val="21"/>
        </w:rPr>
        <w:t xml:space="preserve">, ric. </w:t>
      </w:r>
      <w:r w:rsidRPr="00714817">
        <w:rPr>
          <w:bCs/>
          <w:sz w:val="21"/>
          <w:szCs w:val="21"/>
        </w:rPr>
        <w:t>n</w:t>
      </w:r>
      <w:r w:rsidRPr="00714817">
        <w:rPr>
          <w:sz w:val="21"/>
          <w:szCs w:val="21"/>
        </w:rPr>
        <w:t xml:space="preserve">. </w:t>
      </w:r>
      <w:r w:rsidRPr="00714817">
        <w:rPr>
          <w:bCs/>
          <w:sz w:val="21"/>
          <w:szCs w:val="21"/>
        </w:rPr>
        <w:t>42750/09</w:t>
      </w:r>
      <w:r w:rsidRPr="00714817">
        <w:rPr>
          <w:sz w:val="21"/>
          <w:szCs w:val="21"/>
        </w:rPr>
        <w:t xml:space="preserve">; </w:t>
      </w:r>
      <w:r w:rsidRPr="00714817">
        <w:rPr>
          <w:i/>
          <w:sz w:val="21"/>
          <w:szCs w:val="21"/>
        </w:rPr>
        <w:t>Corte EDU</w:t>
      </w:r>
      <w:r w:rsidRPr="00714817">
        <w:rPr>
          <w:sz w:val="21"/>
          <w:szCs w:val="21"/>
        </w:rPr>
        <w:t xml:space="preserve">, sent. 25 giugno 2009, </w:t>
      </w:r>
      <w:r w:rsidRPr="00714817">
        <w:rPr>
          <w:i/>
          <w:sz w:val="21"/>
          <w:szCs w:val="21"/>
        </w:rPr>
        <w:t>Liivik c. Estonia</w:t>
      </w:r>
      <w:r w:rsidRPr="00714817">
        <w:rPr>
          <w:sz w:val="21"/>
          <w:szCs w:val="21"/>
        </w:rPr>
        <w:t xml:space="preserve">; sent. 19 febbraio 2008, </w:t>
      </w:r>
      <w:r w:rsidRPr="00714817">
        <w:rPr>
          <w:i/>
          <w:sz w:val="21"/>
          <w:szCs w:val="21"/>
        </w:rPr>
        <w:t>Kuolelis e altri c. Lituania</w:t>
      </w:r>
      <w:r w:rsidRPr="00714817">
        <w:rPr>
          <w:sz w:val="21"/>
          <w:szCs w:val="21"/>
        </w:rPr>
        <w:t xml:space="preserve"> e sent. 20 gennaio 2009, </w:t>
      </w:r>
      <w:r w:rsidRPr="00714817">
        <w:rPr>
          <w:i/>
          <w:sz w:val="21"/>
          <w:szCs w:val="21"/>
        </w:rPr>
        <w:t>Sud Fondi c. Italia</w:t>
      </w:r>
      <w:r w:rsidRPr="00714817">
        <w:rPr>
          <w:sz w:val="21"/>
          <w:szCs w:val="21"/>
        </w:rPr>
        <w:t>.</w:t>
      </w:r>
    </w:p>
  </w:footnote>
  <w:footnote w:id="59">
    <w:p w14:paraId="53FEB384" w14:textId="211F05A4" w:rsidR="00C96A9E" w:rsidRPr="00714817" w:rsidRDefault="00C96A9E" w:rsidP="00714817">
      <w:pPr>
        <w:pStyle w:val="Testonotaapidipagina"/>
        <w:jc w:val="both"/>
        <w:rPr>
          <w:bCs/>
          <w:i/>
          <w:iCs/>
          <w:sz w:val="21"/>
          <w:szCs w:val="21"/>
        </w:rPr>
      </w:pPr>
      <w:r w:rsidRPr="00714817">
        <w:rPr>
          <w:rStyle w:val="Rimandonotaapidipagina"/>
          <w:sz w:val="21"/>
          <w:szCs w:val="21"/>
        </w:rPr>
        <w:footnoteRef/>
      </w:r>
      <w:r w:rsidRPr="00714817">
        <w:rPr>
          <w:sz w:val="21"/>
          <w:szCs w:val="21"/>
        </w:rPr>
        <w:t xml:space="preserve"> Per un inquadramento di diritto costituzionale </w:t>
      </w:r>
      <w:proofErr w:type="spellStart"/>
      <w:r w:rsidRPr="00714817">
        <w:rPr>
          <w:sz w:val="21"/>
          <w:szCs w:val="21"/>
        </w:rPr>
        <w:t>crf</w:t>
      </w:r>
      <w:proofErr w:type="spellEnd"/>
      <w:r w:rsidRPr="00714817">
        <w:rPr>
          <w:sz w:val="21"/>
          <w:szCs w:val="21"/>
        </w:rPr>
        <w:t xml:space="preserve">. </w:t>
      </w:r>
      <w:r w:rsidR="00D4103F" w:rsidRPr="00D4103F">
        <w:rPr>
          <w:smallCaps/>
          <w:sz w:val="21"/>
          <w:szCs w:val="21"/>
        </w:rPr>
        <w:t>D’</w:t>
      </w:r>
      <w:proofErr w:type="spellStart"/>
      <w:r w:rsidR="00D4103F" w:rsidRPr="00D4103F">
        <w:rPr>
          <w:smallCaps/>
          <w:sz w:val="21"/>
          <w:szCs w:val="21"/>
        </w:rPr>
        <w:t>Aloa</w:t>
      </w:r>
      <w:proofErr w:type="spellEnd"/>
      <w:r w:rsidR="00D4103F" w:rsidRPr="00D4103F">
        <w:rPr>
          <w:smallCaps/>
          <w:sz w:val="21"/>
          <w:szCs w:val="21"/>
        </w:rPr>
        <w:t>-Mazzina</w:t>
      </w:r>
      <w:r w:rsidRPr="00714817">
        <w:rPr>
          <w:sz w:val="21"/>
          <w:szCs w:val="21"/>
        </w:rPr>
        <w:t>, “</w:t>
      </w:r>
      <w:r w:rsidRPr="00714817">
        <w:rPr>
          <w:i/>
          <w:sz w:val="21"/>
          <w:szCs w:val="21"/>
        </w:rPr>
        <w:t>Qualità della legge e giustizia costituzionale. Appunti intorno ad una questione aperta</w:t>
      </w:r>
      <w:r w:rsidRPr="00714817">
        <w:rPr>
          <w:sz w:val="21"/>
          <w:szCs w:val="21"/>
        </w:rPr>
        <w:t>”, in: “</w:t>
      </w:r>
      <w:r w:rsidRPr="00714817">
        <w:rPr>
          <w:i/>
          <w:sz w:val="21"/>
          <w:szCs w:val="21"/>
        </w:rPr>
        <w:t>I rapporti tra Parlamento e Governo attraverso le fonti del diritto. La prospettiva della giurisprudenza costituzionale</w:t>
      </w:r>
      <w:r w:rsidRPr="00714817">
        <w:rPr>
          <w:sz w:val="21"/>
          <w:szCs w:val="21"/>
        </w:rPr>
        <w:t xml:space="preserve">”, a cura di V. </w:t>
      </w:r>
      <w:proofErr w:type="spellStart"/>
      <w:r w:rsidRPr="00714817">
        <w:rPr>
          <w:sz w:val="21"/>
          <w:szCs w:val="21"/>
        </w:rPr>
        <w:t>Cocozza</w:t>
      </w:r>
      <w:proofErr w:type="spellEnd"/>
      <w:r w:rsidRPr="00714817">
        <w:rPr>
          <w:sz w:val="21"/>
          <w:szCs w:val="21"/>
        </w:rPr>
        <w:t xml:space="preserve"> ed S. </w:t>
      </w:r>
      <w:proofErr w:type="spellStart"/>
      <w:r w:rsidRPr="00714817">
        <w:rPr>
          <w:sz w:val="21"/>
          <w:szCs w:val="21"/>
        </w:rPr>
        <w:t>Staiano</w:t>
      </w:r>
      <w:proofErr w:type="spellEnd"/>
      <w:r w:rsidRPr="00714817">
        <w:rPr>
          <w:sz w:val="21"/>
          <w:szCs w:val="21"/>
        </w:rPr>
        <w:t>, Torino, vol. II, p. 842</w:t>
      </w:r>
      <w:r>
        <w:rPr>
          <w:sz w:val="21"/>
          <w:szCs w:val="21"/>
        </w:rPr>
        <w:t xml:space="preserve"> </w:t>
      </w:r>
      <w:r w:rsidR="00392444">
        <w:rPr>
          <w:sz w:val="21"/>
          <w:szCs w:val="21"/>
        </w:rPr>
        <w:t xml:space="preserve">ss. </w:t>
      </w:r>
      <w:r w:rsidRPr="00714817">
        <w:rPr>
          <w:sz w:val="21"/>
          <w:szCs w:val="21"/>
        </w:rPr>
        <w:t xml:space="preserve">e </w:t>
      </w:r>
      <w:r w:rsidR="00D4103F" w:rsidRPr="00D4103F">
        <w:rPr>
          <w:smallCaps/>
          <w:sz w:val="21"/>
          <w:szCs w:val="21"/>
        </w:rPr>
        <w:t>Mazzina</w:t>
      </w:r>
      <w:r w:rsidR="00D4103F">
        <w:rPr>
          <w:sz w:val="21"/>
          <w:szCs w:val="21"/>
        </w:rPr>
        <w:t>,</w:t>
      </w:r>
      <w:r w:rsidRPr="00714817">
        <w:rPr>
          <w:sz w:val="21"/>
          <w:szCs w:val="21"/>
        </w:rPr>
        <w:t xml:space="preserve"> “</w:t>
      </w:r>
      <w:r w:rsidRPr="00714817">
        <w:rPr>
          <w:bCs/>
          <w:i/>
          <w:iCs/>
          <w:sz w:val="21"/>
          <w:szCs w:val="21"/>
        </w:rPr>
        <w:t>Qualità della legislazione e competitività: alcune riflessioni intorno ad una recente</w:t>
      </w:r>
    </w:p>
    <w:p w14:paraId="114C4375" w14:textId="0044FEDB" w:rsidR="00C96A9E" w:rsidRPr="00714817" w:rsidRDefault="00C96A9E" w:rsidP="00714817">
      <w:pPr>
        <w:pStyle w:val="Testonotaapidipagina"/>
        <w:jc w:val="both"/>
        <w:rPr>
          <w:sz w:val="21"/>
          <w:szCs w:val="21"/>
        </w:rPr>
      </w:pPr>
      <w:r w:rsidRPr="00714817">
        <w:rPr>
          <w:bCs/>
          <w:i/>
          <w:iCs/>
          <w:sz w:val="21"/>
          <w:szCs w:val="21"/>
        </w:rPr>
        <w:t>esperienza campana</w:t>
      </w:r>
      <w:r w:rsidRPr="00714817">
        <w:rPr>
          <w:sz w:val="21"/>
          <w:szCs w:val="21"/>
        </w:rPr>
        <w:t>”, in Osservatorio AIC, ottobre 2013.</w:t>
      </w:r>
    </w:p>
  </w:footnote>
  <w:footnote w:id="60">
    <w:p w14:paraId="7DB24463" w14:textId="32E333EA"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L’espressione ricorre nella manualistica tradizionale al fine di tracciare il punto di congiuntura tra le parabole assiomatiche che l’ordinamento penale pone a proprio fondamento. La convergenza tra il principio di colpevolezza e quello di legalità colorano l’elemento normativo che integra i presupposti per la “rimproverabilità”. In tal senso </w:t>
      </w:r>
      <w:proofErr w:type="spellStart"/>
      <w:r w:rsidRPr="00714817">
        <w:rPr>
          <w:sz w:val="21"/>
          <w:szCs w:val="21"/>
        </w:rPr>
        <w:t>crf</w:t>
      </w:r>
      <w:proofErr w:type="spellEnd"/>
      <w:r w:rsidRPr="00714817">
        <w:rPr>
          <w:sz w:val="21"/>
          <w:szCs w:val="21"/>
        </w:rPr>
        <w:t>. la nota se</w:t>
      </w:r>
      <w:r>
        <w:rPr>
          <w:sz w:val="21"/>
          <w:szCs w:val="21"/>
        </w:rPr>
        <w:t xml:space="preserve">ntenza della </w:t>
      </w:r>
      <w:r w:rsidR="00480313">
        <w:rPr>
          <w:sz w:val="21"/>
          <w:szCs w:val="21"/>
        </w:rPr>
        <w:t>corte cost</w:t>
      </w:r>
      <w:r w:rsidRPr="00714817">
        <w:rPr>
          <w:sz w:val="21"/>
          <w:szCs w:val="21"/>
        </w:rPr>
        <w:t xml:space="preserve">ituzionale n. 364 del 23 e 24 marzo 1988. </w:t>
      </w:r>
    </w:p>
  </w:footnote>
  <w:footnote w:id="61">
    <w:p w14:paraId="3D8235C2" w14:textId="6E563972"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 Corte europea dei diritti dell’uomo parte dall’assunto che nessuna delle parti in causa abbia contestato la natura giurisprudenziale della fattispecie. In questo senso potrebbe tuttavia insinuarsi il dubbio che l’intero ragionamento della Corte si incentri su un vizio logico di fondo. Il fatto che le parti non dubitino sulla pretesa natura pretoria non significa che essa sia certa (in tal senso potrebbe essere integrata una c.d. fallacia “</w:t>
      </w:r>
      <w:r w:rsidRPr="00714817">
        <w:rPr>
          <w:i/>
          <w:sz w:val="21"/>
          <w:szCs w:val="21"/>
        </w:rPr>
        <w:t xml:space="preserve">ad </w:t>
      </w:r>
      <w:proofErr w:type="spellStart"/>
      <w:r w:rsidRPr="00714817">
        <w:rPr>
          <w:i/>
          <w:sz w:val="21"/>
          <w:szCs w:val="21"/>
        </w:rPr>
        <w:t>ignorantiam</w:t>
      </w:r>
      <w:proofErr w:type="spellEnd"/>
      <w:r w:rsidRPr="00714817">
        <w:rPr>
          <w:sz w:val="21"/>
          <w:szCs w:val="21"/>
        </w:rPr>
        <w:t xml:space="preserve">”). </w:t>
      </w:r>
    </w:p>
  </w:footnote>
  <w:footnote w:id="62">
    <w:p w14:paraId="6073BF72" w14:textId="0091A511"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w:t>
      </w:r>
      <w:bookmarkStart w:id="19" w:name="_Hlk494450524"/>
      <w:r>
        <w:rPr>
          <w:i/>
          <w:sz w:val="21"/>
          <w:szCs w:val="21"/>
        </w:rPr>
        <w:t>Cass.</w:t>
      </w:r>
      <w:r w:rsidR="007D34CA">
        <w:rPr>
          <w:i/>
          <w:sz w:val="21"/>
          <w:szCs w:val="21"/>
        </w:rPr>
        <w:t xml:space="preserve"> s</w:t>
      </w:r>
      <w:r w:rsidRPr="00714817">
        <w:rPr>
          <w:i/>
          <w:sz w:val="21"/>
          <w:szCs w:val="21"/>
        </w:rPr>
        <w:t>ez. II</w:t>
      </w:r>
      <w:r w:rsidRPr="00714817">
        <w:rPr>
          <w:sz w:val="21"/>
          <w:szCs w:val="21"/>
        </w:rPr>
        <w:t xml:space="preserve">., sent. n. 34147 del 21 aprile 2015 </w:t>
      </w:r>
      <w:bookmarkEnd w:id="19"/>
      <w:r w:rsidRPr="00714817">
        <w:rPr>
          <w:sz w:val="21"/>
          <w:szCs w:val="21"/>
        </w:rPr>
        <w:t>con la quale la Suprema Corte ha negato la matrice giurisprudenziale dell’a fattispecie delittuosa dal momento che la sua applicazione deriva dalla tecnica del “combinato disposto” tra una norma di parte speciale ed un istituto di parte generale. Del resto, in chiave sistematica, sono gli stessi artt. 307 c.p. (assistenza ai partecipi di cospirazione o banda armata) e 418 c.p. (assistenza agli associati ex art. 416 e 416-bis c.p.) che contengono una espressa clausola di riserva (“</w:t>
      </w:r>
      <w:r w:rsidRPr="00714817">
        <w:rPr>
          <w:i/>
          <w:sz w:val="21"/>
          <w:szCs w:val="21"/>
        </w:rPr>
        <w:t>fuori dai casi di concorso nel reato</w:t>
      </w:r>
      <w:r w:rsidRPr="00714817">
        <w:rPr>
          <w:sz w:val="21"/>
          <w:szCs w:val="21"/>
        </w:rPr>
        <w:t>”) che apre chiaramente alla configurabilità del concorso esterno nei reati associativi.</w:t>
      </w:r>
    </w:p>
  </w:footnote>
  <w:footnote w:id="63">
    <w:p w14:paraId="234A56EC" w14:textId="37B973AB"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 Corte non mette in dubbio la legittimità dell’interpretazione. Difatti, la qualificazione giuridica del fatto è una prerogativa del giudice nazionale. Al giudice europeo spetta la verifica della “</w:t>
      </w:r>
      <w:r w:rsidRPr="00714817">
        <w:rPr>
          <w:i/>
          <w:sz w:val="21"/>
          <w:szCs w:val="21"/>
        </w:rPr>
        <w:t>compatibilità con la Convenzione degli effetti di tale interpretazione</w:t>
      </w:r>
      <w:r w:rsidRPr="00714817">
        <w:rPr>
          <w:sz w:val="21"/>
          <w:szCs w:val="21"/>
        </w:rPr>
        <w:t xml:space="preserve">”. Sulla medesima frequenza esegetica la Corte richiama i casi </w:t>
      </w:r>
      <w:proofErr w:type="spellStart"/>
      <w:r w:rsidRPr="00714817">
        <w:rPr>
          <w:i/>
          <w:sz w:val="21"/>
          <w:szCs w:val="21"/>
        </w:rPr>
        <w:t>Waite</w:t>
      </w:r>
      <w:proofErr w:type="spellEnd"/>
      <w:r w:rsidRPr="00714817">
        <w:rPr>
          <w:i/>
          <w:sz w:val="21"/>
          <w:szCs w:val="21"/>
        </w:rPr>
        <w:t xml:space="preserve"> e Kennedy c. Germania </w:t>
      </w:r>
      <w:r w:rsidRPr="00714817">
        <w:rPr>
          <w:sz w:val="21"/>
          <w:szCs w:val="21"/>
        </w:rPr>
        <w:t xml:space="preserve">[GC], n. 26083/94, § 54, CEDU 1999; </w:t>
      </w:r>
      <w:r w:rsidRPr="00714817">
        <w:rPr>
          <w:i/>
          <w:sz w:val="21"/>
          <w:szCs w:val="21"/>
        </w:rPr>
        <w:t xml:space="preserve">I, </w:t>
      </w:r>
      <w:proofErr w:type="spellStart"/>
      <w:r w:rsidRPr="00714817">
        <w:rPr>
          <w:i/>
          <w:sz w:val="21"/>
          <w:szCs w:val="21"/>
        </w:rPr>
        <w:t>Korbely</w:t>
      </w:r>
      <w:proofErr w:type="spellEnd"/>
      <w:r w:rsidRPr="00714817">
        <w:rPr>
          <w:i/>
          <w:sz w:val="21"/>
          <w:szCs w:val="21"/>
        </w:rPr>
        <w:t xml:space="preserve"> c. Ungheria</w:t>
      </w:r>
      <w:r w:rsidRPr="00714817">
        <w:rPr>
          <w:sz w:val="21"/>
          <w:szCs w:val="21"/>
        </w:rPr>
        <w:t xml:space="preserve">, [GC], n. 9174/02, §§ 72-73, CEDU 2008, e </w:t>
      </w:r>
      <w:proofErr w:type="spellStart"/>
      <w:r w:rsidRPr="00714817">
        <w:rPr>
          <w:i/>
          <w:sz w:val="21"/>
          <w:szCs w:val="21"/>
        </w:rPr>
        <w:t>Kononov</w:t>
      </w:r>
      <w:proofErr w:type="spellEnd"/>
      <w:r w:rsidRPr="00714817">
        <w:rPr>
          <w:i/>
          <w:sz w:val="21"/>
          <w:szCs w:val="21"/>
        </w:rPr>
        <w:t xml:space="preserve"> c. Lettonia</w:t>
      </w:r>
      <w:r w:rsidRPr="00714817">
        <w:rPr>
          <w:sz w:val="21"/>
          <w:szCs w:val="21"/>
        </w:rPr>
        <w:t xml:space="preserve"> [GC], n. 36376/04, § 197, CEDU 2010 </w:t>
      </w:r>
    </w:p>
  </w:footnote>
  <w:footnote w:id="64">
    <w:p w14:paraId="7010A2C2" w14:textId="2CDB78D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 natura pretoria, come si è avuto modo di rilevare, non è stata contestata dalle parti in causa. La strategia difensiva del Governo si è incentrata, infatti, sulla considerazione che, pur ammettendone la genesi pretoria, la generale figura del “concorso esterno” aveva subito pregresse elaborazioni giurisprudenziali già sul finire degli anni ’60. Dunque, il reo avrebbe comunque potuto prevedere le conseguenze della propria condotta in conformità al trattamento sanzionatorio sancito per il reato in oggetto. All’argomento, il giudice europeo non ha mancato rilevare come il primo raccordo interpretativo tra l’art. 416-bis c.p. e il concorso esterno ha rinvenuto la propria emersione giurispr</w:t>
      </w:r>
      <w:r>
        <w:rPr>
          <w:sz w:val="21"/>
          <w:szCs w:val="21"/>
        </w:rPr>
        <w:t>udenziale solo nel 1987 con la «</w:t>
      </w:r>
      <w:r w:rsidRPr="00714817">
        <w:rPr>
          <w:i/>
          <w:sz w:val="21"/>
          <w:szCs w:val="21"/>
        </w:rPr>
        <w:t>sentenza Cillari</w:t>
      </w:r>
      <w:r>
        <w:rPr>
          <w:sz w:val="21"/>
          <w:szCs w:val="21"/>
        </w:rPr>
        <w:t>»</w:t>
      </w:r>
      <w:r w:rsidRPr="00714817">
        <w:rPr>
          <w:sz w:val="21"/>
          <w:szCs w:val="21"/>
        </w:rPr>
        <w:t>.</w:t>
      </w:r>
    </w:p>
  </w:footnote>
  <w:footnote w:id="65">
    <w:p w14:paraId="4332707B" w14:textId="6B9E013A"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V. </w:t>
      </w:r>
      <w:r>
        <w:rPr>
          <w:sz w:val="21"/>
          <w:szCs w:val="21"/>
        </w:rPr>
        <w:t>infra</w:t>
      </w:r>
      <w:r w:rsidRPr="00714817">
        <w:rPr>
          <w:sz w:val="21"/>
          <w:szCs w:val="21"/>
        </w:rPr>
        <w:t xml:space="preserve">, </w:t>
      </w:r>
      <w:r>
        <w:rPr>
          <w:i/>
          <w:sz w:val="21"/>
          <w:szCs w:val="21"/>
        </w:rPr>
        <w:t xml:space="preserve">Cass., sez. un. </w:t>
      </w:r>
      <w:r w:rsidRPr="00714817">
        <w:rPr>
          <w:sz w:val="21"/>
          <w:szCs w:val="21"/>
        </w:rPr>
        <w:t xml:space="preserve"> n. 16 del 5 ottobre 1994 (ric. </w:t>
      </w:r>
      <w:r w:rsidRPr="00714817">
        <w:rPr>
          <w:i/>
          <w:sz w:val="21"/>
          <w:szCs w:val="21"/>
        </w:rPr>
        <w:t>Demitry</w:t>
      </w:r>
      <w:r w:rsidRPr="00714817">
        <w:rPr>
          <w:sz w:val="21"/>
          <w:szCs w:val="21"/>
        </w:rPr>
        <w:t>)</w:t>
      </w:r>
    </w:p>
  </w:footnote>
  <w:footnote w:id="66">
    <w:p w14:paraId="25607660" w14:textId="6F68E53A"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Nel sistema penale il principio di legalità assurge a principio supremo in grado di conciliare al proprio interno una dimensione di matrice storicamente politico-garantistica (di ascendenza illuministica) con una concezione tecnica connesso all’esigenza della presenza del precetto legale. </w:t>
      </w:r>
    </w:p>
  </w:footnote>
  <w:footnote w:id="67">
    <w:p w14:paraId="29C38EC5" w14:textId="093C6FD4"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Quindi, in tal senso si apprezza la declinazione del potere statuale che si estrinseca attraverso differenti attività: incriminazione, interpretazione, applicazione. In quest’ottica, l’astratta previsione di legge addiviene alla sua concreta applicazione attraverso una attività di interpretazione congeniata in base alla forma, struttura, valori e canoni del sistema nel quale si inserisce.</w:t>
      </w:r>
    </w:p>
  </w:footnote>
  <w:footnote w:id="68">
    <w:p w14:paraId="6C3DDA6F" w14:textId="23C9DE2A"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w:t>
      </w:r>
      <w:r w:rsidR="00D4103F" w:rsidRPr="00D4103F">
        <w:rPr>
          <w:smallCaps/>
          <w:sz w:val="21"/>
          <w:szCs w:val="21"/>
        </w:rPr>
        <w:t>Santise</w:t>
      </w:r>
      <w:r w:rsidRPr="00714817">
        <w:rPr>
          <w:sz w:val="21"/>
          <w:szCs w:val="21"/>
        </w:rPr>
        <w:t>, “</w:t>
      </w:r>
      <w:r w:rsidRPr="00714817">
        <w:rPr>
          <w:i/>
          <w:sz w:val="21"/>
          <w:szCs w:val="21"/>
        </w:rPr>
        <w:t>Coordinate ermeneutiche di diritto penale</w:t>
      </w:r>
      <w:r w:rsidRPr="00714817">
        <w:rPr>
          <w:sz w:val="21"/>
          <w:szCs w:val="21"/>
        </w:rPr>
        <w:t xml:space="preserve">”, Giappichelli Editore, Torino, 2017, p. 435. L’autore riflette sul ruolo rivestito dall’interprete secondo la prospettiva tratteggiata dalla sentenza </w:t>
      </w:r>
      <w:r>
        <w:rPr>
          <w:i/>
          <w:sz w:val="21"/>
          <w:szCs w:val="21"/>
        </w:rPr>
        <w:t>Cass.</w:t>
      </w:r>
      <w:r w:rsidR="007D34CA">
        <w:rPr>
          <w:i/>
          <w:sz w:val="21"/>
          <w:szCs w:val="21"/>
        </w:rPr>
        <w:t xml:space="preserve"> s</w:t>
      </w:r>
      <w:r w:rsidRPr="00714817">
        <w:rPr>
          <w:i/>
          <w:sz w:val="21"/>
          <w:szCs w:val="21"/>
        </w:rPr>
        <w:t>ez. II</w:t>
      </w:r>
      <w:r w:rsidRPr="00714817">
        <w:rPr>
          <w:sz w:val="21"/>
          <w:szCs w:val="21"/>
        </w:rPr>
        <w:t>., sent. n. 34147 del 21 aprile 2015 con la quale la Suprema Corte ha risposto al diktat giurisprudenziale professato dalla</w:t>
      </w:r>
      <w:r w:rsidR="007D34CA">
        <w:rPr>
          <w:i/>
          <w:sz w:val="21"/>
          <w:szCs w:val="21"/>
        </w:rPr>
        <w:t xml:space="preserve"> Corte EDU, s</w:t>
      </w:r>
      <w:r w:rsidRPr="00714817">
        <w:rPr>
          <w:i/>
          <w:sz w:val="21"/>
          <w:szCs w:val="21"/>
        </w:rPr>
        <w:t>ez. IV</w:t>
      </w:r>
      <w:r w:rsidRPr="00714817">
        <w:rPr>
          <w:sz w:val="21"/>
          <w:szCs w:val="21"/>
        </w:rPr>
        <w:t xml:space="preserve">, sent. 14 aprile 2015, </w:t>
      </w:r>
      <w:r w:rsidRPr="00714817">
        <w:rPr>
          <w:i/>
          <w:sz w:val="21"/>
          <w:szCs w:val="21"/>
        </w:rPr>
        <w:t>Contrada c. Italia.</w:t>
      </w:r>
      <w:r w:rsidRPr="00714817">
        <w:rPr>
          <w:sz w:val="21"/>
          <w:szCs w:val="21"/>
        </w:rPr>
        <w:t xml:space="preserve"> All’interprete compete la possibilità di vagliare il “</w:t>
      </w:r>
      <w:r w:rsidRPr="00714817">
        <w:rPr>
          <w:i/>
          <w:sz w:val="21"/>
          <w:szCs w:val="21"/>
        </w:rPr>
        <w:t>quomodo</w:t>
      </w:r>
      <w:r w:rsidRPr="00714817">
        <w:rPr>
          <w:sz w:val="21"/>
          <w:szCs w:val="21"/>
        </w:rPr>
        <w:t xml:space="preserve">”, ossia le modalità di integrazione della fattispecie criminosa ma non </w:t>
      </w:r>
      <w:proofErr w:type="spellStart"/>
      <w:r w:rsidRPr="00714817">
        <w:rPr>
          <w:sz w:val="21"/>
          <w:szCs w:val="21"/>
        </w:rPr>
        <w:t>l’an</w:t>
      </w:r>
      <w:proofErr w:type="spellEnd"/>
      <w:r w:rsidRPr="00714817">
        <w:rPr>
          <w:sz w:val="21"/>
          <w:szCs w:val="21"/>
        </w:rPr>
        <w:t xml:space="preserve">, ossia la sua ammissibilità che resta incontestata sul piano del diritto positivo. </w:t>
      </w:r>
    </w:p>
  </w:footnote>
  <w:footnote w:id="69">
    <w:p w14:paraId="40C698CA" w14:textId="08E5D01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Sul punto </w:t>
      </w:r>
      <w:proofErr w:type="spellStart"/>
      <w:r w:rsidRPr="00714817">
        <w:rPr>
          <w:sz w:val="21"/>
          <w:szCs w:val="21"/>
        </w:rPr>
        <w:t>crf</w:t>
      </w:r>
      <w:proofErr w:type="spellEnd"/>
      <w:r w:rsidRPr="00714817">
        <w:rPr>
          <w:sz w:val="21"/>
          <w:szCs w:val="21"/>
        </w:rPr>
        <w:t>.</w:t>
      </w:r>
      <w:r w:rsidRPr="00714817">
        <w:rPr>
          <w:i/>
          <w:sz w:val="21"/>
          <w:szCs w:val="21"/>
        </w:rPr>
        <w:t xml:space="preserve"> </w:t>
      </w:r>
      <w:r>
        <w:rPr>
          <w:i/>
          <w:sz w:val="21"/>
          <w:szCs w:val="21"/>
        </w:rPr>
        <w:t xml:space="preserve">Cass., </w:t>
      </w:r>
      <w:proofErr w:type="spellStart"/>
      <w:r>
        <w:rPr>
          <w:i/>
          <w:sz w:val="21"/>
          <w:szCs w:val="21"/>
        </w:rPr>
        <w:t>ord</w:t>
      </w:r>
      <w:proofErr w:type="spellEnd"/>
      <w:r>
        <w:rPr>
          <w:i/>
          <w:sz w:val="21"/>
          <w:szCs w:val="21"/>
        </w:rPr>
        <w:t xml:space="preserve">. </w:t>
      </w:r>
      <w:proofErr w:type="spellStart"/>
      <w:r>
        <w:rPr>
          <w:i/>
          <w:sz w:val="21"/>
          <w:szCs w:val="21"/>
        </w:rPr>
        <w:t>rim</w:t>
      </w:r>
      <w:proofErr w:type="spellEnd"/>
      <w:r>
        <w:rPr>
          <w:i/>
          <w:sz w:val="21"/>
          <w:szCs w:val="21"/>
        </w:rPr>
        <w:t>. sez. u</w:t>
      </w:r>
      <w:r w:rsidRPr="00714817">
        <w:rPr>
          <w:i/>
          <w:sz w:val="21"/>
          <w:szCs w:val="21"/>
        </w:rPr>
        <w:t>n. n. 42043 del 5 ottobre 2016</w:t>
      </w:r>
      <w:r w:rsidRPr="00714817">
        <w:rPr>
          <w:sz w:val="21"/>
          <w:szCs w:val="21"/>
        </w:rPr>
        <w:t xml:space="preserve"> con la quale la Suprema Corte in un’ottica meramente argomentativa ha riconosciuto al consolidamento giurisprudenziale il tenore ermeneutico del “diritto vivente”. L’ordinanza rimette alle Sezioni Unite Penali la questione di massima e fondamentale importanza sulla configurabilità del concorso eventuale nel reato necessariamente plurisoggettivo di associazione per delinquere di cui all’art. 416 c.p. Uno degli argomenti sul quale fa leva l’orientamento possibilista è quello della somiglianza delle fattispecie di cui all’art. 416 e 416 – bis c.p. sul piano della tipizzazione legislativa. Ciò consentirebbe di estendere legittimamente la conquista ermeneutica intervenuta con riferimento al delitto di associazione mafiosa, “</w:t>
      </w:r>
      <w:r w:rsidRPr="00714817">
        <w:rPr>
          <w:i/>
          <w:sz w:val="21"/>
          <w:szCs w:val="21"/>
        </w:rPr>
        <w:t>per il quale il concorso eventuale è ormai diritto vivente</w:t>
      </w:r>
      <w:r w:rsidRPr="00714817">
        <w:rPr>
          <w:sz w:val="21"/>
          <w:szCs w:val="21"/>
        </w:rPr>
        <w:t xml:space="preserve">”, nella contigua fattispecie di associazione per delinquere.  </w:t>
      </w:r>
    </w:p>
    <w:p w14:paraId="5A64CA08" w14:textId="3FB349BF" w:rsidR="00C96A9E" w:rsidRPr="00714817" w:rsidRDefault="00C96A9E" w:rsidP="00714817">
      <w:pPr>
        <w:pStyle w:val="Testonotaapidipagina"/>
        <w:jc w:val="both"/>
        <w:rPr>
          <w:sz w:val="21"/>
          <w:szCs w:val="21"/>
        </w:rPr>
      </w:pPr>
      <w:r w:rsidRPr="00714817">
        <w:rPr>
          <w:sz w:val="21"/>
          <w:szCs w:val="21"/>
        </w:rPr>
        <w:t>In termini esplicativi, il sintagma in oggetto rinviene una sua prima enunciazi</w:t>
      </w:r>
      <w:r>
        <w:rPr>
          <w:sz w:val="21"/>
          <w:szCs w:val="21"/>
        </w:rPr>
        <w:t>one nella sentenza della Corte c</w:t>
      </w:r>
      <w:r w:rsidRPr="00714817">
        <w:rPr>
          <w:sz w:val="21"/>
          <w:szCs w:val="21"/>
        </w:rPr>
        <w:t>ostituzionale n. 276 dell’11 dicembre 1974 che lo definiva come «</w:t>
      </w:r>
      <w:r w:rsidRPr="00714817">
        <w:rPr>
          <w:i/>
          <w:sz w:val="21"/>
          <w:szCs w:val="21"/>
        </w:rPr>
        <w:t>il "sistema giurisprudenziale" formatosi, nel difetto di espresse disposizioni</w:t>
      </w:r>
      <w:r w:rsidRPr="00714817">
        <w:rPr>
          <w:sz w:val="21"/>
          <w:szCs w:val="21"/>
        </w:rPr>
        <w:t xml:space="preserve">». In modo più eloquente il diritto vivente oggi costituisce la locuzione per ascrivere ad un determinato risultato giurisprudenziale il crisma della interpretazione stabilizzata. Quindi, il diritto vivente non contravviene al principio di legalità in materia penale perché svolge una funzione di consolidamento degli approdi interpretativi, sostanzialmente consumando i discrezionali poteri dell’autorità giudicante. Sul rapporto tra fattispecie e vincolo interpretativo </w:t>
      </w:r>
      <w:proofErr w:type="spellStart"/>
      <w:r w:rsidRPr="00714817">
        <w:rPr>
          <w:sz w:val="21"/>
          <w:szCs w:val="21"/>
        </w:rPr>
        <w:t>crf</w:t>
      </w:r>
      <w:proofErr w:type="spellEnd"/>
      <w:r w:rsidRPr="00714817">
        <w:rPr>
          <w:sz w:val="21"/>
          <w:szCs w:val="21"/>
        </w:rPr>
        <w:t xml:space="preserve">. </w:t>
      </w:r>
      <w:r>
        <w:rPr>
          <w:i/>
          <w:sz w:val="21"/>
          <w:szCs w:val="21"/>
        </w:rPr>
        <w:t>Corte c</w:t>
      </w:r>
      <w:r w:rsidRPr="00714817">
        <w:rPr>
          <w:i/>
          <w:sz w:val="21"/>
          <w:szCs w:val="21"/>
        </w:rPr>
        <w:t>ost</w:t>
      </w:r>
      <w:r w:rsidRPr="00714817">
        <w:rPr>
          <w:sz w:val="21"/>
          <w:szCs w:val="21"/>
        </w:rPr>
        <w:t>. sent. n. 408 del 3 novembre 2005, e sent. n. 11 del 10 febbraio 1981, nonché sent. n. 293 del 6 dicembre 2013 e sent. n. 305 del 30 luglio 2008.</w:t>
      </w:r>
    </w:p>
  </w:footnote>
  <w:footnote w:id="70">
    <w:p w14:paraId="02126EF5" w14:textId="58278D9E" w:rsidR="00C96A9E" w:rsidRPr="00714817" w:rsidRDefault="00C96A9E" w:rsidP="00714817">
      <w:pPr>
        <w:pStyle w:val="Testonotaapidipagina"/>
        <w:jc w:val="both"/>
        <w:rPr>
          <w:color w:val="000000" w:themeColor="text1"/>
          <w:sz w:val="21"/>
          <w:szCs w:val="21"/>
        </w:rPr>
      </w:pPr>
      <w:r w:rsidRPr="00714817">
        <w:rPr>
          <w:rStyle w:val="Rimandonotaapidipagina"/>
          <w:color w:val="000000" w:themeColor="text1"/>
          <w:sz w:val="21"/>
          <w:szCs w:val="21"/>
        </w:rPr>
        <w:footnoteRef/>
      </w:r>
      <w:r w:rsidRPr="00714817">
        <w:rPr>
          <w:color w:val="000000" w:themeColor="text1"/>
          <w:sz w:val="21"/>
          <w:szCs w:val="21"/>
        </w:rPr>
        <w:t xml:space="preserve">  </w:t>
      </w:r>
      <w:bookmarkStart w:id="22" w:name="_Hlk495340923"/>
      <w:r w:rsidRPr="00714817">
        <w:rPr>
          <w:color w:val="000000" w:themeColor="text1"/>
          <w:sz w:val="21"/>
          <w:szCs w:val="21"/>
        </w:rPr>
        <w:t xml:space="preserve">Crf. </w:t>
      </w:r>
      <w:bookmarkStart w:id="23" w:name="_Hlk494987372"/>
      <w:bookmarkStart w:id="24" w:name="_Hlk494555632"/>
      <w:r w:rsidRPr="00C96A9E">
        <w:rPr>
          <w:smallCaps/>
          <w:sz w:val="21"/>
          <w:szCs w:val="21"/>
        </w:rPr>
        <w:t>Fiandaca-Musco</w:t>
      </w:r>
      <w:r w:rsidRPr="00714817">
        <w:rPr>
          <w:sz w:val="21"/>
          <w:szCs w:val="21"/>
        </w:rPr>
        <w:t xml:space="preserve">, </w:t>
      </w:r>
      <w:r>
        <w:rPr>
          <w:sz w:val="21"/>
          <w:szCs w:val="21"/>
        </w:rPr>
        <w:t>op. cit.</w:t>
      </w:r>
      <w:r w:rsidRPr="00714817">
        <w:rPr>
          <w:color w:val="000000" w:themeColor="text1"/>
          <w:sz w:val="21"/>
          <w:szCs w:val="21"/>
        </w:rPr>
        <w:t xml:space="preserve">, p. 463; </w:t>
      </w:r>
      <w:bookmarkEnd w:id="23"/>
      <w:r w:rsidR="00D4103F" w:rsidRPr="00D4103F">
        <w:rPr>
          <w:smallCaps/>
          <w:color w:val="000000" w:themeColor="text1"/>
          <w:sz w:val="21"/>
          <w:szCs w:val="21"/>
        </w:rPr>
        <w:t>Marinucci-Dolcini</w:t>
      </w:r>
      <w:r w:rsidR="00D4103F">
        <w:rPr>
          <w:color w:val="000000" w:themeColor="text1"/>
          <w:sz w:val="21"/>
          <w:szCs w:val="21"/>
        </w:rPr>
        <w:t>,</w:t>
      </w:r>
      <w:r w:rsidRPr="00714817">
        <w:rPr>
          <w:color w:val="000000" w:themeColor="text1"/>
          <w:sz w:val="21"/>
          <w:szCs w:val="21"/>
        </w:rPr>
        <w:t xml:space="preserve"> </w:t>
      </w:r>
      <w:r w:rsidR="00D4103F">
        <w:rPr>
          <w:color w:val="000000" w:themeColor="text1"/>
          <w:sz w:val="21"/>
          <w:szCs w:val="21"/>
        </w:rPr>
        <w:t>op. cit.</w:t>
      </w:r>
      <w:r w:rsidRPr="00714817">
        <w:rPr>
          <w:color w:val="000000" w:themeColor="text1"/>
          <w:sz w:val="21"/>
          <w:szCs w:val="21"/>
        </w:rPr>
        <w:t>, p. 353</w:t>
      </w:r>
      <w:bookmarkEnd w:id="24"/>
      <w:bookmarkEnd w:id="22"/>
      <w:r w:rsidRPr="00714817">
        <w:rPr>
          <w:color w:val="000000" w:themeColor="text1"/>
          <w:sz w:val="21"/>
          <w:szCs w:val="21"/>
        </w:rPr>
        <w:t xml:space="preserve">; </w:t>
      </w:r>
      <w:bookmarkStart w:id="25" w:name="_Hlk495563239"/>
      <w:r w:rsidRPr="00714817">
        <w:rPr>
          <w:color w:val="000000" w:themeColor="text1"/>
          <w:sz w:val="21"/>
          <w:szCs w:val="21"/>
        </w:rPr>
        <w:t>A. NAPPI, “</w:t>
      </w:r>
      <w:r w:rsidRPr="00714817">
        <w:rPr>
          <w:i/>
          <w:color w:val="000000" w:themeColor="text1"/>
          <w:sz w:val="21"/>
          <w:szCs w:val="21"/>
        </w:rPr>
        <w:t>Manuale di diritto penale. Parte generale</w:t>
      </w:r>
      <w:r w:rsidRPr="00714817">
        <w:rPr>
          <w:color w:val="000000" w:themeColor="text1"/>
          <w:sz w:val="21"/>
          <w:szCs w:val="21"/>
        </w:rPr>
        <w:t>”, Giuffrè Editore, Milano, 2010, p. 687.</w:t>
      </w:r>
      <w:bookmarkEnd w:id="25"/>
    </w:p>
  </w:footnote>
  <w:footnote w:id="71">
    <w:p w14:paraId="0EAAD9F7" w14:textId="6FA1D5A9" w:rsidR="00C96A9E" w:rsidRPr="00714817" w:rsidRDefault="00C96A9E" w:rsidP="00714817">
      <w:pPr>
        <w:pStyle w:val="Testonotaapidipagina"/>
        <w:jc w:val="both"/>
        <w:rPr>
          <w:color w:val="000000" w:themeColor="text1"/>
          <w:sz w:val="21"/>
          <w:szCs w:val="21"/>
        </w:rPr>
      </w:pPr>
      <w:r w:rsidRPr="00714817">
        <w:rPr>
          <w:rStyle w:val="Rimandonotaapidipagina"/>
          <w:color w:val="000000" w:themeColor="text1"/>
          <w:sz w:val="21"/>
          <w:szCs w:val="21"/>
        </w:rPr>
        <w:footnoteRef/>
      </w:r>
      <w:r w:rsidRPr="00714817">
        <w:rPr>
          <w:color w:val="000000" w:themeColor="text1"/>
          <w:sz w:val="21"/>
          <w:szCs w:val="21"/>
        </w:rPr>
        <w:t xml:space="preserve"> Per una analisi generale della rilevanza della scelta metodologica di tipizzazione operata dal legislatore con l’adesione alla “concezione unitaria” dell’istituto del concorso eventuale </w:t>
      </w:r>
      <w:proofErr w:type="spellStart"/>
      <w:r w:rsidRPr="00714817">
        <w:rPr>
          <w:color w:val="000000" w:themeColor="text1"/>
          <w:sz w:val="21"/>
          <w:szCs w:val="21"/>
        </w:rPr>
        <w:t>crf</w:t>
      </w:r>
      <w:proofErr w:type="spellEnd"/>
      <w:r w:rsidRPr="00714817">
        <w:rPr>
          <w:color w:val="000000" w:themeColor="text1"/>
          <w:sz w:val="21"/>
          <w:szCs w:val="21"/>
        </w:rPr>
        <w:t xml:space="preserve">. </w:t>
      </w:r>
      <w:r w:rsidRPr="00C96A9E">
        <w:rPr>
          <w:smallCaps/>
          <w:sz w:val="21"/>
          <w:szCs w:val="21"/>
        </w:rPr>
        <w:t>Fiandaca-Musco</w:t>
      </w:r>
      <w:r w:rsidRPr="00714817">
        <w:rPr>
          <w:sz w:val="21"/>
          <w:szCs w:val="21"/>
        </w:rPr>
        <w:t xml:space="preserve">, </w:t>
      </w:r>
      <w:r>
        <w:rPr>
          <w:sz w:val="21"/>
          <w:szCs w:val="21"/>
        </w:rPr>
        <w:t>op. cit.,</w:t>
      </w:r>
      <w:r w:rsidRPr="00714817">
        <w:rPr>
          <w:color w:val="000000" w:themeColor="text1"/>
          <w:sz w:val="21"/>
          <w:szCs w:val="21"/>
        </w:rPr>
        <w:t xml:space="preserve"> p. 495 e M. </w:t>
      </w:r>
      <w:proofErr w:type="spellStart"/>
      <w:r w:rsidRPr="00714817">
        <w:rPr>
          <w:color w:val="000000" w:themeColor="text1"/>
          <w:sz w:val="21"/>
          <w:szCs w:val="21"/>
        </w:rPr>
        <w:t>H</w:t>
      </w:r>
      <w:r w:rsidR="00D4103F" w:rsidRPr="00D4103F">
        <w:rPr>
          <w:smallCaps/>
          <w:color w:val="000000" w:themeColor="text1"/>
          <w:sz w:val="21"/>
          <w:szCs w:val="21"/>
        </w:rPr>
        <w:t>elfer</w:t>
      </w:r>
      <w:proofErr w:type="spellEnd"/>
      <w:r w:rsidRPr="00714817">
        <w:rPr>
          <w:color w:val="000000" w:themeColor="text1"/>
          <w:sz w:val="21"/>
          <w:szCs w:val="21"/>
        </w:rPr>
        <w:t>, “</w:t>
      </w:r>
      <w:r w:rsidRPr="00714817">
        <w:rPr>
          <w:i/>
          <w:color w:val="000000" w:themeColor="text1"/>
          <w:sz w:val="21"/>
          <w:szCs w:val="21"/>
        </w:rPr>
        <w:t>Il concorso di più persone nel reato: Problemi aperti del sistema unitario italiano</w:t>
      </w:r>
      <w:r w:rsidRPr="00714817">
        <w:rPr>
          <w:color w:val="000000" w:themeColor="text1"/>
          <w:sz w:val="21"/>
          <w:szCs w:val="21"/>
        </w:rPr>
        <w:t xml:space="preserve">”, Giappichelli Editore, Torino, 2013, pp. 209 </w:t>
      </w:r>
      <w:r w:rsidR="00392444">
        <w:rPr>
          <w:color w:val="000000" w:themeColor="text1"/>
          <w:sz w:val="21"/>
          <w:szCs w:val="21"/>
        </w:rPr>
        <w:t>ss.</w:t>
      </w:r>
    </w:p>
  </w:footnote>
  <w:footnote w:id="72">
    <w:p w14:paraId="581C6741" w14:textId="2D054451" w:rsidR="00C96A9E" w:rsidRPr="00714817" w:rsidRDefault="00C96A9E" w:rsidP="00714817">
      <w:pPr>
        <w:pStyle w:val="Testonotaapidipagina"/>
        <w:jc w:val="both"/>
        <w:rPr>
          <w:color w:val="000000" w:themeColor="text1"/>
          <w:sz w:val="21"/>
          <w:szCs w:val="21"/>
        </w:rPr>
      </w:pPr>
      <w:r w:rsidRPr="00714817">
        <w:rPr>
          <w:rStyle w:val="Rimandonotaapidipagina"/>
          <w:color w:val="000000" w:themeColor="text1"/>
          <w:sz w:val="21"/>
          <w:szCs w:val="21"/>
        </w:rPr>
        <w:footnoteRef/>
      </w:r>
      <w:r w:rsidRPr="00714817">
        <w:rPr>
          <w:color w:val="000000" w:themeColor="text1"/>
          <w:sz w:val="21"/>
          <w:szCs w:val="21"/>
        </w:rPr>
        <w:t xml:space="preserve"> </w:t>
      </w:r>
      <w:bookmarkStart w:id="26" w:name="_Hlk494471677"/>
      <w:r w:rsidRPr="00714817">
        <w:rPr>
          <w:color w:val="000000" w:themeColor="text1"/>
          <w:sz w:val="21"/>
          <w:szCs w:val="21"/>
        </w:rPr>
        <w:t xml:space="preserve">Crf. </w:t>
      </w:r>
      <w:r>
        <w:rPr>
          <w:i/>
          <w:color w:val="000000" w:themeColor="text1"/>
          <w:sz w:val="21"/>
          <w:szCs w:val="21"/>
        </w:rPr>
        <w:t>Cass., sez. u</w:t>
      </w:r>
      <w:r w:rsidRPr="00714817">
        <w:rPr>
          <w:i/>
          <w:color w:val="000000" w:themeColor="text1"/>
          <w:sz w:val="21"/>
          <w:szCs w:val="21"/>
        </w:rPr>
        <w:t>n</w:t>
      </w:r>
      <w:r w:rsidRPr="00714817">
        <w:rPr>
          <w:color w:val="000000" w:themeColor="text1"/>
          <w:sz w:val="21"/>
          <w:szCs w:val="21"/>
        </w:rPr>
        <w:t xml:space="preserve">., sent. n. 22327 del 30 ottobre 2002, </w:t>
      </w:r>
      <w:bookmarkEnd w:id="26"/>
      <w:r w:rsidRPr="00714817">
        <w:rPr>
          <w:color w:val="000000" w:themeColor="text1"/>
          <w:sz w:val="21"/>
          <w:szCs w:val="21"/>
        </w:rPr>
        <w:t>che riconducono la fattispecie delittuosa di cui all’art. 416 c.p. a</w:t>
      </w:r>
      <w:r>
        <w:rPr>
          <w:color w:val="000000" w:themeColor="text1"/>
          <w:sz w:val="21"/>
          <w:szCs w:val="21"/>
        </w:rPr>
        <w:t>lla integrazione di un evento: «</w:t>
      </w:r>
      <w:r w:rsidRPr="00714817">
        <w:rPr>
          <w:i/>
          <w:color w:val="000000" w:themeColor="text1"/>
          <w:sz w:val="21"/>
          <w:szCs w:val="21"/>
        </w:rPr>
        <w:t>nel reato di associazione per delinquere l’evento è la sussistenza e operatività del sodalizio, siccome idoneo a violare l’ordine pubblico ovvero gli altri beni giuridici tutelati dalle particolari previsioni legislative, la cui attuazione avviene attraverso la realizzazione del programma criminoso</w:t>
      </w:r>
      <w:r>
        <w:rPr>
          <w:color w:val="000000" w:themeColor="text1"/>
          <w:sz w:val="21"/>
          <w:szCs w:val="21"/>
        </w:rPr>
        <w:t>»</w:t>
      </w:r>
      <w:r w:rsidRPr="00714817">
        <w:rPr>
          <w:color w:val="000000" w:themeColor="text1"/>
          <w:sz w:val="21"/>
          <w:szCs w:val="21"/>
        </w:rPr>
        <w:t xml:space="preserve">. L’assunto è utilizzato per calibrare l’elemento soggettivo della fattispecie concorsuale sul “dolo diretto”.  Il perseguimento di finalità ulteriori si frappone all’integrazione di un evento secondario ma che comunque fa parte della componente conoscitiva del reato. </w:t>
      </w:r>
    </w:p>
  </w:footnote>
  <w:footnote w:id="73">
    <w:p w14:paraId="73F826B6" w14:textId="2E9958CC" w:rsidR="00C96A9E" w:rsidRPr="00714817" w:rsidRDefault="00C96A9E" w:rsidP="00714817">
      <w:pPr>
        <w:pStyle w:val="Testonotaapidipagina"/>
        <w:jc w:val="both"/>
        <w:rPr>
          <w:color w:val="000000" w:themeColor="text1"/>
          <w:sz w:val="21"/>
          <w:szCs w:val="21"/>
        </w:rPr>
      </w:pPr>
      <w:r w:rsidRPr="00714817">
        <w:rPr>
          <w:rStyle w:val="Rimandonotaapidipagina"/>
          <w:color w:val="000000" w:themeColor="text1"/>
          <w:sz w:val="21"/>
          <w:szCs w:val="21"/>
        </w:rPr>
        <w:footnoteRef/>
      </w:r>
      <w:r>
        <w:rPr>
          <w:color w:val="000000" w:themeColor="text1"/>
          <w:sz w:val="21"/>
          <w:szCs w:val="21"/>
        </w:rPr>
        <w:t xml:space="preserve"> Il riferimento è alla «</w:t>
      </w:r>
      <w:r w:rsidRPr="00714817">
        <w:rPr>
          <w:i/>
          <w:color w:val="000000" w:themeColor="text1"/>
          <w:sz w:val="21"/>
          <w:szCs w:val="21"/>
        </w:rPr>
        <w:t>sentenza Carnevale</w:t>
      </w:r>
      <w:r>
        <w:rPr>
          <w:color w:val="000000" w:themeColor="text1"/>
          <w:sz w:val="21"/>
          <w:szCs w:val="21"/>
        </w:rPr>
        <w:t>»</w:t>
      </w:r>
      <w:r w:rsidRPr="00714817">
        <w:rPr>
          <w:color w:val="000000" w:themeColor="text1"/>
          <w:sz w:val="21"/>
          <w:szCs w:val="21"/>
        </w:rPr>
        <w:t xml:space="preserve">: </w:t>
      </w:r>
      <w:r>
        <w:rPr>
          <w:i/>
          <w:color w:val="000000" w:themeColor="text1"/>
          <w:sz w:val="21"/>
          <w:szCs w:val="21"/>
        </w:rPr>
        <w:t>Cass., sez. u</w:t>
      </w:r>
      <w:r w:rsidRPr="00714817">
        <w:rPr>
          <w:i/>
          <w:color w:val="000000" w:themeColor="text1"/>
          <w:sz w:val="21"/>
          <w:szCs w:val="21"/>
        </w:rPr>
        <w:t>n</w:t>
      </w:r>
      <w:bookmarkStart w:id="27" w:name="_Hlk494467429"/>
      <w:r w:rsidRPr="00714817">
        <w:rPr>
          <w:color w:val="000000" w:themeColor="text1"/>
          <w:sz w:val="21"/>
          <w:szCs w:val="21"/>
        </w:rPr>
        <w:t>., sent. n. 22327 del 30 ottobre 2002.</w:t>
      </w:r>
      <w:bookmarkEnd w:id="27"/>
    </w:p>
  </w:footnote>
  <w:footnote w:id="74">
    <w:p w14:paraId="3F92D2C6" w14:textId="0F56FAC9"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r>
        <w:rPr>
          <w:color w:val="000000" w:themeColor="text1"/>
          <w:sz w:val="21"/>
          <w:szCs w:val="21"/>
        </w:rPr>
        <w:t>In termini generali, la «</w:t>
      </w:r>
      <w:r w:rsidRPr="00714817">
        <w:rPr>
          <w:i/>
          <w:color w:val="000000" w:themeColor="text1"/>
          <w:sz w:val="21"/>
          <w:szCs w:val="21"/>
        </w:rPr>
        <w:t>sentenza Demitry</w:t>
      </w:r>
      <w:r>
        <w:rPr>
          <w:color w:val="000000" w:themeColor="text1"/>
          <w:sz w:val="21"/>
          <w:szCs w:val="21"/>
        </w:rPr>
        <w:t>»</w:t>
      </w:r>
      <w:r w:rsidRPr="00714817">
        <w:rPr>
          <w:color w:val="000000" w:themeColor="text1"/>
          <w:sz w:val="21"/>
          <w:szCs w:val="21"/>
        </w:rPr>
        <w:t xml:space="preserve"> non manifesta una esplicita adesione alla teorica del “reato d’evento”. Tuttavia, gli esiti ermeneutici professano una chiara applicazione del </w:t>
      </w:r>
      <w:r w:rsidRPr="00714817">
        <w:rPr>
          <w:sz w:val="21"/>
          <w:szCs w:val="21"/>
        </w:rPr>
        <w:t xml:space="preserve">principio di causalità. Il dinamismo degli eventi è un assunto che la Suprema Corte non trascura. </w:t>
      </w:r>
    </w:p>
  </w:footnote>
  <w:footnote w:id="75">
    <w:p w14:paraId="620CBEE2" w14:textId="3959E9DC"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termini pratici, la Corte di Cassazione opta per la soluzione più aderente alla soluzione del caso concreto. In termini teorici la Suprema Corte sceglie il percorso risolutivo più eclatante, inteso ad una più semplice valutazione del nesso eziologico tra il contegno dell’extraneus e il “mantenimento” dello stato di compressione del bene giuridico</w:t>
      </w:r>
    </w:p>
  </w:footnote>
  <w:footnote w:id="76">
    <w:p w14:paraId="59E68DC1" w14:textId="0D0C5804"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Sotto un profilo pratico, la Corte di Cassazione opta per la soluzione più aderente alla soluzione del caso concreto. Dal punto di vista teorico la Suprema Corte sembra aver scelto un percorso risolutivo più eclatante, volto a ripiegare su elementi che consentano un più agevole giudizio sul nesso eziologico che riconnette il contegno dell’extraneus al perdurare dello stato di compressione del bene giuridico tutelato dalla norma incriminatrice.</w:t>
      </w:r>
    </w:p>
  </w:footnote>
  <w:footnote w:id="77">
    <w:p w14:paraId="1C2597CA" w14:textId="13818830"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A ben riflettere, infatti, la fattispecie del concorso esterno non può veder esaurite le sue potenzialità applicative entro il perimetro dello stato di difficoltà. Per quanto sia più difficile da accertare sul piano dell’effettivo influsso eziologico, il contributo dell’extraneus resta tale a prescindere dalla sussistenza di una condizione di dinamica decadenza. </w:t>
      </w:r>
    </w:p>
  </w:footnote>
  <w:footnote w:id="78">
    <w:p w14:paraId="34E28BAB" w14:textId="03B1EA56"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particolare, come più volte sottolineato, l’approdo ermeneutico più significativo, nonché punto di partenza per le elaborazioni succe</w:t>
      </w:r>
      <w:r>
        <w:rPr>
          <w:sz w:val="21"/>
          <w:szCs w:val="21"/>
        </w:rPr>
        <w:t>ssive, sembra costituito dalla «</w:t>
      </w:r>
      <w:r w:rsidRPr="00714817">
        <w:rPr>
          <w:i/>
          <w:sz w:val="21"/>
          <w:szCs w:val="21"/>
        </w:rPr>
        <w:t>sentenza Carnevale</w:t>
      </w:r>
      <w:r>
        <w:rPr>
          <w:sz w:val="21"/>
          <w:szCs w:val="21"/>
        </w:rPr>
        <w:t xml:space="preserve">» </w:t>
      </w:r>
      <w:r w:rsidRPr="00714817">
        <w:rPr>
          <w:sz w:val="21"/>
          <w:szCs w:val="21"/>
        </w:rPr>
        <w:t>(</w:t>
      </w:r>
      <w:r>
        <w:rPr>
          <w:i/>
          <w:sz w:val="21"/>
          <w:szCs w:val="21"/>
        </w:rPr>
        <w:t>Cass., sez. u</w:t>
      </w:r>
      <w:r w:rsidRPr="00714817">
        <w:rPr>
          <w:i/>
          <w:sz w:val="21"/>
          <w:szCs w:val="21"/>
        </w:rPr>
        <w:t>n</w:t>
      </w:r>
      <w:r w:rsidRPr="00714817">
        <w:rPr>
          <w:sz w:val="21"/>
          <w:szCs w:val="21"/>
        </w:rPr>
        <w:t>., sent. n. 22327 del 30 ottobre 2002).</w:t>
      </w:r>
    </w:p>
  </w:footnote>
  <w:footnote w:id="79">
    <w:p w14:paraId="592A53E9" w14:textId="60FE9288" w:rsidR="00C96A9E" w:rsidRPr="00714817" w:rsidRDefault="00C96A9E" w:rsidP="00714817">
      <w:pPr>
        <w:pStyle w:val="Testonotaapidipagina"/>
        <w:jc w:val="both"/>
        <w:rPr>
          <w:sz w:val="21"/>
          <w:szCs w:val="21"/>
        </w:rPr>
      </w:pPr>
      <w:r w:rsidRPr="00714817">
        <w:rPr>
          <w:rStyle w:val="Rimandonotaapidipagina"/>
          <w:sz w:val="21"/>
          <w:szCs w:val="21"/>
        </w:rPr>
        <w:footnoteRef/>
      </w:r>
      <w:r>
        <w:rPr>
          <w:sz w:val="21"/>
          <w:szCs w:val="21"/>
        </w:rPr>
        <w:t xml:space="preserve"> Esplicativa appare la «</w:t>
      </w:r>
      <w:r w:rsidRPr="00714817">
        <w:rPr>
          <w:i/>
          <w:sz w:val="21"/>
          <w:szCs w:val="21"/>
        </w:rPr>
        <w:t>sentenza Carnevale</w:t>
      </w:r>
      <w:r>
        <w:rPr>
          <w:sz w:val="21"/>
          <w:szCs w:val="21"/>
        </w:rPr>
        <w:t>» per la quale «</w:t>
      </w:r>
      <w:r w:rsidRPr="00714817">
        <w:rPr>
          <w:i/>
          <w:sz w:val="21"/>
          <w:szCs w:val="21"/>
        </w:rPr>
        <w:t xml:space="preserve">è necessario, quindi, per un verso siano </w:t>
      </w:r>
      <w:r w:rsidRPr="00714817">
        <w:rPr>
          <w:bCs/>
          <w:i/>
          <w:sz w:val="21"/>
          <w:szCs w:val="21"/>
        </w:rPr>
        <w:t>realizzati</w:t>
      </w:r>
      <w:r w:rsidRPr="00714817">
        <w:rPr>
          <w:i/>
          <w:sz w:val="21"/>
          <w:szCs w:val="21"/>
        </w:rPr>
        <w:t xml:space="preserve">, </w:t>
      </w:r>
      <w:r w:rsidRPr="00714817">
        <w:rPr>
          <w:bCs/>
          <w:i/>
          <w:sz w:val="21"/>
          <w:szCs w:val="21"/>
        </w:rPr>
        <w:t>nella forma consumata o tentata</w:t>
      </w:r>
      <w:r w:rsidRPr="00714817">
        <w:rPr>
          <w:i/>
          <w:sz w:val="21"/>
          <w:szCs w:val="21"/>
        </w:rPr>
        <w:t xml:space="preserve">, </w:t>
      </w:r>
      <w:r w:rsidRPr="00714817">
        <w:rPr>
          <w:bCs/>
          <w:i/>
          <w:sz w:val="21"/>
          <w:szCs w:val="21"/>
        </w:rPr>
        <w:t>tutti</w:t>
      </w:r>
      <w:r w:rsidRPr="00714817">
        <w:rPr>
          <w:i/>
          <w:sz w:val="21"/>
          <w:szCs w:val="21"/>
        </w:rPr>
        <w:t xml:space="preserve"> gli </w:t>
      </w:r>
      <w:r w:rsidRPr="00714817">
        <w:rPr>
          <w:bCs/>
          <w:i/>
          <w:sz w:val="21"/>
          <w:szCs w:val="21"/>
        </w:rPr>
        <w:t>elementi del fatto tipico di reato descritto dalla norma incriminatrice</w:t>
      </w:r>
      <w:r w:rsidRPr="00714817">
        <w:rPr>
          <w:i/>
          <w:sz w:val="21"/>
          <w:szCs w:val="21"/>
        </w:rPr>
        <w:t xml:space="preserve"> di parte speciale </w:t>
      </w:r>
      <w:r w:rsidRPr="00714817">
        <w:rPr>
          <w:bCs/>
          <w:i/>
          <w:sz w:val="21"/>
          <w:szCs w:val="21"/>
        </w:rPr>
        <w:t>e</w:t>
      </w:r>
      <w:r w:rsidRPr="00714817">
        <w:rPr>
          <w:i/>
          <w:sz w:val="21"/>
          <w:szCs w:val="21"/>
        </w:rPr>
        <w:t xml:space="preserve"> che la condotta di concorso sia oggettivamente e soggettivamente collegata con quegli elementi</w:t>
      </w:r>
      <w:r>
        <w:rPr>
          <w:sz w:val="21"/>
          <w:szCs w:val="21"/>
        </w:rPr>
        <w:t>»</w:t>
      </w:r>
      <w:r w:rsidRPr="00714817">
        <w:rPr>
          <w:sz w:val="21"/>
          <w:szCs w:val="21"/>
        </w:rPr>
        <w:t>.</w:t>
      </w:r>
    </w:p>
  </w:footnote>
  <w:footnote w:id="80">
    <w:p w14:paraId="423424EF" w14:textId="34233E5C"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Ai fini di ritenere integrato il requisito della permanenza, non rileva il fatto storico, ma il tipo legale. Dunque, il nucleo significativo essenziale della fattispecie è costituito dall’offesa al bene così come prescritta dalla norma incriminatrice. In tal senso, </w:t>
      </w:r>
      <w:proofErr w:type="spellStart"/>
      <w:r w:rsidRPr="00714817">
        <w:rPr>
          <w:sz w:val="21"/>
          <w:szCs w:val="21"/>
        </w:rPr>
        <w:t>crf</w:t>
      </w:r>
      <w:proofErr w:type="spellEnd"/>
      <w:r w:rsidRPr="00714817">
        <w:rPr>
          <w:sz w:val="21"/>
          <w:szCs w:val="21"/>
        </w:rPr>
        <w:t>. M. G</w:t>
      </w:r>
      <w:r w:rsidR="00D4103F" w:rsidRPr="00D4103F">
        <w:rPr>
          <w:smallCaps/>
          <w:sz w:val="21"/>
          <w:szCs w:val="21"/>
        </w:rPr>
        <w:t>allo</w:t>
      </w:r>
      <w:r w:rsidRPr="00714817">
        <w:rPr>
          <w:sz w:val="21"/>
          <w:szCs w:val="21"/>
        </w:rPr>
        <w:t>, “</w:t>
      </w:r>
      <w:r w:rsidRPr="00714817">
        <w:rPr>
          <w:i/>
          <w:sz w:val="21"/>
          <w:szCs w:val="21"/>
        </w:rPr>
        <w:t>Reato permanente ed omesso conferimento di grano all’ammasso</w:t>
      </w:r>
      <w:r w:rsidRPr="00714817">
        <w:rPr>
          <w:sz w:val="21"/>
          <w:szCs w:val="21"/>
        </w:rPr>
        <w:t xml:space="preserve">”, in Riv. </w:t>
      </w:r>
      <w:proofErr w:type="spellStart"/>
      <w:r w:rsidRPr="00714817">
        <w:rPr>
          <w:sz w:val="21"/>
          <w:szCs w:val="21"/>
        </w:rPr>
        <w:t>it</w:t>
      </w:r>
      <w:proofErr w:type="spellEnd"/>
      <w:r w:rsidRPr="00714817">
        <w:rPr>
          <w:sz w:val="21"/>
          <w:szCs w:val="21"/>
        </w:rPr>
        <w:t xml:space="preserve">. dir. proc. </w:t>
      </w:r>
      <w:proofErr w:type="spellStart"/>
      <w:r w:rsidRPr="00714817">
        <w:rPr>
          <w:sz w:val="21"/>
          <w:szCs w:val="21"/>
        </w:rPr>
        <w:t>pen</w:t>
      </w:r>
      <w:proofErr w:type="spellEnd"/>
      <w:r w:rsidRPr="00714817">
        <w:rPr>
          <w:sz w:val="21"/>
          <w:szCs w:val="21"/>
        </w:rPr>
        <w:t xml:space="preserve">., 1948, p. 330 </w:t>
      </w:r>
      <w:proofErr w:type="spellStart"/>
      <w:r w:rsidR="00392444">
        <w:rPr>
          <w:sz w:val="21"/>
          <w:szCs w:val="21"/>
        </w:rPr>
        <w:t>ss.</w:t>
      </w:r>
      <w:r>
        <w:rPr>
          <w:sz w:val="21"/>
          <w:szCs w:val="21"/>
        </w:rPr>
        <w:t>in</w:t>
      </w:r>
      <w:proofErr w:type="spellEnd"/>
      <w:r>
        <w:rPr>
          <w:sz w:val="21"/>
          <w:szCs w:val="21"/>
        </w:rPr>
        <w:t xml:space="preserve"> cui l’autore afferma che «</w:t>
      </w:r>
      <w:r w:rsidRPr="00714817">
        <w:rPr>
          <w:i/>
          <w:sz w:val="21"/>
          <w:szCs w:val="21"/>
        </w:rPr>
        <w:t>per stabilire la natura istantanea o permanente di una certa ipotesi delittuosa, non resta che rifarsi al dato primario di ogni esperienza giuridica: la norma che comanda o vieta determinati comportamenti</w:t>
      </w:r>
      <w:r>
        <w:rPr>
          <w:sz w:val="21"/>
          <w:szCs w:val="21"/>
        </w:rPr>
        <w:t>»</w:t>
      </w:r>
      <w:r w:rsidRPr="00714817">
        <w:rPr>
          <w:sz w:val="21"/>
          <w:szCs w:val="21"/>
        </w:rPr>
        <w:t>.</w:t>
      </w:r>
    </w:p>
  </w:footnote>
  <w:footnote w:id="81">
    <w:p w14:paraId="2A5C64E3" w14:textId="3F4EE76F"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w:t>
      </w:r>
      <w:r>
        <w:rPr>
          <w:i/>
          <w:sz w:val="21"/>
          <w:szCs w:val="21"/>
        </w:rPr>
        <w:t>Cass.</w:t>
      </w:r>
      <w:r w:rsidR="007D34CA">
        <w:rPr>
          <w:i/>
          <w:sz w:val="21"/>
          <w:szCs w:val="21"/>
        </w:rPr>
        <w:t xml:space="preserve"> s</w:t>
      </w:r>
      <w:r w:rsidRPr="00714817">
        <w:rPr>
          <w:i/>
          <w:sz w:val="21"/>
          <w:szCs w:val="21"/>
        </w:rPr>
        <w:t>ez. I</w:t>
      </w:r>
      <w:r w:rsidRPr="00714817">
        <w:rPr>
          <w:sz w:val="21"/>
          <w:szCs w:val="21"/>
        </w:rPr>
        <w:t xml:space="preserve">, sent. n. La nozione di partecipazione ha una “valenza dinamico – funzionalistica” diretta non soltanto ad uno stabile inserimento organico nella struttura associativa ma anche l’assunzione di un ruolo effettivo in ottemperanza ai vincoli assunti nonché l’adempimento dei compiti e la messa a disposizione per il perseguimento del programma criminoso. </w:t>
      </w:r>
    </w:p>
  </w:footnote>
  <w:footnote w:id="82">
    <w:p w14:paraId="124A503C" w14:textId="4976E930"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termini di fattispecie di durata si esprime la sentenza </w:t>
      </w:r>
      <w:r>
        <w:rPr>
          <w:i/>
          <w:sz w:val="21"/>
          <w:szCs w:val="21"/>
        </w:rPr>
        <w:t>Cass.</w:t>
      </w:r>
      <w:r w:rsidR="007D34CA">
        <w:rPr>
          <w:i/>
          <w:sz w:val="21"/>
          <w:szCs w:val="21"/>
        </w:rPr>
        <w:t>, s</w:t>
      </w:r>
      <w:r w:rsidRPr="00714817">
        <w:rPr>
          <w:i/>
          <w:sz w:val="21"/>
          <w:szCs w:val="21"/>
        </w:rPr>
        <w:t>ez. VI</w:t>
      </w:r>
      <w:r w:rsidRPr="00714817">
        <w:rPr>
          <w:sz w:val="21"/>
          <w:szCs w:val="21"/>
        </w:rPr>
        <w:t xml:space="preserve">, del 16.06.2007 (ric. </w:t>
      </w:r>
      <w:r w:rsidRPr="00714817">
        <w:rPr>
          <w:i/>
          <w:sz w:val="21"/>
          <w:szCs w:val="21"/>
        </w:rPr>
        <w:t>Apreda ed altri</w:t>
      </w:r>
      <w:r>
        <w:rPr>
          <w:sz w:val="21"/>
          <w:szCs w:val="21"/>
        </w:rPr>
        <w:t>) in forza della quale «</w:t>
      </w:r>
      <w:r w:rsidRPr="00714817">
        <w:rPr>
          <w:i/>
          <w:sz w:val="21"/>
          <w:szCs w:val="21"/>
        </w:rPr>
        <w:t>il reato di concorso esterno in associazione per delinquere oppure in quella specificamente mafiosa si atteggia, al pari della partecipazione, di regola, come reato permanente</w:t>
      </w:r>
      <w:r>
        <w:rPr>
          <w:sz w:val="21"/>
          <w:szCs w:val="21"/>
        </w:rPr>
        <w:t>».</w:t>
      </w:r>
    </w:p>
  </w:footnote>
  <w:footnote w:id="83">
    <w:p w14:paraId="48373889" w14:textId="601B42A5"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Si tratta di una elaborazione che sembra farsi strada attraverso un tacito ricorso alla figura del reato eventualmente permanente, elaborato in sede di astrazione concettuale da parte della dottrina.</w:t>
      </w:r>
    </w:p>
  </w:footnote>
  <w:footnote w:id="84">
    <w:p w14:paraId="4B2990A8" w14:textId="17F926F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Il sillogismo giuridico si compone di una premessa minore (il fatto storico), una premessa maggiore (le norme che qualificano quel fatto) ed una conclusione, consistente negli effetti scaturenti dalla applicazione delle norme (premessa maggiore) al fatto (premessa minore). Ciò posto, si è visto come la premessa maggiore sia costituita dalla tecnica della combinazione di norme (artt. 110 e 416-bis c.p.). Dunque, se tale espediente giuridico postula il combinato disposto tra la fattispecie incriminatrice e l’istituto del concorso (l’art. 110 c.p., per l’appunto) ciò significa che la conclusione (quindi gli effetti sanzionatori) non potranno che costituire diretta proiezione della disciplina del concorso eventuale. La produzione di effetti abnormi integrerebbe la violazione di uno dei postulati fondamentali della logica: il principio di non contraddizione.</w:t>
      </w:r>
    </w:p>
  </w:footnote>
  <w:footnote w:id="85">
    <w:p w14:paraId="309BBB61" w14:textId="63A909C0"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Riflette sulla differenza tra reato necessariamente ed</w:t>
      </w:r>
      <w:r w:rsidR="00D4103F">
        <w:rPr>
          <w:sz w:val="21"/>
          <w:szCs w:val="21"/>
        </w:rPr>
        <w:t xml:space="preserve"> eventualmente permanente v. </w:t>
      </w:r>
      <w:r w:rsidRPr="00714817">
        <w:rPr>
          <w:sz w:val="21"/>
          <w:szCs w:val="21"/>
        </w:rPr>
        <w:t>P</w:t>
      </w:r>
      <w:r w:rsidR="00D4103F" w:rsidRPr="00D4103F">
        <w:rPr>
          <w:smallCaps/>
          <w:sz w:val="21"/>
          <w:szCs w:val="21"/>
        </w:rPr>
        <w:t>agliaro</w:t>
      </w:r>
      <w:r w:rsidRPr="00714817">
        <w:rPr>
          <w:sz w:val="21"/>
          <w:szCs w:val="21"/>
        </w:rPr>
        <w:t>, “</w:t>
      </w:r>
      <w:r w:rsidRPr="00714817">
        <w:rPr>
          <w:i/>
          <w:sz w:val="21"/>
          <w:szCs w:val="21"/>
        </w:rPr>
        <w:t>Il diritto penale fra norma e società. Scritti 1956-2008, Volume 4</w:t>
      </w:r>
      <w:r w:rsidRPr="00714817">
        <w:rPr>
          <w:sz w:val="21"/>
          <w:szCs w:val="21"/>
        </w:rPr>
        <w:t>”, Giuffrè Editore, Milano, 2009, p. 226</w:t>
      </w:r>
    </w:p>
  </w:footnote>
  <w:footnote w:id="86">
    <w:p w14:paraId="094A0BEA" w14:textId="1885ECA3"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quest’ottica trapela la ipotesi che il sillogismo non sia puramente normativo (artt. 416-bis e 110 c.p.) ma si connoti anche in termini giurisprudenziali (art. 416-bis così come estensivamente interpretato dalla giurisprudenza dominante ricorrendo alla leva giuridica dell’art. 110 c.p.) </w:t>
      </w:r>
    </w:p>
  </w:footnote>
  <w:footnote w:id="87">
    <w:p w14:paraId="27C57ED2" w14:textId="0C0472C4"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Corroborata anche dalle riflessioni operate dalla richiamata Sezione IV della Corte EDU (sent. 14 aprile 2015, </w:t>
      </w:r>
      <w:r w:rsidRPr="00714817">
        <w:rPr>
          <w:i/>
          <w:sz w:val="21"/>
          <w:szCs w:val="21"/>
        </w:rPr>
        <w:t>Contrada c. Italia</w:t>
      </w:r>
      <w:r w:rsidRPr="00714817">
        <w:rPr>
          <w:sz w:val="21"/>
          <w:szCs w:val="21"/>
        </w:rPr>
        <w:t xml:space="preserve">) che ha qualificato la fattispecie come reato di derivazione giurisprudenziale, dotato di una propria tipicità di conio pretorio. </w:t>
      </w:r>
    </w:p>
  </w:footnote>
  <w:footnote w:id="88">
    <w:p w14:paraId="45569ED2" w14:textId="1F565648"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bookmarkStart w:id="28" w:name="_Hlk495502892"/>
      <w:r w:rsidR="00D4103F">
        <w:rPr>
          <w:sz w:val="21"/>
          <w:szCs w:val="21"/>
        </w:rPr>
        <w:t xml:space="preserve">Crf. </w:t>
      </w:r>
      <w:r w:rsidRPr="00714817">
        <w:rPr>
          <w:sz w:val="21"/>
          <w:szCs w:val="21"/>
        </w:rPr>
        <w:t>M</w:t>
      </w:r>
      <w:r w:rsidRPr="00C96A9E">
        <w:rPr>
          <w:smallCaps/>
          <w:sz w:val="21"/>
          <w:szCs w:val="21"/>
        </w:rPr>
        <w:t>aiello</w:t>
      </w:r>
      <w:r w:rsidRPr="00714817">
        <w:rPr>
          <w:sz w:val="21"/>
          <w:szCs w:val="21"/>
        </w:rPr>
        <w:t>, “</w:t>
      </w:r>
      <w:r w:rsidRPr="00714817">
        <w:rPr>
          <w:i/>
          <w:sz w:val="21"/>
          <w:szCs w:val="21"/>
        </w:rPr>
        <w:t>Sul preteso carattere permanente del concorso esterno</w:t>
      </w:r>
      <w:r w:rsidRPr="00714817">
        <w:rPr>
          <w:sz w:val="21"/>
          <w:szCs w:val="21"/>
        </w:rPr>
        <w:t xml:space="preserve">”, in Dir. Pen. contemporaneo - Riv. Trim. n. 2/2014, p. 40 </w:t>
      </w:r>
      <w:r w:rsidR="00392444">
        <w:rPr>
          <w:sz w:val="21"/>
          <w:szCs w:val="21"/>
        </w:rPr>
        <w:t>ss.</w:t>
      </w:r>
    </w:p>
    <w:bookmarkEnd w:id="28"/>
  </w:footnote>
  <w:footnote w:id="89">
    <w:p w14:paraId="15717A40" w14:textId="3CAF24E1" w:rsidR="00C96A9E" w:rsidRPr="00714817" w:rsidRDefault="00C96A9E" w:rsidP="00714817">
      <w:pPr>
        <w:pStyle w:val="Testonotaapidipagina"/>
        <w:jc w:val="both"/>
        <w:rPr>
          <w:sz w:val="21"/>
          <w:szCs w:val="21"/>
        </w:rPr>
      </w:pPr>
      <w:r w:rsidRPr="00714817">
        <w:rPr>
          <w:rStyle w:val="Rimandonotaapidipagina"/>
          <w:sz w:val="21"/>
          <w:szCs w:val="21"/>
        </w:rPr>
        <w:footnoteRef/>
      </w:r>
      <w:r w:rsidR="00D4103F">
        <w:rPr>
          <w:sz w:val="21"/>
          <w:szCs w:val="21"/>
        </w:rPr>
        <w:t xml:space="preserve"> Crf. </w:t>
      </w:r>
      <w:r w:rsidRPr="00714817">
        <w:rPr>
          <w:sz w:val="21"/>
          <w:szCs w:val="21"/>
        </w:rPr>
        <w:t>M</w:t>
      </w:r>
      <w:r w:rsidRPr="00C96A9E">
        <w:rPr>
          <w:smallCaps/>
          <w:sz w:val="21"/>
          <w:szCs w:val="21"/>
        </w:rPr>
        <w:t>aiello</w:t>
      </w:r>
      <w:r w:rsidRPr="00714817">
        <w:rPr>
          <w:sz w:val="21"/>
          <w:szCs w:val="21"/>
        </w:rPr>
        <w:t>,</w:t>
      </w:r>
      <w:r>
        <w:rPr>
          <w:sz w:val="21"/>
          <w:szCs w:val="21"/>
        </w:rPr>
        <w:t xml:space="preserve"> </w:t>
      </w:r>
      <w:r w:rsidRPr="00C96A9E">
        <w:rPr>
          <w:i/>
          <w:sz w:val="21"/>
          <w:szCs w:val="21"/>
        </w:rPr>
        <w:t>op cit</w:t>
      </w:r>
      <w:r w:rsidR="005D425E">
        <w:rPr>
          <w:sz w:val="21"/>
          <w:szCs w:val="21"/>
        </w:rPr>
        <w:t>.</w:t>
      </w:r>
      <w:r w:rsidRPr="00714817">
        <w:rPr>
          <w:sz w:val="21"/>
          <w:szCs w:val="21"/>
        </w:rPr>
        <w:t>, p. 44</w:t>
      </w:r>
      <w:r>
        <w:rPr>
          <w:sz w:val="21"/>
          <w:szCs w:val="21"/>
        </w:rPr>
        <w:t xml:space="preserve"> (v. nota n. 23); F</w:t>
      </w:r>
      <w:r w:rsidRPr="00C96A9E">
        <w:rPr>
          <w:smallCaps/>
          <w:sz w:val="21"/>
          <w:szCs w:val="21"/>
        </w:rPr>
        <w:t>iandaca</w:t>
      </w:r>
      <w:r>
        <w:rPr>
          <w:sz w:val="21"/>
          <w:szCs w:val="21"/>
        </w:rPr>
        <w:t>, “</w:t>
      </w:r>
      <w:r w:rsidRPr="00714817">
        <w:rPr>
          <w:i/>
          <w:sz w:val="21"/>
          <w:szCs w:val="21"/>
        </w:rPr>
        <w:t>Il concorso esterno: un istituto (ancora) senza pace</w:t>
      </w:r>
      <w:r w:rsidRPr="00714817">
        <w:rPr>
          <w:sz w:val="21"/>
          <w:szCs w:val="21"/>
        </w:rPr>
        <w:t xml:space="preserve">”, in </w:t>
      </w:r>
      <w:proofErr w:type="spellStart"/>
      <w:r w:rsidRPr="00714817">
        <w:rPr>
          <w:sz w:val="21"/>
          <w:szCs w:val="21"/>
        </w:rPr>
        <w:t>Leg</w:t>
      </w:r>
      <w:proofErr w:type="spellEnd"/>
      <w:r w:rsidRPr="00714817">
        <w:rPr>
          <w:sz w:val="21"/>
          <w:szCs w:val="21"/>
        </w:rPr>
        <w:t xml:space="preserve">. </w:t>
      </w:r>
      <w:proofErr w:type="spellStart"/>
      <w:r w:rsidRPr="00714817">
        <w:rPr>
          <w:sz w:val="21"/>
          <w:szCs w:val="21"/>
        </w:rPr>
        <w:t>pen</w:t>
      </w:r>
      <w:proofErr w:type="spellEnd"/>
      <w:r w:rsidRPr="00714817">
        <w:rPr>
          <w:sz w:val="21"/>
          <w:szCs w:val="21"/>
        </w:rPr>
        <w:t xml:space="preserve">., 2012. </w:t>
      </w:r>
    </w:p>
  </w:footnote>
  <w:footnote w:id="90">
    <w:p w14:paraId="2DDCF613" w14:textId="3A329E8F"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Riportando letteralmente il contributo dottrinal</w:t>
      </w:r>
      <w:r>
        <w:rPr>
          <w:sz w:val="21"/>
          <w:szCs w:val="21"/>
        </w:rPr>
        <w:t>e di cui alla nota precedente: «</w:t>
      </w:r>
      <w:r w:rsidRPr="00714817">
        <w:rPr>
          <w:i/>
          <w:sz w:val="21"/>
          <w:szCs w:val="21"/>
        </w:rPr>
        <w:t>i segni impressi dal ‘formante giurisprudenziale’ sono a dir poco ‘accecanti’: la scelta del secondo termine della relazione causale del ‘fatto’ di concorso; l’utilizzo di una rigorosa causalità condizionalistica; la punibilità a titolo di dolo diretto, la sottoposizione al regime sanzionatorio della sola partecipazione</w:t>
      </w:r>
      <w:r>
        <w:rPr>
          <w:sz w:val="21"/>
          <w:szCs w:val="21"/>
        </w:rPr>
        <w:t>»</w:t>
      </w:r>
      <w:r w:rsidRPr="00714817">
        <w:rPr>
          <w:sz w:val="21"/>
          <w:szCs w:val="21"/>
        </w:rPr>
        <w:t>.</w:t>
      </w:r>
    </w:p>
  </w:footnote>
  <w:footnote w:id="91">
    <w:p w14:paraId="519E9797" w14:textId="4FCD54F3"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E</w:t>
      </w:r>
      <w:r>
        <w:rPr>
          <w:sz w:val="21"/>
          <w:szCs w:val="21"/>
        </w:rPr>
        <w:t>splicativa sul punto appare la «</w:t>
      </w:r>
      <w:r w:rsidRPr="00714817">
        <w:rPr>
          <w:i/>
          <w:sz w:val="21"/>
          <w:szCs w:val="21"/>
        </w:rPr>
        <w:t>sentenza Mannino</w:t>
      </w:r>
      <w:r>
        <w:rPr>
          <w:sz w:val="21"/>
          <w:szCs w:val="21"/>
        </w:rPr>
        <w:t>»</w:t>
      </w:r>
      <w:r w:rsidRPr="00714817">
        <w:rPr>
          <w:sz w:val="21"/>
          <w:szCs w:val="21"/>
        </w:rPr>
        <w:t xml:space="preserve"> con la quale la Suprema Corte ha richiamat</w:t>
      </w:r>
      <w:r>
        <w:rPr>
          <w:sz w:val="21"/>
          <w:szCs w:val="21"/>
        </w:rPr>
        <w:t>o la necessità di accertare un «</w:t>
      </w:r>
      <w:r w:rsidRPr="00714817">
        <w:rPr>
          <w:i/>
          <w:sz w:val="21"/>
          <w:szCs w:val="21"/>
        </w:rPr>
        <w:t>effettivo nesso condizionalistico tra la condotta stessa e la realizzazione del fatto di reato</w:t>
      </w:r>
      <w:r>
        <w:rPr>
          <w:sz w:val="21"/>
          <w:szCs w:val="21"/>
        </w:rPr>
        <w:t>»</w:t>
      </w:r>
      <w:r w:rsidRPr="00714817">
        <w:rPr>
          <w:sz w:val="21"/>
          <w:szCs w:val="21"/>
        </w:rPr>
        <w:t>.</w:t>
      </w:r>
    </w:p>
  </w:footnote>
  <w:footnote w:id="92">
    <w:p w14:paraId="5D5BB3ED" w14:textId="06B526E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Una declinazione che stride con la rigorosa applicazione della teoria condizionalistica. </w:t>
      </w:r>
    </w:p>
  </w:footnote>
  <w:footnote w:id="93">
    <w:p w14:paraId="33221072" w14:textId="50B0F79F"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Crf. </w:t>
      </w:r>
      <w:r w:rsidRPr="00C96A9E">
        <w:rPr>
          <w:smallCaps/>
          <w:sz w:val="21"/>
          <w:szCs w:val="21"/>
        </w:rPr>
        <w:t>Fiandaca-Musco</w:t>
      </w:r>
      <w:r w:rsidRPr="00714817">
        <w:rPr>
          <w:sz w:val="21"/>
          <w:szCs w:val="21"/>
        </w:rPr>
        <w:t xml:space="preserve">, </w:t>
      </w:r>
      <w:r>
        <w:rPr>
          <w:sz w:val="21"/>
          <w:szCs w:val="21"/>
        </w:rPr>
        <w:t xml:space="preserve">op. cit., </w:t>
      </w:r>
      <w:r w:rsidRPr="00714817">
        <w:rPr>
          <w:sz w:val="21"/>
          <w:szCs w:val="21"/>
        </w:rPr>
        <w:t xml:space="preserve">pp. 507 </w:t>
      </w:r>
      <w:r w:rsidR="00392444">
        <w:rPr>
          <w:sz w:val="21"/>
          <w:szCs w:val="21"/>
        </w:rPr>
        <w:t>ss.</w:t>
      </w:r>
      <w:r w:rsidR="007D34CA">
        <w:rPr>
          <w:sz w:val="21"/>
          <w:szCs w:val="21"/>
        </w:rPr>
        <w:t xml:space="preserve"> dove gli autori ricostruiscono lo statuto del</w:t>
      </w:r>
      <w:r w:rsidRPr="00714817">
        <w:rPr>
          <w:sz w:val="21"/>
          <w:szCs w:val="21"/>
        </w:rPr>
        <w:t xml:space="preserve"> nesso causale </w:t>
      </w:r>
      <w:r w:rsidR="007D34CA">
        <w:rPr>
          <w:sz w:val="21"/>
          <w:szCs w:val="21"/>
        </w:rPr>
        <w:t>fondandolo su un</w:t>
      </w:r>
      <w:r w:rsidRPr="00714817">
        <w:rPr>
          <w:sz w:val="21"/>
          <w:szCs w:val="21"/>
        </w:rPr>
        <w:t xml:space="preserve"> giudizio da condursi ex post, </w:t>
      </w:r>
      <w:r w:rsidR="007D34CA">
        <w:rPr>
          <w:sz w:val="21"/>
          <w:szCs w:val="21"/>
        </w:rPr>
        <w:t>da parte di un osservatore che assume a punto</w:t>
      </w:r>
      <w:r w:rsidRPr="00714817">
        <w:rPr>
          <w:sz w:val="21"/>
          <w:szCs w:val="21"/>
        </w:rPr>
        <w:t xml:space="preserve"> di riferimento </w:t>
      </w:r>
      <w:r>
        <w:rPr>
          <w:sz w:val="21"/>
          <w:szCs w:val="21"/>
        </w:rPr>
        <w:t>l’evento concreto «</w:t>
      </w:r>
      <w:r w:rsidRPr="00714817">
        <w:rPr>
          <w:i/>
          <w:sz w:val="21"/>
          <w:szCs w:val="21"/>
        </w:rPr>
        <w:t>hic et nunc</w:t>
      </w:r>
      <w:r>
        <w:rPr>
          <w:sz w:val="21"/>
          <w:szCs w:val="21"/>
        </w:rPr>
        <w:t>» considerato</w:t>
      </w:r>
      <w:r w:rsidR="007D34CA">
        <w:rPr>
          <w:sz w:val="21"/>
          <w:szCs w:val="21"/>
        </w:rPr>
        <w:t>,</w:t>
      </w:r>
      <w:r>
        <w:rPr>
          <w:sz w:val="21"/>
          <w:szCs w:val="21"/>
        </w:rPr>
        <w:t xml:space="preserve"> «</w:t>
      </w:r>
      <w:r w:rsidRPr="00714817">
        <w:rPr>
          <w:i/>
          <w:sz w:val="21"/>
          <w:szCs w:val="21"/>
        </w:rPr>
        <w:t>mentre è irrilevante la circostanza che un evento analogo avrebbe potuto verificarsi come conseguenza di fattori ipotetici rimasti inoperanti</w:t>
      </w:r>
      <w:r>
        <w:rPr>
          <w:sz w:val="21"/>
          <w:szCs w:val="21"/>
        </w:rPr>
        <w:t>»</w:t>
      </w:r>
      <w:r w:rsidRPr="00714817">
        <w:rPr>
          <w:sz w:val="21"/>
          <w:szCs w:val="21"/>
        </w:rPr>
        <w:t>.</w:t>
      </w:r>
    </w:p>
  </w:footnote>
  <w:footnote w:id="94">
    <w:p w14:paraId="6472EF90" w14:textId="4191B6EE"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La fattispecie sarebbe “autonoma” perché non accessoria rispetto ad alcuna delle condotte tipizzate. Tuttavia, sarebbe, altresì, “satellitare” se si considera che essa trae linfa vitale e, dunque, rilevanza penale dalla compiuta configurazione (perfezionamento) del reato di associazione mafiosa, che in questo specifico senso si erge a presupposto fattuale del delitto. </w:t>
      </w:r>
    </w:p>
  </w:footnote>
  <w:footnote w:id="95">
    <w:p w14:paraId="307FD3C4" w14:textId="1C82A349"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tal senso, aderendo alla teoria della fattispecie plurisoggettiva eventuale, il combinato disposto indurrebbe comunque ad ammettere una “nuova tipicità”.</w:t>
      </w:r>
    </w:p>
  </w:footnote>
  <w:footnote w:id="96">
    <w:p w14:paraId="43BCA650" w14:textId="3F093E9F"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Nel senso che la giurisprudenza, sulla base dell’erronea applicazione della “leva incriminatrice” predisposta dall’art. 110 c.p., ne ha, in realtà, gradualmente definito i tratti “tipici”. In questa prospettiva, dunque, la figura si sarebbe affermata nel panorama giurisprudenziale come approdo ormai consolidato ma nato con un peccato originale (di un sillogismo giuridico erroneo).    </w:t>
      </w:r>
    </w:p>
  </w:footnote>
  <w:footnote w:id="97">
    <w:p w14:paraId="23D7D22B" w14:textId="29754AF1" w:rsidR="00C96A9E" w:rsidRPr="00C71ABE" w:rsidRDefault="00C96A9E" w:rsidP="00C71ABE">
      <w:pPr>
        <w:pStyle w:val="Testonotaapidipagina"/>
        <w:jc w:val="both"/>
        <w:rPr>
          <w:sz w:val="21"/>
          <w:szCs w:val="21"/>
        </w:rPr>
      </w:pPr>
      <w:r w:rsidRPr="00C71ABE">
        <w:rPr>
          <w:rStyle w:val="Rimandonotaapidipagina"/>
          <w:sz w:val="21"/>
          <w:szCs w:val="21"/>
        </w:rPr>
        <w:footnoteRef/>
      </w:r>
      <w:r w:rsidRPr="00C71ABE">
        <w:rPr>
          <w:sz w:val="21"/>
          <w:szCs w:val="21"/>
        </w:rPr>
        <w:t xml:space="preserve"> Disattendendo cosi gli approdi dogmatici di matrice ermeneutica che professano una applicazione del criterio di efficienza causale condotto secondo i crismi della causalità agevolatrice o di rinforzo.</w:t>
      </w:r>
    </w:p>
  </w:footnote>
  <w:footnote w:id="98">
    <w:p w14:paraId="5A386100" w14:textId="05D8D1A7" w:rsidR="00C96A9E" w:rsidRPr="00C71ABE" w:rsidRDefault="00C96A9E" w:rsidP="00C71ABE">
      <w:pPr>
        <w:pStyle w:val="Testonotaapidipagina"/>
        <w:jc w:val="both"/>
        <w:rPr>
          <w:b/>
          <w:sz w:val="21"/>
          <w:szCs w:val="21"/>
        </w:rPr>
      </w:pPr>
      <w:r w:rsidRPr="00C71ABE">
        <w:rPr>
          <w:rStyle w:val="Rimandonotaapidipagina"/>
          <w:sz w:val="21"/>
          <w:szCs w:val="21"/>
        </w:rPr>
        <w:footnoteRef/>
      </w:r>
      <w:r w:rsidRPr="00C71ABE">
        <w:rPr>
          <w:sz w:val="21"/>
          <w:szCs w:val="21"/>
        </w:rPr>
        <w:t xml:space="preserve"> L’assunto sembra comprovato dalle stesse contestazioni rivolte </w:t>
      </w:r>
      <w:r>
        <w:rPr>
          <w:sz w:val="21"/>
          <w:szCs w:val="21"/>
        </w:rPr>
        <w:t>a Calogero</w:t>
      </w:r>
      <w:r w:rsidRPr="00C71ABE">
        <w:rPr>
          <w:sz w:val="21"/>
          <w:szCs w:val="21"/>
        </w:rPr>
        <w:t xml:space="preserve"> Mannino dalla pubblica accusa e riportate dalla sentenza che ha sancito la definitiva soluzione giuridica della vicenda. La pronuncia</w:t>
      </w:r>
      <w:r>
        <w:rPr>
          <w:sz w:val="21"/>
          <w:szCs w:val="21"/>
        </w:rPr>
        <w:t>,</w:t>
      </w:r>
      <w:r w:rsidRPr="00C71ABE">
        <w:rPr>
          <w:sz w:val="21"/>
          <w:szCs w:val="21"/>
        </w:rPr>
        <w:t xml:space="preserve"> nel riportare </w:t>
      </w:r>
      <w:r>
        <w:rPr>
          <w:sz w:val="21"/>
          <w:szCs w:val="21"/>
        </w:rPr>
        <w:t>gli addebiti</w:t>
      </w:r>
      <w:r w:rsidRPr="00C71ABE">
        <w:rPr>
          <w:sz w:val="21"/>
          <w:szCs w:val="21"/>
        </w:rPr>
        <w:t xml:space="preserve"> formulat</w:t>
      </w:r>
      <w:r>
        <w:rPr>
          <w:sz w:val="21"/>
          <w:szCs w:val="21"/>
        </w:rPr>
        <w:t>i</w:t>
      </w:r>
      <w:r w:rsidRPr="00C71ABE">
        <w:rPr>
          <w:sz w:val="21"/>
          <w:szCs w:val="21"/>
        </w:rPr>
        <w:t xml:space="preserve"> nei con</w:t>
      </w:r>
      <w:r>
        <w:rPr>
          <w:sz w:val="21"/>
          <w:szCs w:val="21"/>
        </w:rPr>
        <w:t>f</w:t>
      </w:r>
      <w:r w:rsidRPr="00C71ABE">
        <w:rPr>
          <w:sz w:val="21"/>
          <w:szCs w:val="21"/>
        </w:rPr>
        <w:t>ronti dell’imputato</w:t>
      </w:r>
      <w:r>
        <w:rPr>
          <w:sz w:val="21"/>
          <w:szCs w:val="21"/>
        </w:rPr>
        <w:t>,</w:t>
      </w:r>
      <w:r w:rsidRPr="00C71ABE">
        <w:rPr>
          <w:sz w:val="21"/>
          <w:szCs w:val="21"/>
        </w:rPr>
        <w:t xml:space="preserve"> </w:t>
      </w:r>
      <w:r>
        <w:rPr>
          <w:sz w:val="21"/>
          <w:szCs w:val="21"/>
        </w:rPr>
        <w:t>ha infatti posto in risalto il contesto delittuoso nel quale la condotta s’inscrive. A ben guardare, infatti, in via di prima approssimazione, l’ipotesi accusatoria ha descritto la fisionomia del comportamento fattuale posto in essere dal politico: l’erogazione di prestazioni di favore nei confronti di una associazione. Dopo aver sottolineato il dinamismo materiale della condotta, evidenziandone la medesima direzione lesiva (evento) del delitto di cui all’art. 416-bis c.p., la contestazione non ha preso in considerazione la compenetrazione tra apporti atipici e contegni tipizzati. Tutt’al più esso si è soffermato sul profilo valoriale nel quale il concorso esterno dell’imputato è apparso inscritto. In quest’ottica a rilevare è lo “sfondo” criminoso che si erge a presupposto del disvalore penale nel senso qualificato dalla norma incriminatrice in questione. Una riprovevolezza che deriva «</w:t>
      </w:r>
      <w:r w:rsidRPr="00C71ABE">
        <w:rPr>
          <w:i/>
          <w:sz w:val="21"/>
          <w:szCs w:val="21"/>
        </w:rPr>
        <w:t>dall’essere Cosa nostra un’associazione armata volta a commettere delitti, nonché ad assumere e mantenere il controllo di attività economiche mediante risorse finanziarie di provenienza delittuosa</w:t>
      </w:r>
      <w:r w:rsidRPr="00C71ABE">
        <w:rPr>
          <w:b/>
          <w:i/>
          <w:sz w:val="21"/>
          <w:szCs w:val="21"/>
        </w:rPr>
        <w:t>»</w:t>
      </w:r>
      <w:r>
        <w:rPr>
          <w:b/>
          <w:sz w:val="21"/>
          <w:szCs w:val="21"/>
        </w:rPr>
        <w:t xml:space="preserve">. </w:t>
      </w:r>
    </w:p>
  </w:footnote>
  <w:footnote w:id="99">
    <w:p w14:paraId="1D550538" w14:textId="2B82ECD4" w:rsidR="00C96A9E" w:rsidRPr="00714817" w:rsidRDefault="00C96A9E" w:rsidP="00714817">
      <w:pPr>
        <w:pStyle w:val="Testonotaapidipagina"/>
        <w:jc w:val="both"/>
        <w:rPr>
          <w:sz w:val="21"/>
          <w:szCs w:val="21"/>
        </w:rPr>
      </w:pPr>
      <w:r w:rsidRPr="00714817">
        <w:rPr>
          <w:rStyle w:val="Rimandonotaapidipagina"/>
          <w:color w:val="000000" w:themeColor="text1"/>
          <w:sz w:val="21"/>
          <w:szCs w:val="21"/>
        </w:rPr>
        <w:footnoteRef/>
      </w:r>
      <w:r w:rsidRPr="00714817">
        <w:rPr>
          <w:color w:val="000000" w:themeColor="text1"/>
          <w:sz w:val="21"/>
          <w:szCs w:val="21"/>
        </w:rPr>
        <w:t xml:space="preserve"> Crf. </w:t>
      </w:r>
      <w:r w:rsidR="00D4103F" w:rsidRPr="00D4103F">
        <w:rPr>
          <w:smallCaps/>
          <w:color w:val="000000" w:themeColor="text1"/>
          <w:sz w:val="21"/>
          <w:szCs w:val="21"/>
        </w:rPr>
        <w:t>Gallo</w:t>
      </w:r>
      <w:r w:rsidRPr="00714817">
        <w:rPr>
          <w:color w:val="000000" w:themeColor="text1"/>
          <w:sz w:val="21"/>
          <w:szCs w:val="21"/>
        </w:rPr>
        <w:t>, “</w:t>
      </w:r>
      <w:r w:rsidRPr="00714817">
        <w:rPr>
          <w:i/>
          <w:color w:val="000000" w:themeColor="text1"/>
          <w:sz w:val="21"/>
          <w:szCs w:val="21"/>
        </w:rPr>
        <w:t>Diritto penale italiano: Appunti di parte generale. Volume secondo</w:t>
      </w:r>
      <w:r w:rsidRPr="00714817">
        <w:rPr>
          <w:color w:val="000000" w:themeColor="text1"/>
          <w:sz w:val="21"/>
          <w:szCs w:val="21"/>
        </w:rPr>
        <w:t>”, Giappichelli Editore, Tor</w:t>
      </w:r>
      <w:r>
        <w:rPr>
          <w:color w:val="000000" w:themeColor="text1"/>
          <w:sz w:val="21"/>
          <w:szCs w:val="21"/>
        </w:rPr>
        <w:t>ino, 2015, p. 155 per il quale «</w:t>
      </w:r>
      <w:r w:rsidRPr="00714817">
        <w:rPr>
          <w:bCs/>
          <w:i/>
          <w:color w:val="000000" w:themeColor="text1"/>
          <w:sz w:val="21"/>
          <w:szCs w:val="21"/>
        </w:rPr>
        <w:t>per aversi unico titolo di responsabilità è necessario</w:t>
      </w:r>
      <w:r w:rsidRPr="00714817">
        <w:rPr>
          <w:i/>
          <w:color w:val="000000" w:themeColor="text1"/>
          <w:sz w:val="21"/>
          <w:szCs w:val="21"/>
        </w:rPr>
        <w:t xml:space="preserve">, </w:t>
      </w:r>
      <w:r w:rsidRPr="00714817">
        <w:rPr>
          <w:bCs/>
          <w:i/>
          <w:color w:val="000000" w:themeColor="text1"/>
          <w:sz w:val="21"/>
          <w:szCs w:val="21"/>
        </w:rPr>
        <w:t>cioè</w:t>
      </w:r>
      <w:r w:rsidRPr="00714817">
        <w:rPr>
          <w:i/>
          <w:color w:val="000000" w:themeColor="text1"/>
          <w:sz w:val="21"/>
          <w:szCs w:val="21"/>
        </w:rPr>
        <w:t xml:space="preserve">, </w:t>
      </w:r>
      <w:r w:rsidRPr="00714817">
        <w:rPr>
          <w:bCs/>
          <w:i/>
          <w:color w:val="000000" w:themeColor="text1"/>
          <w:sz w:val="21"/>
          <w:szCs w:val="21"/>
        </w:rPr>
        <w:t>che ciascuna delle condotte concorrenti</w:t>
      </w:r>
      <w:r w:rsidRPr="00714817">
        <w:rPr>
          <w:i/>
          <w:color w:val="000000" w:themeColor="text1"/>
          <w:sz w:val="21"/>
          <w:szCs w:val="21"/>
        </w:rPr>
        <w:t xml:space="preserve">, </w:t>
      </w:r>
      <w:r w:rsidRPr="00714817">
        <w:rPr>
          <w:bCs/>
          <w:i/>
          <w:color w:val="000000" w:themeColor="text1"/>
          <w:sz w:val="21"/>
          <w:szCs w:val="21"/>
        </w:rPr>
        <w:t>singolarmente considerata</w:t>
      </w:r>
      <w:r w:rsidRPr="00714817">
        <w:rPr>
          <w:i/>
          <w:color w:val="000000" w:themeColor="text1"/>
          <w:sz w:val="21"/>
          <w:szCs w:val="21"/>
        </w:rPr>
        <w:t xml:space="preserve">, o </w:t>
      </w:r>
      <w:r w:rsidRPr="00714817">
        <w:rPr>
          <w:bCs/>
          <w:i/>
          <w:color w:val="000000" w:themeColor="text1"/>
          <w:sz w:val="21"/>
          <w:szCs w:val="21"/>
        </w:rPr>
        <w:t>risulti conforme</w:t>
      </w:r>
      <w:r w:rsidRPr="00714817">
        <w:rPr>
          <w:i/>
          <w:color w:val="000000" w:themeColor="text1"/>
          <w:sz w:val="21"/>
          <w:szCs w:val="21"/>
        </w:rPr>
        <w:t xml:space="preserve"> a tutti i requisiti della disposizione incriminatrice di parte speciale, ovvero a tutti quelli della fattispecie incriminatrice di concorso. Se una condotta non adempie a queste due condizioni, pur serbando la sua rilevanza quale elemento costitutivo di una fattispecie di concorso, potrà essere oggetto di una qualificazione autonoma</w:t>
      </w:r>
      <w:r>
        <w:rPr>
          <w:color w:val="000000" w:themeColor="text1"/>
          <w:sz w:val="21"/>
          <w:szCs w:val="21"/>
        </w:rPr>
        <w:t>»</w:t>
      </w:r>
      <w:r w:rsidRPr="00714817">
        <w:rPr>
          <w:color w:val="000000" w:themeColor="text1"/>
          <w:sz w:val="21"/>
          <w:szCs w:val="21"/>
        </w:rPr>
        <w:t>.</w:t>
      </w:r>
    </w:p>
  </w:footnote>
  <w:footnote w:id="100">
    <w:p w14:paraId="7BDA71C2" w14:textId="2DBE1CEA" w:rsidR="00C96A9E" w:rsidRPr="005D425E" w:rsidRDefault="00C96A9E" w:rsidP="005D425E">
      <w:pPr>
        <w:pStyle w:val="Testonotaapidipagina"/>
        <w:jc w:val="both"/>
        <w:rPr>
          <w:b/>
          <w:bCs/>
          <w:sz w:val="21"/>
          <w:szCs w:val="21"/>
        </w:rPr>
      </w:pPr>
      <w:r w:rsidRPr="00714817">
        <w:rPr>
          <w:rStyle w:val="Rimandonotaapidipagina"/>
          <w:sz w:val="21"/>
          <w:szCs w:val="21"/>
        </w:rPr>
        <w:footnoteRef/>
      </w:r>
      <w:r w:rsidRPr="00714817">
        <w:rPr>
          <w:sz w:val="21"/>
          <w:szCs w:val="21"/>
        </w:rPr>
        <w:t xml:space="preserve"> </w:t>
      </w:r>
      <w:r w:rsidRPr="005D425E">
        <w:rPr>
          <w:sz w:val="21"/>
          <w:szCs w:val="21"/>
        </w:rPr>
        <w:t xml:space="preserve">Crf. </w:t>
      </w:r>
      <w:proofErr w:type="spellStart"/>
      <w:r w:rsidR="00D4103F" w:rsidRPr="005D425E">
        <w:rPr>
          <w:smallCaps/>
          <w:sz w:val="21"/>
          <w:szCs w:val="21"/>
        </w:rPr>
        <w:t>Donini</w:t>
      </w:r>
      <w:proofErr w:type="spellEnd"/>
      <w:r w:rsidRPr="005D425E">
        <w:rPr>
          <w:sz w:val="21"/>
          <w:szCs w:val="21"/>
        </w:rPr>
        <w:t xml:space="preserve">, </w:t>
      </w:r>
      <w:r w:rsidR="005D425E" w:rsidRPr="005D425E">
        <w:rPr>
          <w:sz w:val="21"/>
          <w:szCs w:val="21"/>
        </w:rPr>
        <w:t>“</w:t>
      </w:r>
      <w:r w:rsidR="005D425E" w:rsidRPr="005D425E">
        <w:rPr>
          <w:bCs/>
          <w:i/>
          <w:sz w:val="21"/>
          <w:szCs w:val="21"/>
        </w:rPr>
        <w:t>Il concorso esterno "alla vita dell’associazione" e il principio di tipicità penale</w:t>
      </w:r>
      <w:r w:rsidR="005D425E" w:rsidRPr="005D425E">
        <w:rPr>
          <w:bCs/>
          <w:sz w:val="21"/>
          <w:szCs w:val="21"/>
        </w:rPr>
        <w:t xml:space="preserve">” in un </w:t>
      </w:r>
      <w:r w:rsidR="005D425E" w:rsidRPr="005D425E">
        <w:rPr>
          <w:i/>
          <w:iCs/>
          <w:sz w:val="21"/>
          <w:szCs w:val="21"/>
        </w:rPr>
        <w:t xml:space="preserve">contributo destinato agli </w:t>
      </w:r>
      <w:r w:rsidR="005D425E" w:rsidRPr="005D425E">
        <w:rPr>
          <w:sz w:val="21"/>
          <w:szCs w:val="21"/>
        </w:rPr>
        <w:t>Studi in onore di Mauro Ronco</w:t>
      </w:r>
      <w:r w:rsidR="005D425E" w:rsidRPr="005D425E">
        <w:rPr>
          <w:i/>
          <w:iCs/>
          <w:sz w:val="21"/>
          <w:szCs w:val="21"/>
        </w:rPr>
        <w:t xml:space="preserve">, </w:t>
      </w:r>
      <w:r w:rsidRPr="005D425E">
        <w:rPr>
          <w:sz w:val="21"/>
          <w:szCs w:val="21"/>
        </w:rPr>
        <w:t>in</w:t>
      </w:r>
      <w:r w:rsidR="005D425E" w:rsidRPr="005D425E">
        <w:rPr>
          <w:sz w:val="21"/>
          <w:szCs w:val="21"/>
        </w:rPr>
        <w:t xml:space="preserve"> sito web www.penalecontemporaneo.it</w:t>
      </w:r>
      <w:r w:rsidR="00480313" w:rsidRPr="005D425E">
        <w:rPr>
          <w:sz w:val="21"/>
          <w:szCs w:val="21"/>
        </w:rPr>
        <w:t>, p</w:t>
      </w:r>
      <w:r w:rsidRPr="005D425E">
        <w:rPr>
          <w:sz w:val="21"/>
          <w:szCs w:val="21"/>
        </w:rPr>
        <w:t>. 10.</w:t>
      </w:r>
    </w:p>
  </w:footnote>
  <w:footnote w:id="101">
    <w:p w14:paraId="173AD799" w14:textId="7A9B9DA6"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Si pensi alle ipotesi di “finanziamento”, promessa di “aggiustamento” dei processi, messa a disposizione per l’erogazione di prestazioni d’opera intellettuale.</w:t>
      </w:r>
    </w:p>
  </w:footnote>
  <w:footnote w:id="102">
    <w:p w14:paraId="2809D29E" w14:textId="0CAEC402"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Il riferimento è alle condotte di promozione direzione, organizzazione (nella quale potrebbe supporsi possa rientrare quella di finanziamento) e partecipazione. In quest’ottica sarebbe, ad esempio, legittimo qualificare come forma di manifestazione del reato il contributo dell’estraneo che aiuti il partecipe a svolgere le incombenze che connotano il suo “far parte”.</w:t>
      </w:r>
    </w:p>
  </w:footnote>
  <w:footnote w:id="103">
    <w:p w14:paraId="0ADB9949" w14:textId="579E515B"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realtà l’esito ermeneutico si concilierebbe perfettamente con la ratio repressiva che ha contrassegnato la formulazione dell’istituto nel 1930, con la previsione di un nuovo meccanismo di estensione dell’incriminazione ed una maggiore vaghezza dei contorni dello stesso articolo 110 c.p. Tuttavia si pone in netta contraddizione con lo statuto dogmatico dell’istituto.</w:t>
      </w:r>
    </w:p>
  </w:footnote>
  <w:footnote w:id="104">
    <w:p w14:paraId="1413AF96" w14:textId="2113BBE0"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w:t>
      </w:r>
      <w:r w:rsidRPr="00714817">
        <w:rPr>
          <w:color w:val="000000" w:themeColor="text1"/>
          <w:sz w:val="21"/>
          <w:szCs w:val="21"/>
        </w:rPr>
        <w:t xml:space="preserve">Sulla tematica del reato presupposto giova evidenziare, ex multis, </w:t>
      </w:r>
      <w:r>
        <w:rPr>
          <w:i/>
          <w:color w:val="000000" w:themeColor="text1"/>
          <w:sz w:val="21"/>
          <w:szCs w:val="21"/>
        </w:rPr>
        <w:t>Cass. sez. u</w:t>
      </w:r>
      <w:r w:rsidRPr="00714817">
        <w:rPr>
          <w:i/>
          <w:color w:val="000000" w:themeColor="text1"/>
          <w:sz w:val="21"/>
          <w:szCs w:val="21"/>
        </w:rPr>
        <w:t>n.</w:t>
      </w:r>
      <w:r w:rsidRPr="00714817">
        <w:rPr>
          <w:color w:val="000000" w:themeColor="text1"/>
          <w:sz w:val="21"/>
          <w:szCs w:val="21"/>
        </w:rPr>
        <w:t xml:space="preserve"> </w:t>
      </w:r>
      <w:hyperlink r:id="rId1" w:history="1">
        <w:r w:rsidRPr="00714817">
          <w:rPr>
            <w:rStyle w:val="Collegamentoipertestuale"/>
            <w:color w:val="000000" w:themeColor="text1"/>
            <w:sz w:val="21"/>
            <w:szCs w:val="21"/>
            <w:u w:val="none"/>
          </w:rPr>
          <w:t>sent. 27 febbraio 2014, n. 25191</w:t>
        </w:r>
      </w:hyperlink>
      <w:r w:rsidRPr="00714817">
        <w:rPr>
          <w:rStyle w:val="Collegamentoipertestuale"/>
          <w:color w:val="000000" w:themeColor="text1"/>
          <w:sz w:val="21"/>
          <w:szCs w:val="21"/>
          <w:u w:val="none"/>
        </w:rPr>
        <w:t xml:space="preserve"> </w:t>
      </w:r>
      <w:r w:rsidRPr="00714817">
        <w:rPr>
          <w:color w:val="000000" w:themeColor="text1"/>
          <w:sz w:val="21"/>
          <w:szCs w:val="21"/>
        </w:rPr>
        <w:t xml:space="preserve">nonché </w:t>
      </w:r>
      <w:proofErr w:type="spellStart"/>
      <w:r w:rsidRPr="00714817">
        <w:rPr>
          <w:color w:val="000000" w:themeColor="text1"/>
          <w:sz w:val="21"/>
          <w:szCs w:val="21"/>
        </w:rPr>
        <w:t>crf</w:t>
      </w:r>
      <w:proofErr w:type="spellEnd"/>
      <w:r w:rsidRPr="00714817">
        <w:rPr>
          <w:color w:val="000000" w:themeColor="text1"/>
          <w:sz w:val="21"/>
          <w:szCs w:val="21"/>
        </w:rPr>
        <w:t xml:space="preserve">. </w:t>
      </w:r>
      <w:r>
        <w:rPr>
          <w:i/>
          <w:color w:val="000000" w:themeColor="text1"/>
          <w:sz w:val="21"/>
          <w:szCs w:val="21"/>
        </w:rPr>
        <w:t>Cass.</w:t>
      </w:r>
      <w:r w:rsidR="007D34CA">
        <w:rPr>
          <w:i/>
          <w:color w:val="000000" w:themeColor="text1"/>
          <w:sz w:val="21"/>
          <w:szCs w:val="21"/>
        </w:rPr>
        <w:t xml:space="preserve"> s</w:t>
      </w:r>
      <w:r w:rsidRPr="00714817">
        <w:rPr>
          <w:i/>
          <w:color w:val="000000" w:themeColor="text1"/>
          <w:sz w:val="21"/>
          <w:szCs w:val="21"/>
        </w:rPr>
        <w:t>ez. II</w:t>
      </w:r>
      <w:hyperlink r:id="rId2" w:history="1">
        <w:r w:rsidRPr="00714817">
          <w:rPr>
            <w:rStyle w:val="Collegamentoipertestuale"/>
            <w:color w:val="000000" w:themeColor="text1"/>
            <w:sz w:val="21"/>
            <w:szCs w:val="21"/>
            <w:u w:val="none"/>
          </w:rPr>
          <w:t xml:space="preserve">, 4 giugno 2013, n. 27929; </w:t>
        </w:r>
        <w:r>
          <w:rPr>
            <w:rStyle w:val="Collegamentoipertestuale"/>
            <w:i/>
            <w:color w:val="000000" w:themeColor="text1"/>
            <w:sz w:val="21"/>
            <w:szCs w:val="21"/>
            <w:u w:val="none"/>
          </w:rPr>
          <w:t>Cass.</w:t>
        </w:r>
        <w:r w:rsidR="007D34CA">
          <w:rPr>
            <w:rStyle w:val="Collegamentoipertestuale"/>
            <w:i/>
            <w:color w:val="000000" w:themeColor="text1"/>
            <w:sz w:val="21"/>
            <w:szCs w:val="21"/>
            <w:u w:val="none"/>
          </w:rPr>
          <w:t>, s</w:t>
        </w:r>
        <w:r w:rsidRPr="00714817">
          <w:rPr>
            <w:rStyle w:val="Collegamentoipertestuale"/>
            <w:i/>
            <w:color w:val="000000" w:themeColor="text1"/>
            <w:sz w:val="21"/>
            <w:szCs w:val="21"/>
            <w:u w:val="none"/>
          </w:rPr>
          <w:t>ez. II</w:t>
        </w:r>
        <w:r w:rsidRPr="00714817">
          <w:rPr>
            <w:rStyle w:val="Collegamentoipertestuale"/>
            <w:color w:val="000000" w:themeColor="text1"/>
            <w:sz w:val="21"/>
            <w:szCs w:val="21"/>
            <w:u w:val="none"/>
          </w:rPr>
          <w:t xml:space="preserve">, 8 novembre 2007, n. 44138; </w:t>
        </w:r>
        <w:r>
          <w:rPr>
            <w:rStyle w:val="Collegamentoipertestuale"/>
            <w:i/>
            <w:color w:val="000000" w:themeColor="text1"/>
            <w:sz w:val="21"/>
            <w:szCs w:val="21"/>
            <w:u w:val="none"/>
          </w:rPr>
          <w:t>Cass.</w:t>
        </w:r>
        <w:r w:rsidRPr="00714817">
          <w:rPr>
            <w:rStyle w:val="Collegamentoipertestuale"/>
            <w:color w:val="000000" w:themeColor="text1"/>
            <w:sz w:val="21"/>
            <w:szCs w:val="21"/>
            <w:u w:val="none"/>
          </w:rPr>
          <w:t xml:space="preserve">, </w:t>
        </w:r>
        <w:r w:rsidR="007D34CA">
          <w:rPr>
            <w:rStyle w:val="Collegamentoipertestuale"/>
            <w:color w:val="000000" w:themeColor="text1"/>
            <w:sz w:val="21"/>
            <w:szCs w:val="21"/>
            <w:u w:val="none"/>
          </w:rPr>
          <w:t>s</w:t>
        </w:r>
        <w:r w:rsidRPr="00714817">
          <w:rPr>
            <w:rStyle w:val="Collegamentoipertestuale"/>
            <w:color w:val="000000" w:themeColor="text1"/>
            <w:sz w:val="21"/>
            <w:szCs w:val="21"/>
            <w:u w:val="none"/>
          </w:rPr>
          <w:t>ez. I, 27 maggio 2011, n. 40354</w:t>
        </w:r>
      </w:hyperlink>
      <w:r w:rsidRPr="00714817">
        <w:rPr>
          <w:color w:val="000000" w:themeColor="text1"/>
          <w:sz w:val="21"/>
          <w:szCs w:val="21"/>
        </w:rPr>
        <w:t xml:space="preserve">; e ancora in senso contrario </w:t>
      </w:r>
      <w:proofErr w:type="spellStart"/>
      <w:r w:rsidRPr="00714817">
        <w:rPr>
          <w:color w:val="000000" w:themeColor="text1"/>
          <w:sz w:val="21"/>
          <w:szCs w:val="21"/>
        </w:rPr>
        <w:t>crf</w:t>
      </w:r>
      <w:proofErr w:type="spellEnd"/>
      <w:r w:rsidRPr="00714817">
        <w:rPr>
          <w:color w:val="000000" w:themeColor="text1"/>
          <w:sz w:val="21"/>
          <w:szCs w:val="21"/>
        </w:rPr>
        <w:t xml:space="preserve">. </w:t>
      </w:r>
      <w:r>
        <w:rPr>
          <w:i/>
          <w:color w:val="000000" w:themeColor="text1"/>
          <w:sz w:val="21"/>
          <w:szCs w:val="21"/>
        </w:rPr>
        <w:t>Cass.</w:t>
      </w:r>
      <w:r w:rsidR="007D34CA">
        <w:rPr>
          <w:i/>
          <w:color w:val="000000" w:themeColor="text1"/>
          <w:sz w:val="21"/>
          <w:szCs w:val="21"/>
        </w:rPr>
        <w:t>, s</w:t>
      </w:r>
      <w:r w:rsidRPr="00714817">
        <w:rPr>
          <w:i/>
          <w:color w:val="000000" w:themeColor="text1"/>
          <w:sz w:val="21"/>
          <w:szCs w:val="21"/>
        </w:rPr>
        <w:t>ez. VI</w:t>
      </w:r>
      <w:r w:rsidRPr="00714817">
        <w:rPr>
          <w:color w:val="000000" w:themeColor="text1"/>
          <w:sz w:val="21"/>
          <w:szCs w:val="21"/>
        </w:rPr>
        <w:t xml:space="preserve">, 24 maggio 2012; </w:t>
      </w:r>
      <w:r>
        <w:rPr>
          <w:i/>
          <w:color w:val="000000" w:themeColor="text1"/>
          <w:sz w:val="21"/>
          <w:szCs w:val="21"/>
        </w:rPr>
        <w:t>Cass.</w:t>
      </w:r>
      <w:r w:rsidR="007D34CA">
        <w:rPr>
          <w:i/>
          <w:color w:val="000000" w:themeColor="text1"/>
          <w:sz w:val="21"/>
          <w:szCs w:val="21"/>
        </w:rPr>
        <w:t>, s</w:t>
      </w:r>
      <w:r w:rsidRPr="00714817">
        <w:rPr>
          <w:i/>
          <w:color w:val="000000" w:themeColor="text1"/>
          <w:sz w:val="21"/>
          <w:szCs w:val="21"/>
        </w:rPr>
        <w:t>ez. V</w:t>
      </w:r>
      <w:r w:rsidRPr="00714817">
        <w:rPr>
          <w:color w:val="000000" w:themeColor="text1"/>
          <w:sz w:val="21"/>
          <w:szCs w:val="21"/>
        </w:rPr>
        <w:t xml:space="preserve">, 14 gennaio 2010; </w:t>
      </w:r>
      <w:r>
        <w:rPr>
          <w:i/>
          <w:color w:val="000000" w:themeColor="text1"/>
          <w:sz w:val="21"/>
          <w:szCs w:val="21"/>
        </w:rPr>
        <w:t>Cass.</w:t>
      </w:r>
      <w:r w:rsidR="007D34CA">
        <w:rPr>
          <w:i/>
          <w:color w:val="000000" w:themeColor="text1"/>
          <w:sz w:val="21"/>
          <w:szCs w:val="21"/>
        </w:rPr>
        <w:t>, s</w:t>
      </w:r>
      <w:r w:rsidRPr="00714817">
        <w:rPr>
          <w:i/>
          <w:color w:val="000000" w:themeColor="text1"/>
          <w:sz w:val="21"/>
          <w:szCs w:val="21"/>
        </w:rPr>
        <w:t>ez. II</w:t>
      </w:r>
      <w:r w:rsidRPr="00714817">
        <w:rPr>
          <w:color w:val="000000" w:themeColor="text1"/>
          <w:sz w:val="21"/>
          <w:szCs w:val="21"/>
        </w:rPr>
        <w:t>, 23 gennaio 2013, n. 9226.</w:t>
      </w:r>
    </w:p>
  </w:footnote>
  <w:footnote w:id="105">
    <w:p w14:paraId="6E0972C1" w14:textId="1156759F"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Per una disamina approfondita sul reato presupposto e sulla possibilità di ritenere configurabile un reato accessorio non soltanto “</w:t>
      </w:r>
      <w:r w:rsidRPr="00714817">
        <w:rPr>
          <w:i/>
          <w:sz w:val="21"/>
          <w:szCs w:val="21"/>
        </w:rPr>
        <w:t>post delictum</w:t>
      </w:r>
      <w:r w:rsidRPr="00714817">
        <w:rPr>
          <w:sz w:val="21"/>
          <w:szCs w:val="21"/>
        </w:rPr>
        <w:t xml:space="preserve">” ma anche nella perduranza del reato presupposto </w:t>
      </w:r>
      <w:proofErr w:type="spellStart"/>
      <w:r w:rsidRPr="00714817">
        <w:rPr>
          <w:sz w:val="21"/>
          <w:szCs w:val="21"/>
        </w:rPr>
        <w:t>crf</w:t>
      </w:r>
      <w:proofErr w:type="spellEnd"/>
      <w:r w:rsidRPr="00714817">
        <w:rPr>
          <w:sz w:val="21"/>
          <w:szCs w:val="21"/>
        </w:rPr>
        <w:t xml:space="preserve">. </w:t>
      </w:r>
      <w:r w:rsidR="00D4103F" w:rsidRPr="00D4103F">
        <w:rPr>
          <w:smallCaps/>
          <w:sz w:val="21"/>
          <w:szCs w:val="21"/>
        </w:rPr>
        <w:t>Bianchi</w:t>
      </w:r>
      <w:r w:rsidRPr="00714817">
        <w:rPr>
          <w:sz w:val="21"/>
          <w:szCs w:val="21"/>
        </w:rPr>
        <w:t>, “</w:t>
      </w:r>
      <w:r w:rsidRPr="00714817">
        <w:rPr>
          <w:bCs/>
          <w:i/>
          <w:sz w:val="21"/>
          <w:szCs w:val="21"/>
        </w:rPr>
        <w:t>Concorso di persone e reati accessori”</w:t>
      </w:r>
      <w:r w:rsidRPr="00714817">
        <w:rPr>
          <w:bCs/>
          <w:sz w:val="21"/>
          <w:szCs w:val="21"/>
        </w:rPr>
        <w:t>, Giappichelli Editore, Torino, 2013.</w:t>
      </w:r>
    </w:p>
  </w:footnote>
  <w:footnote w:id="106">
    <w:p w14:paraId="76BFD500" w14:textId="4BF456FD"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Fatta, pur sempre, salva la possibilità per il concorrente di vedersi modulare l’entità degli effetti sanzionatori secondo i canoni effettuali impartiti dallo statuto del concorso eventuale. </w:t>
      </w:r>
    </w:p>
  </w:footnote>
  <w:footnote w:id="107">
    <w:p w14:paraId="4540C7E1" w14:textId="36FE9F90" w:rsidR="00C96A9E" w:rsidRPr="00714817" w:rsidRDefault="00C96A9E" w:rsidP="00714817">
      <w:pPr>
        <w:pStyle w:val="Testonotaapidipagina"/>
        <w:jc w:val="both"/>
        <w:rPr>
          <w:sz w:val="21"/>
          <w:szCs w:val="21"/>
        </w:rPr>
      </w:pPr>
      <w:r w:rsidRPr="00714817">
        <w:rPr>
          <w:rStyle w:val="Rimandonotaapidipagina"/>
          <w:sz w:val="21"/>
          <w:szCs w:val="21"/>
        </w:rPr>
        <w:footnoteRef/>
      </w:r>
      <w:r w:rsidRPr="00714817">
        <w:rPr>
          <w:sz w:val="21"/>
          <w:szCs w:val="21"/>
        </w:rPr>
        <w:t xml:space="preserve"> In teoria la corretta applicazione dei principi dogmatici che oleano il meccanismo di incriminazione prescritto dall’art. 110</w:t>
      </w:r>
      <w:r>
        <w:rPr>
          <w:sz w:val="21"/>
          <w:szCs w:val="21"/>
        </w:rPr>
        <w:t xml:space="preserve"> c.p.</w:t>
      </w:r>
      <w:r w:rsidRPr="00714817">
        <w:rPr>
          <w:sz w:val="21"/>
          <w:szCs w:val="21"/>
        </w:rPr>
        <w:t xml:space="preserve"> </w:t>
      </w:r>
      <w:r w:rsidR="00392444">
        <w:rPr>
          <w:sz w:val="21"/>
          <w:szCs w:val="21"/>
        </w:rPr>
        <w:t xml:space="preserve">ss. </w:t>
      </w:r>
      <w:r>
        <w:rPr>
          <w:sz w:val="21"/>
          <w:szCs w:val="21"/>
        </w:rPr>
        <w:t xml:space="preserve">indurrebbe ad effetti irragionevoli </w:t>
      </w:r>
      <w:r w:rsidRPr="00714817">
        <w:rPr>
          <w:sz w:val="21"/>
          <w:szCs w:val="21"/>
        </w:rPr>
        <w:t xml:space="preserve">anche sul piano dell’accertamento della configurazione del reato. Ciò è chiaramente percepibile se solo si consideri, come più volte rilevato, che l’istituto in oggetto </w:t>
      </w:r>
      <w:r>
        <w:rPr>
          <w:sz w:val="21"/>
          <w:szCs w:val="21"/>
        </w:rPr>
        <w:t>individua nel</w:t>
      </w:r>
      <w:r w:rsidRPr="00714817">
        <w:rPr>
          <w:sz w:val="21"/>
          <w:szCs w:val="21"/>
        </w:rPr>
        <w:t xml:space="preserve"> criterio della causalità agevolatrice o di rinforzo la leva giustificativa degli effetti incriminanti.</w:t>
      </w:r>
      <w:r>
        <w:rPr>
          <w:sz w:val="21"/>
          <w:szCs w:val="21"/>
        </w:rPr>
        <w:t xml:space="preserve"> In questo modo il giudizio causale godrebbe di uno statuto incentrato su uno standard di accertamento di minor rigore, ben lontano dai canoni di efficienza che ispirano la logica condizionalistica.  </w:t>
      </w:r>
      <w:r w:rsidRPr="00714817">
        <w:rPr>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14180"/>
    <w:multiLevelType w:val="hybridMultilevel"/>
    <w:tmpl w:val="B218B61C"/>
    <w:lvl w:ilvl="0" w:tplc="652266E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1B814EC"/>
    <w:multiLevelType w:val="hybridMultilevel"/>
    <w:tmpl w:val="94B43C0A"/>
    <w:lvl w:ilvl="0" w:tplc="00B68AC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8D0279"/>
    <w:multiLevelType w:val="hybridMultilevel"/>
    <w:tmpl w:val="A420D3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6B4888"/>
    <w:multiLevelType w:val="hybridMultilevel"/>
    <w:tmpl w:val="6EF8BBA4"/>
    <w:lvl w:ilvl="0" w:tplc="C43EF012">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0D62E2"/>
    <w:multiLevelType w:val="hybridMultilevel"/>
    <w:tmpl w:val="2484245A"/>
    <w:lvl w:ilvl="0" w:tplc="00B68A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58"/>
    <w:rsid w:val="000003E9"/>
    <w:rsid w:val="00000A5E"/>
    <w:rsid w:val="00000BD7"/>
    <w:rsid w:val="00002AD5"/>
    <w:rsid w:val="00005351"/>
    <w:rsid w:val="000053B3"/>
    <w:rsid w:val="00005BAC"/>
    <w:rsid w:val="00015F36"/>
    <w:rsid w:val="00017BE1"/>
    <w:rsid w:val="00025AEC"/>
    <w:rsid w:val="0003074C"/>
    <w:rsid w:val="000313AB"/>
    <w:rsid w:val="00033634"/>
    <w:rsid w:val="00035400"/>
    <w:rsid w:val="00036404"/>
    <w:rsid w:val="000408E4"/>
    <w:rsid w:val="00041469"/>
    <w:rsid w:val="00044A56"/>
    <w:rsid w:val="00053B35"/>
    <w:rsid w:val="00054973"/>
    <w:rsid w:val="00065EB0"/>
    <w:rsid w:val="00066076"/>
    <w:rsid w:val="000663E8"/>
    <w:rsid w:val="000714AD"/>
    <w:rsid w:val="00071965"/>
    <w:rsid w:val="00074407"/>
    <w:rsid w:val="0008131C"/>
    <w:rsid w:val="00083BAA"/>
    <w:rsid w:val="000909E9"/>
    <w:rsid w:val="00090EF6"/>
    <w:rsid w:val="00097DB9"/>
    <w:rsid w:val="000A2BA0"/>
    <w:rsid w:val="000A3493"/>
    <w:rsid w:val="000A50AB"/>
    <w:rsid w:val="000A79D4"/>
    <w:rsid w:val="000B4B80"/>
    <w:rsid w:val="000B555C"/>
    <w:rsid w:val="000B779A"/>
    <w:rsid w:val="000C43C3"/>
    <w:rsid w:val="000C7FD3"/>
    <w:rsid w:val="000D04F9"/>
    <w:rsid w:val="000D285B"/>
    <w:rsid w:val="000E3292"/>
    <w:rsid w:val="000F1EE8"/>
    <w:rsid w:val="000F75FB"/>
    <w:rsid w:val="00100D23"/>
    <w:rsid w:val="00103CBC"/>
    <w:rsid w:val="00104504"/>
    <w:rsid w:val="00105EEE"/>
    <w:rsid w:val="0011545D"/>
    <w:rsid w:val="001224CD"/>
    <w:rsid w:val="001244D3"/>
    <w:rsid w:val="00127139"/>
    <w:rsid w:val="00140343"/>
    <w:rsid w:val="0014360D"/>
    <w:rsid w:val="001506E4"/>
    <w:rsid w:val="00154FD9"/>
    <w:rsid w:val="001551D5"/>
    <w:rsid w:val="00155A94"/>
    <w:rsid w:val="00156244"/>
    <w:rsid w:val="001579C6"/>
    <w:rsid w:val="00171C33"/>
    <w:rsid w:val="00171C83"/>
    <w:rsid w:val="00174170"/>
    <w:rsid w:val="00177D52"/>
    <w:rsid w:val="00177FC4"/>
    <w:rsid w:val="001800E7"/>
    <w:rsid w:val="00180977"/>
    <w:rsid w:val="0018126D"/>
    <w:rsid w:val="00182887"/>
    <w:rsid w:val="00182EA8"/>
    <w:rsid w:val="00190596"/>
    <w:rsid w:val="0019132F"/>
    <w:rsid w:val="00193209"/>
    <w:rsid w:val="00195A59"/>
    <w:rsid w:val="001B0036"/>
    <w:rsid w:val="001D40BF"/>
    <w:rsid w:val="001D5884"/>
    <w:rsid w:val="001F64BF"/>
    <w:rsid w:val="001F64EA"/>
    <w:rsid w:val="00202B23"/>
    <w:rsid w:val="002033EF"/>
    <w:rsid w:val="00216342"/>
    <w:rsid w:val="002229F5"/>
    <w:rsid w:val="002268ED"/>
    <w:rsid w:val="00235AEE"/>
    <w:rsid w:val="00246EF9"/>
    <w:rsid w:val="00255BD6"/>
    <w:rsid w:val="00257C24"/>
    <w:rsid w:val="00262DEB"/>
    <w:rsid w:val="002633D5"/>
    <w:rsid w:val="00264D2E"/>
    <w:rsid w:val="0026665A"/>
    <w:rsid w:val="002678D8"/>
    <w:rsid w:val="002736EF"/>
    <w:rsid w:val="00277744"/>
    <w:rsid w:val="00287303"/>
    <w:rsid w:val="00287D69"/>
    <w:rsid w:val="00290F30"/>
    <w:rsid w:val="00295E78"/>
    <w:rsid w:val="002A2860"/>
    <w:rsid w:val="002A7788"/>
    <w:rsid w:val="002B6366"/>
    <w:rsid w:val="002B71ED"/>
    <w:rsid w:val="002C379B"/>
    <w:rsid w:val="002D4486"/>
    <w:rsid w:val="002E2AD2"/>
    <w:rsid w:val="002E38CF"/>
    <w:rsid w:val="002F30F7"/>
    <w:rsid w:val="00326A2B"/>
    <w:rsid w:val="00330E54"/>
    <w:rsid w:val="003312F6"/>
    <w:rsid w:val="00334887"/>
    <w:rsid w:val="003353B7"/>
    <w:rsid w:val="00340B9A"/>
    <w:rsid w:val="003448ED"/>
    <w:rsid w:val="00345652"/>
    <w:rsid w:val="00345ECC"/>
    <w:rsid w:val="00353DE4"/>
    <w:rsid w:val="00355C81"/>
    <w:rsid w:val="003568D4"/>
    <w:rsid w:val="00363273"/>
    <w:rsid w:val="00382222"/>
    <w:rsid w:val="003829BD"/>
    <w:rsid w:val="00384062"/>
    <w:rsid w:val="00384455"/>
    <w:rsid w:val="003861F2"/>
    <w:rsid w:val="003914C4"/>
    <w:rsid w:val="00392444"/>
    <w:rsid w:val="00392594"/>
    <w:rsid w:val="0039735F"/>
    <w:rsid w:val="003A093D"/>
    <w:rsid w:val="003A18AA"/>
    <w:rsid w:val="003A39DA"/>
    <w:rsid w:val="003C1A1A"/>
    <w:rsid w:val="003D1E5C"/>
    <w:rsid w:val="003D4B91"/>
    <w:rsid w:val="003D5C2C"/>
    <w:rsid w:val="003D6657"/>
    <w:rsid w:val="003E72B7"/>
    <w:rsid w:val="003F0282"/>
    <w:rsid w:val="003F4E50"/>
    <w:rsid w:val="003F51A2"/>
    <w:rsid w:val="003F7CE8"/>
    <w:rsid w:val="004012BD"/>
    <w:rsid w:val="004019DE"/>
    <w:rsid w:val="00404D8B"/>
    <w:rsid w:val="00412436"/>
    <w:rsid w:val="004141D0"/>
    <w:rsid w:val="0042416E"/>
    <w:rsid w:val="00425A32"/>
    <w:rsid w:val="00427324"/>
    <w:rsid w:val="00427DBF"/>
    <w:rsid w:val="00430C70"/>
    <w:rsid w:val="0043165B"/>
    <w:rsid w:val="00432E03"/>
    <w:rsid w:val="00436B27"/>
    <w:rsid w:val="00450BDD"/>
    <w:rsid w:val="0045242B"/>
    <w:rsid w:val="0046145A"/>
    <w:rsid w:val="00461D17"/>
    <w:rsid w:val="00462AC6"/>
    <w:rsid w:val="00465696"/>
    <w:rsid w:val="004658E0"/>
    <w:rsid w:val="00465A35"/>
    <w:rsid w:val="004735EA"/>
    <w:rsid w:val="00480313"/>
    <w:rsid w:val="00485469"/>
    <w:rsid w:val="00492871"/>
    <w:rsid w:val="00495686"/>
    <w:rsid w:val="004979D5"/>
    <w:rsid w:val="004A11FB"/>
    <w:rsid w:val="004A20A4"/>
    <w:rsid w:val="004A54D6"/>
    <w:rsid w:val="004A6C8A"/>
    <w:rsid w:val="004B1F89"/>
    <w:rsid w:val="004B6ED0"/>
    <w:rsid w:val="004C6F4D"/>
    <w:rsid w:val="004C7BA4"/>
    <w:rsid w:val="004D36E2"/>
    <w:rsid w:val="004E50B5"/>
    <w:rsid w:val="00501996"/>
    <w:rsid w:val="0050438E"/>
    <w:rsid w:val="00523124"/>
    <w:rsid w:val="005241FE"/>
    <w:rsid w:val="00537796"/>
    <w:rsid w:val="005426B5"/>
    <w:rsid w:val="00551E0A"/>
    <w:rsid w:val="00552D78"/>
    <w:rsid w:val="00557561"/>
    <w:rsid w:val="005647F2"/>
    <w:rsid w:val="00570441"/>
    <w:rsid w:val="00570985"/>
    <w:rsid w:val="00576372"/>
    <w:rsid w:val="005763AA"/>
    <w:rsid w:val="00584D94"/>
    <w:rsid w:val="00584F31"/>
    <w:rsid w:val="005861F1"/>
    <w:rsid w:val="00590832"/>
    <w:rsid w:val="00596BC8"/>
    <w:rsid w:val="005A2287"/>
    <w:rsid w:val="005A2471"/>
    <w:rsid w:val="005A68F5"/>
    <w:rsid w:val="005B099C"/>
    <w:rsid w:val="005B5BB0"/>
    <w:rsid w:val="005B5DC9"/>
    <w:rsid w:val="005C026D"/>
    <w:rsid w:val="005C2DFB"/>
    <w:rsid w:val="005C39A6"/>
    <w:rsid w:val="005C3A68"/>
    <w:rsid w:val="005D2579"/>
    <w:rsid w:val="005D3862"/>
    <w:rsid w:val="005D3DFC"/>
    <w:rsid w:val="005D425E"/>
    <w:rsid w:val="005E3352"/>
    <w:rsid w:val="005E3F51"/>
    <w:rsid w:val="005F05EA"/>
    <w:rsid w:val="005F6AEE"/>
    <w:rsid w:val="0061228B"/>
    <w:rsid w:val="0061564A"/>
    <w:rsid w:val="006226D6"/>
    <w:rsid w:val="0062761F"/>
    <w:rsid w:val="00631654"/>
    <w:rsid w:val="006367C5"/>
    <w:rsid w:val="00636E51"/>
    <w:rsid w:val="00643022"/>
    <w:rsid w:val="00647C22"/>
    <w:rsid w:val="006500CB"/>
    <w:rsid w:val="00651210"/>
    <w:rsid w:val="006545EC"/>
    <w:rsid w:val="00654CE0"/>
    <w:rsid w:val="00665C9F"/>
    <w:rsid w:val="006703FF"/>
    <w:rsid w:val="0067243F"/>
    <w:rsid w:val="0067422D"/>
    <w:rsid w:val="006759E8"/>
    <w:rsid w:val="00685736"/>
    <w:rsid w:val="006867E3"/>
    <w:rsid w:val="00695CF8"/>
    <w:rsid w:val="0069697B"/>
    <w:rsid w:val="006A4A10"/>
    <w:rsid w:val="006B5A7F"/>
    <w:rsid w:val="006B6800"/>
    <w:rsid w:val="006C4023"/>
    <w:rsid w:val="006D5125"/>
    <w:rsid w:val="006E0AE8"/>
    <w:rsid w:val="006F06B0"/>
    <w:rsid w:val="006F1F5C"/>
    <w:rsid w:val="006F2A2D"/>
    <w:rsid w:val="006F60CF"/>
    <w:rsid w:val="006F7A6B"/>
    <w:rsid w:val="006F7AA1"/>
    <w:rsid w:val="00710C2C"/>
    <w:rsid w:val="00714817"/>
    <w:rsid w:val="00726716"/>
    <w:rsid w:val="00735768"/>
    <w:rsid w:val="00736C4F"/>
    <w:rsid w:val="00737879"/>
    <w:rsid w:val="00737DA6"/>
    <w:rsid w:val="00747FFB"/>
    <w:rsid w:val="00753CAF"/>
    <w:rsid w:val="007544DB"/>
    <w:rsid w:val="007562D7"/>
    <w:rsid w:val="00757888"/>
    <w:rsid w:val="007605BE"/>
    <w:rsid w:val="00760AA2"/>
    <w:rsid w:val="0076508B"/>
    <w:rsid w:val="00770A2B"/>
    <w:rsid w:val="00771936"/>
    <w:rsid w:val="007803A8"/>
    <w:rsid w:val="00782550"/>
    <w:rsid w:val="00785D09"/>
    <w:rsid w:val="00787947"/>
    <w:rsid w:val="007909BC"/>
    <w:rsid w:val="007926BF"/>
    <w:rsid w:val="007939E4"/>
    <w:rsid w:val="007B2370"/>
    <w:rsid w:val="007B53B0"/>
    <w:rsid w:val="007C03FB"/>
    <w:rsid w:val="007D34CA"/>
    <w:rsid w:val="007D4E42"/>
    <w:rsid w:val="007F22C5"/>
    <w:rsid w:val="007F5B2F"/>
    <w:rsid w:val="00813C57"/>
    <w:rsid w:val="00813CA5"/>
    <w:rsid w:val="00820147"/>
    <w:rsid w:val="008223DC"/>
    <w:rsid w:val="00822AA1"/>
    <w:rsid w:val="0082399A"/>
    <w:rsid w:val="00824B2C"/>
    <w:rsid w:val="00825850"/>
    <w:rsid w:val="00831010"/>
    <w:rsid w:val="008417A0"/>
    <w:rsid w:val="0084266A"/>
    <w:rsid w:val="00843C6E"/>
    <w:rsid w:val="00845F53"/>
    <w:rsid w:val="00847C33"/>
    <w:rsid w:val="00847FEC"/>
    <w:rsid w:val="008532F7"/>
    <w:rsid w:val="00853A2D"/>
    <w:rsid w:val="00853C1C"/>
    <w:rsid w:val="00853E1E"/>
    <w:rsid w:val="00854685"/>
    <w:rsid w:val="0085609C"/>
    <w:rsid w:val="00861BAA"/>
    <w:rsid w:val="00863B5F"/>
    <w:rsid w:val="0086720F"/>
    <w:rsid w:val="008739C9"/>
    <w:rsid w:val="008743AA"/>
    <w:rsid w:val="00880352"/>
    <w:rsid w:val="00883A3C"/>
    <w:rsid w:val="008972D7"/>
    <w:rsid w:val="008A61A4"/>
    <w:rsid w:val="008A7015"/>
    <w:rsid w:val="008B3585"/>
    <w:rsid w:val="008B610A"/>
    <w:rsid w:val="008C176F"/>
    <w:rsid w:val="008C3789"/>
    <w:rsid w:val="008D0169"/>
    <w:rsid w:val="008D6745"/>
    <w:rsid w:val="008E26A3"/>
    <w:rsid w:val="008E778F"/>
    <w:rsid w:val="00911DAE"/>
    <w:rsid w:val="00915C3D"/>
    <w:rsid w:val="00930FEF"/>
    <w:rsid w:val="00936495"/>
    <w:rsid w:val="00950F0B"/>
    <w:rsid w:val="0095311B"/>
    <w:rsid w:val="00956630"/>
    <w:rsid w:val="00963185"/>
    <w:rsid w:val="0097113F"/>
    <w:rsid w:val="009717C8"/>
    <w:rsid w:val="00991FC0"/>
    <w:rsid w:val="009940EE"/>
    <w:rsid w:val="009978F7"/>
    <w:rsid w:val="009A22EC"/>
    <w:rsid w:val="009A30BB"/>
    <w:rsid w:val="009A64B5"/>
    <w:rsid w:val="009B0D3F"/>
    <w:rsid w:val="009B6156"/>
    <w:rsid w:val="009B6591"/>
    <w:rsid w:val="009C1AE2"/>
    <w:rsid w:val="009C5DF2"/>
    <w:rsid w:val="009C6A6F"/>
    <w:rsid w:val="009E2ADA"/>
    <w:rsid w:val="009F03B5"/>
    <w:rsid w:val="00A01DD2"/>
    <w:rsid w:val="00A020C4"/>
    <w:rsid w:val="00A13938"/>
    <w:rsid w:val="00A145C5"/>
    <w:rsid w:val="00A219F2"/>
    <w:rsid w:val="00A264C8"/>
    <w:rsid w:val="00A32266"/>
    <w:rsid w:val="00A352B4"/>
    <w:rsid w:val="00A352CC"/>
    <w:rsid w:val="00A36CB6"/>
    <w:rsid w:val="00A41129"/>
    <w:rsid w:val="00A43C2F"/>
    <w:rsid w:val="00A45FE2"/>
    <w:rsid w:val="00A513FC"/>
    <w:rsid w:val="00A5344D"/>
    <w:rsid w:val="00A541E7"/>
    <w:rsid w:val="00A56057"/>
    <w:rsid w:val="00A569CF"/>
    <w:rsid w:val="00A56FBB"/>
    <w:rsid w:val="00A62BCF"/>
    <w:rsid w:val="00A6347C"/>
    <w:rsid w:val="00A7245E"/>
    <w:rsid w:val="00A775B9"/>
    <w:rsid w:val="00A826C0"/>
    <w:rsid w:val="00A96F1F"/>
    <w:rsid w:val="00AA6A3E"/>
    <w:rsid w:val="00AB4D25"/>
    <w:rsid w:val="00AB7407"/>
    <w:rsid w:val="00AC0904"/>
    <w:rsid w:val="00AC3B34"/>
    <w:rsid w:val="00AC4680"/>
    <w:rsid w:val="00AD43F8"/>
    <w:rsid w:val="00AD5C1C"/>
    <w:rsid w:val="00AE060C"/>
    <w:rsid w:val="00AE20F2"/>
    <w:rsid w:val="00AE273A"/>
    <w:rsid w:val="00AE34E8"/>
    <w:rsid w:val="00AE56BB"/>
    <w:rsid w:val="00AE65D0"/>
    <w:rsid w:val="00AF1E4F"/>
    <w:rsid w:val="00AF595D"/>
    <w:rsid w:val="00AF6322"/>
    <w:rsid w:val="00AF6745"/>
    <w:rsid w:val="00B1291E"/>
    <w:rsid w:val="00B1588C"/>
    <w:rsid w:val="00B1727B"/>
    <w:rsid w:val="00B22634"/>
    <w:rsid w:val="00B249B3"/>
    <w:rsid w:val="00B30147"/>
    <w:rsid w:val="00B31898"/>
    <w:rsid w:val="00B36E18"/>
    <w:rsid w:val="00B41CCC"/>
    <w:rsid w:val="00B4405D"/>
    <w:rsid w:val="00B537AE"/>
    <w:rsid w:val="00B54321"/>
    <w:rsid w:val="00B5781D"/>
    <w:rsid w:val="00B65397"/>
    <w:rsid w:val="00B66558"/>
    <w:rsid w:val="00B718F3"/>
    <w:rsid w:val="00B73BA1"/>
    <w:rsid w:val="00B75B5E"/>
    <w:rsid w:val="00B75D55"/>
    <w:rsid w:val="00B837A6"/>
    <w:rsid w:val="00B94CE5"/>
    <w:rsid w:val="00B97DE9"/>
    <w:rsid w:val="00BA3A94"/>
    <w:rsid w:val="00BA5570"/>
    <w:rsid w:val="00BB0095"/>
    <w:rsid w:val="00BB75BC"/>
    <w:rsid w:val="00BC03F3"/>
    <w:rsid w:val="00BC290B"/>
    <w:rsid w:val="00BC3191"/>
    <w:rsid w:val="00BD1CA2"/>
    <w:rsid w:val="00BD456D"/>
    <w:rsid w:val="00BD46D0"/>
    <w:rsid w:val="00BD72F7"/>
    <w:rsid w:val="00BE2A90"/>
    <w:rsid w:val="00BE2D08"/>
    <w:rsid w:val="00BF2B3E"/>
    <w:rsid w:val="00BF381A"/>
    <w:rsid w:val="00C01F3F"/>
    <w:rsid w:val="00C03431"/>
    <w:rsid w:val="00C05229"/>
    <w:rsid w:val="00C161F0"/>
    <w:rsid w:val="00C23E57"/>
    <w:rsid w:val="00C24B0B"/>
    <w:rsid w:val="00C303B4"/>
    <w:rsid w:val="00C35292"/>
    <w:rsid w:val="00C3758A"/>
    <w:rsid w:val="00C46449"/>
    <w:rsid w:val="00C47CEE"/>
    <w:rsid w:val="00C519E6"/>
    <w:rsid w:val="00C55968"/>
    <w:rsid w:val="00C6273A"/>
    <w:rsid w:val="00C66D92"/>
    <w:rsid w:val="00C71ABE"/>
    <w:rsid w:val="00C76BE6"/>
    <w:rsid w:val="00C76F93"/>
    <w:rsid w:val="00C816E0"/>
    <w:rsid w:val="00C82130"/>
    <w:rsid w:val="00C85B28"/>
    <w:rsid w:val="00C8642A"/>
    <w:rsid w:val="00C91D94"/>
    <w:rsid w:val="00C939C0"/>
    <w:rsid w:val="00C9508E"/>
    <w:rsid w:val="00C96A9E"/>
    <w:rsid w:val="00CA2CA4"/>
    <w:rsid w:val="00CA3BFD"/>
    <w:rsid w:val="00CA572F"/>
    <w:rsid w:val="00CA6B40"/>
    <w:rsid w:val="00CC7863"/>
    <w:rsid w:val="00CD1073"/>
    <w:rsid w:val="00CD45A6"/>
    <w:rsid w:val="00CD76FF"/>
    <w:rsid w:val="00CE642E"/>
    <w:rsid w:val="00CE7634"/>
    <w:rsid w:val="00CF2E85"/>
    <w:rsid w:val="00CF6165"/>
    <w:rsid w:val="00CF6458"/>
    <w:rsid w:val="00D07C3D"/>
    <w:rsid w:val="00D11866"/>
    <w:rsid w:val="00D1494A"/>
    <w:rsid w:val="00D2658D"/>
    <w:rsid w:val="00D35882"/>
    <w:rsid w:val="00D37200"/>
    <w:rsid w:val="00D37A3F"/>
    <w:rsid w:val="00D4103F"/>
    <w:rsid w:val="00D442F4"/>
    <w:rsid w:val="00D508AF"/>
    <w:rsid w:val="00D53AB2"/>
    <w:rsid w:val="00D57FFD"/>
    <w:rsid w:val="00D620D0"/>
    <w:rsid w:val="00D65DFB"/>
    <w:rsid w:val="00D8244D"/>
    <w:rsid w:val="00D84787"/>
    <w:rsid w:val="00D90BA9"/>
    <w:rsid w:val="00D9110F"/>
    <w:rsid w:val="00D92B8B"/>
    <w:rsid w:val="00D96411"/>
    <w:rsid w:val="00DB0DE8"/>
    <w:rsid w:val="00DB6DC6"/>
    <w:rsid w:val="00DC2504"/>
    <w:rsid w:val="00DC45C1"/>
    <w:rsid w:val="00DD1124"/>
    <w:rsid w:val="00DE09AB"/>
    <w:rsid w:val="00DE2FBB"/>
    <w:rsid w:val="00DE6FA9"/>
    <w:rsid w:val="00DE7AE1"/>
    <w:rsid w:val="00DF1459"/>
    <w:rsid w:val="00DF2758"/>
    <w:rsid w:val="00DF6D64"/>
    <w:rsid w:val="00E00712"/>
    <w:rsid w:val="00E0628D"/>
    <w:rsid w:val="00E105A5"/>
    <w:rsid w:val="00E153CD"/>
    <w:rsid w:val="00E171EE"/>
    <w:rsid w:val="00E23D1B"/>
    <w:rsid w:val="00E25B1A"/>
    <w:rsid w:val="00E307D8"/>
    <w:rsid w:val="00E32A74"/>
    <w:rsid w:val="00E33D29"/>
    <w:rsid w:val="00E40FE1"/>
    <w:rsid w:val="00E47830"/>
    <w:rsid w:val="00E503CF"/>
    <w:rsid w:val="00E540F8"/>
    <w:rsid w:val="00E77984"/>
    <w:rsid w:val="00E85412"/>
    <w:rsid w:val="00E87C4D"/>
    <w:rsid w:val="00E909BE"/>
    <w:rsid w:val="00E93559"/>
    <w:rsid w:val="00E93A53"/>
    <w:rsid w:val="00E951A3"/>
    <w:rsid w:val="00E97319"/>
    <w:rsid w:val="00E97DC8"/>
    <w:rsid w:val="00EA0160"/>
    <w:rsid w:val="00EA1EA3"/>
    <w:rsid w:val="00EA5C25"/>
    <w:rsid w:val="00EB010B"/>
    <w:rsid w:val="00EB03A7"/>
    <w:rsid w:val="00EB330E"/>
    <w:rsid w:val="00EC2BED"/>
    <w:rsid w:val="00EC63B9"/>
    <w:rsid w:val="00ED0FAA"/>
    <w:rsid w:val="00ED128A"/>
    <w:rsid w:val="00ED51D5"/>
    <w:rsid w:val="00EE491E"/>
    <w:rsid w:val="00EE4F02"/>
    <w:rsid w:val="00EF42A7"/>
    <w:rsid w:val="00EF56D9"/>
    <w:rsid w:val="00EF5800"/>
    <w:rsid w:val="00EF6B8D"/>
    <w:rsid w:val="00F033D7"/>
    <w:rsid w:val="00F05423"/>
    <w:rsid w:val="00F11271"/>
    <w:rsid w:val="00F15529"/>
    <w:rsid w:val="00F22CC4"/>
    <w:rsid w:val="00F251D9"/>
    <w:rsid w:val="00F2674B"/>
    <w:rsid w:val="00F34878"/>
    <w:rsid w:val="00F37EE7"/>
    <w:rsid w:val="00F42F32"/>
    <w:rsid w:val="00F47D87"/>
    <w:rsid w:val="00F50A76"/>
    <w:rsid w:val="00F56DD5"/>
    <w:rsid w:val="00F7097A"/>
    <w:rsid w:val="00F77BE0"/>
    <w:rsid w:val="00F77EF1"/>
    <w:rsid w:val="00F82F43"/>
    <w:rsid w:val="00F93941"/>
    <w:rsid w:val="00F93A2D"/>
    <w:rsid w:val="00F96D61"/>
    <w:rsid w:val="00FA0D0B"/>
    <w:rsid w:val="00FA1207"/>
    <w:rsid w:val="00FB10AE"/>
    <w:rsid w:val="00FB4112"/>
    <w:rsid w:val="00FB48AB"/>
    <w:rsid w:val="00FB5B03"/>
    <w:rsid w:val="00FC2B70"/>
    <w:rsid w:val="00FC3433"/>
    <w:rsid w:val="00FC7140"/>
    <w:rsid w:val="00FD6008"/>
    <w:rsid w:val="00FE30EB"/>
    <w:rsid w:val="00FE460B"/>
    <w:rsid w:val="00FE6D5E"/>
    <w:rsid w:val="00FF10C3"/>
    <w:rsid w:val="00FF6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4634"/>
  <w15:chartTrackingRefBased/>
  <w15:docId w15:val="{1459576D-9CB9-4EF0-9E9C-9F477247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A6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3B34"/>
    <w:pPr>
      <w:ind w:left="720"/>
      <w:contextualSpacing/>
    </w:pPr>
  </w:style>
  <w:style w:type="paragraph" w:styleId="Intestazione">
    <w:name w:val="header"/>
    <w:basedOn w:val="Normale"/>
    <w:link w:val="IntestazioneCarattere"/>
    <w:uiPriority w:val="99"/>
    <w:unhideWhenUsed/>
    <w:rsid w:val="00180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00E7"/>
  </w:style>
  <w:style w:type="paragraph" w:styleId="Pidipagina">
    <w:name w:val="footer"/>
    <w:basedOn w:val="Normale"/>
    <w:link w:val="PidipaginaCarattere"/>
    <w:uiPriority w:val="99"/>
    <w:unhideWhenUsed/>
    <w:rsid w:val="00180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00E7"/>
  </w:style>
  <w:style w:type="table" w:styleId="Grigliatabella">
    <w:name w:val="Table Grid"/>
    <w:basedOn w:val="Tabellanormale"/>
    <w:uiPriority w:val="39"/>
    <w:rsid w:val="00ED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643022"/>
    <w:pPr>
      <w:spacing w:after="0" w:line="240" w:lineRule="auto"/>
    </w:pPr>
  </w:style>
  <w:style w:type="character" w:customStyle="1" w:styleId="TestonotaapidipaginaCarattere">
    <w:name w:val="Testo nota a piè di pagina Carattere"/>
    <w:basedOn w:val="Carpredefinitoparagrafo"/>
    <w:link w:val="Testonotaapidipagina"/>
    <w:uiPriority w:val="99"/>
    <w:rsid w:val="00643022"/>
    <w:rPr>
      <w:sz w:val="20"/>
      <w:szCs w:val="20"/>
    </w:rPr>
  </w:style>
  <w:style w:type="character" w:styleId="Rimandonotaapidipagina">
    <w:name w:val="footnote reference"/>
    <w:basedOn w:val="Carpredefinitoparagrafo"/>
    <w:uiPriority w:val="99"/>
    <w:semiHidden/>
    <w:unhideWhenUsed/>
    <w:rsid w:val="00643022"/>
    <w:rPr>
      <w:vertAlign w:val="superscript"/>
    </w:rPr>
  </w:style>
  <w:style w:type="paragraph" w:styleId="PreformattatoHTML">
    <w:name w:val="HTML Preformatted"/>
    <w:basedOn w:val="Normale"/>
    <w:link w:val="PreformattatoHTMLCarattere"/>
    <w:uiPriority w:val="99"/>
    <w:semiHidden/>
    <w:unhideWhenUsed/>
    <w:rsid w:val="002E38CF"/>
    <w:pPr>
      <w:spacing w:after="0"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2E38CF"/>
    <w:rPr>
      <w:rFonts w:ascii="Consolas" w:hAnsi="Consolas"/>
      <w:sz w:val="20"/>
      <w:szCs w:val="20"/>
    </w:rPr>
  </w:style>
  <w:style w:type="paragraph" w:styleId="NormaleWeb">
    <w:name w:val="Normal (Web)"/>
    <w:basedOn w:val="Normale"/>
    <w:uiPriority w:val="99"/>
    <w:semiHidden/>
    <w:unhideWhenUsed/>
    <w:rsid w:val="00F77EF1"/>
    <w:rPr>
      <w:sz w:val="24"/>
      <w:szCs w:val="24"/>
    </w:rPr>
  </w:style>
  <w:style w:type="character" w:styleId="Collegamentoipertestuale">
    <w:name w:val="Hyperlink"/>
    <w:basedOn w:val="Carpredefinitoparagrafo"/>
    <w:uiPriority w:val="99"/>
    <w:unhideWhenUsed/>
    <w:rsid w:val="007D4E42"/>
    <w:rPr>
      <w:color w:val="0563C1" w:themeColor="hyperlink"/>
      <w:u w:val="single"/>
    </w:rPr>
  </w:style>
  <w:style w:type="character" w:styleId="Menzionenonrisolta">
    <w:name w:val="Unresolved Mention"/>
    <w:basedOn w:val="Carpredefinitoparagrafo"/>
    <w:uiPriority w:val="99"/>
    <w:semiHidden/>
    <w:unhideWhenUsed/>
    <w:rsid w:val="007D4E42"/>
    <w:rPr>
      <w:color w:val="808080"/>
      <w:shd w:val="clear" w:color="auto" w:fill="E6E6E6"/>
    </w:rPr>
  </w:style>
  <w:style w:type="character" w:customStyle="1" w:styleId="Titolo1Carattere">
    <w:name w:val="Titolo 1 Carattere"/>
    <w:basedOn w:val="Carpredefinitoparagrafo"/>
    <w:link w:val="Titolo1"/>
    <w:uiPriority w:val="9"/>
    <w:rsid w:val="008A61A4"/>
    <w:rPr>
      <w:rFonts w:asciiTheme="majorHAnsi" w:eastAsiaTheme="majorEastAsia" w:hAnsiTheme="majorHAnsi" w:cstheme="majorBidi"/>
      <w:color w:val="2F5496" w:themeColor="accent1" w:themeShade="BF"/>
      <w:sz w:val="32"/>
      <w:szCs w:val="32"/>
    </w:rPr>
  </w:style>
  <w:style w:type="character" w:customStyle="1" w:styleId="st1">
    <w:name w:val="st1"/>
    <w:basedOn w:val="Carpredefinitoparagrafo"/>
    <w:rsid w:val="0048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250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9756">
          <w:marLeft w:val="0"/>
          <w:marRight w:val="0"/>
          <w:marTop w:val="0"/>
          <w:marBottom w:val="0"/>
          <w:divBdr>
            <w:top w:val="none" w:sz="0" w:space="0" w:color="auto"/>
            <w:left w:val="none" w:sz="0" w:space="0" w:color="auto"/>
            <w:bottom w:val="none" w:sz="0" w:space="0" w:color="auto"/>
            <w:right w:val="none" w:sz="0" w:space="0" w:color="auto"/>
          </w:divBdr>
          <w:divsChild>
            <w:div w:id="1280994347">
              <w:marLeft w:val="-225"/>
              <w:marRight w:val="-225"/>
              <w:marTop w:val="0"/>
              <w:marBottom w:val="0"/>
              <w:divBdr>
                <w:top w:val="none" w:sz="0" w:space="0" w:color="auto"/>
                <w:left w:val="none" w:sz="0" w:space="0" w:color="auto"/>
                <w:bottom w:val="none" w:sz="0" w:space="0" w:color="auto"/>
                <w:right w:val="none" w:sz="0" w:space="0" w:color="auto"/>
              </w:divBdr>
              <w:divsChild>
                <w:div w:id="167597878">
                  <w:marLeft w:val="0"/>
                  <w:marRight w:val="0"/>
                  <w:marTop w:val="0"/>
                  <w:marBottom w:val="0"/>
                  <w:divBdr>
                    <w:top w:val="none" w:sz="0" w:space="0" w:color="auto"/>
                    <w:left w:val="none" w:sz="0" w:space="0" w:color="auto"/>
                    <w:bottom w:val="none" w:sz="0" w:space="0" w:color="auto"/>
                    <w:right w:val="none" w:sz="0" w:space="0" w:color="auto"/>
                  </w:divBdr>
                  <w:divsChild>
                    <w:div w:id="209343434">
                      <w:marLeft w:val="0"/>
                      <w:marRight w:val="0"/>
                      <w:marTop w:val="0"/>
                      <w:marBottom w:val="0"/>
                      <w:divBdr>
                        <w:top w:val="none" w:sz="0" w:space="0" w:color="auto"/>
                        <w:left w:val="single" w:sz="6" w:space="31" w:color="DDDDDD"/>
                        <w:bottom w:val="none" w:sz="0" w:space="0" w:color="auto"/>
                        <w:right w:val="none" w:sz="0" w:space="0" w:color="auto"/>
                      </w:divBdr>
                      <w:divsChild>
                        <w:div w:id="151337334">
                          <w:marLeft w:val="0"/>
                          <w:marRight w:val="0"/>
                          <w:marTop w:val="0"/>
                          <w:marBottom w:val="0"/>
                          <w:divBdr>
                            <w:top w:val="none" w:sz="0" w:space="0" w:color="auto"/>
                            <w:left w:val="none" w:sz="0" w:space="0" w:color="auto"/>
                            <w:bottom w:val="none" w:sz="0" w:space="0" w:color="auto"/>
                            <w:right w:val="none" w:sz="0" w:space="0" w:color="auto"/>
                          </w:divBdr>
                        </w:div>
                        <w:div w:id="1857234703">
                          <w:marLeft w:val="0"/>
                          <w:marRight w:val="0"/>
                          <w:marTop w:val="0"/>
                          <w:marBottom w:val="600"/>
                          <w:divBdr>
                            <w:top w:val="none" w:sz="0" w:space="0" w:color="auto"/>
                            <w:left w:val="none" w:sz="0" w:space="0" w:color="auto"/>
                            <w:bottom w:val="single" w:sz="6" w:space="0" w:color="DDDDDD"/>
                            <w:right w:val="none" w:sz="0" w:space="0" w:color="auto"/>
                          </w:divBdr>
                        </w:div>
                      </w:divsChild>
                    </w:div>
                  </w:divsChild>
                </w:div>
              </w:divsChild>
            </w:div>
          </w:divsChild>
        </w:div>
      </w:divsChild>
    </w:div>
    <w:div w:id="1807894837">
      <w:bodyDiv w:val="1"/>
      <w:marLeft w:val="0"/>
      <w:marRight w:val="0"/>
      <w:marTop w:val="0"/>
      <w:marBottom w:val="0"/>
      <w:divBdr>
        <w:top w:val="none" w:sz="0" w:space="0" w:color="auto"/>
        <w:left w:val="none" w:sz="0" w:space="0" w:color="auto"/>
        <w:bottom w:val="none" w:sz="0" w:space="0" w:color="auto"/>
        <w:right w:val="none" w:sz="0" w:space="0" w:color="auto"/>
      </w:divBdr>
      <w:divsChild>
        <w:div w:id="515117096">
          <w:marLeft w:val="0"/>
          <w:marRight w:val="0"/>
          <w:marTop w:val="0"/>
          <w:marBottom w:val="0"/>
          <w:divBdr>
            <w:top w:val="none" w:sz="0" w:space="0" w:color="auto"/>
            <w:left w:val="none" w:sz="0" w:space="0" w:color="auto"/>
            <w:bottom w:val="none" w:sz="0" w:space="0" w:color="auto"/>
            <w:right w:val="none" w:sz="0" w:space="0" w:color="auto"/>
          </w:divBdr>
          <w:divsChild>
            <w:div w:id="454108233">
              <w:marLeft w:val="0"/>
              <w:marRight w:val="0"/>
              <w:marTop w:val="0"/>
              <w:marBottom w:val="0"/>
              <w:divBdr>
                <w:top w:val="none" w:sz="0" w:space="0" w:color="auto"/>
                <w:left w:val="none" w:sz="0" w:space="0" w:color="auto"/>
                <w:bottom w:val="none" w:sz="0" w:space="0" w:color="auto"/>
                <w:right w:val="none" w:sz="0" w:space="0" w:color="auto"/>
              </w:divBdr>
              <w:divsChild>
                <w:div w:id="255286563">
                  <w:marLeft w:val="0"/>
                  <w:marRight w:val="0"/>
                  <w:marTop w:val="0"/>
                  <w:marBottom w:val="0"/>
                  <w:divBdr>
                    <w:top w:val="none" w:sz="0" w:space="0" w:color="auto"/>
                    <w:left w:val="none" w:sz="0" w:space="0" w:color="auto"/>
                    <w:bottom w:val="none" w:sz="0" w:space="0" w:color="auto"/>
                    <w:right w:val="none" w:sz="0" w:space="0" w:color="auto"/>
                  </w:divBdr>
                  <w:divsChild>
                    <w:div w:id="633684717">
                      <w:marLeft w:val="0"/>
                      <w:marRight w:val="0"/>
                      <w:marTop w:val="45"/>
                      <w:marBottom w:val="0"/>
                      <w:divBdr>
                        <w:top w:val="none" w:sz="0" w:space="0" w:color="auto"/>
                        <w:left w:val="none" w:sz="0" w:space="0" w:color="auto"/>
                        <w:bottom w:val="none" w:sz="0" w:space="0" w:color="auto"/>
                        <w:right w:val="none" w:sz="0" w:space="0" w:color="auto"/>
                      </w:divBdr>
                      <w:divsChild>
                        <w:div w:id="122818445">
                          <w:marLeft w:val="0"/>
                          <w:marRight w:val="0"/>
                          <w:marTop w:val="0"/>
                          <w:marBottom w:val="0"/>
                          <w:divBdr>
                            <w:top w:val="none" w:sz="0" w:space="0" w:color="auto"/>
                            <w:left w:val="none" w:sz="0" w:space="0" w:color="auto"/>
                            <w:bottom w:val="none" w:sz="0" w:space="0" w:color="auto"/>
                            <w:right w:val="none" w:sz="0" w:space="0" w:color="auto"/>
                          </w:divBdr>
                          <w:divsChild>
                            <w:div w:id="1868568748">
                              <w:marLeft w:val="2070"/>
                              <w:marRight w:val="3960"/>
                              <w:marTop w:val="0"/>
                              <w:marBottom w:val="0"/>
                              <w:divBdr>
                                <w:top w:val="none" w:sz="0" w:space="0" w:color="auto"/>
                                <w:left w:val="none" w:sz="0" w:space="0" w:color="auto"/>
                                <w:bottom w:val="none" w:sz="0" w:space="0" w:color="auto"/>
                                <w:right w:val="none" w:sz="0" w:space="0" w:color="auto"/>
                              </w:divBdr>
                              <w:divsChild>
                                <w:div w:id="286352160">
                                  <w:marLeft w:val="0"/>
                                  <w:marRight w:val="0"/>
                                  <w:marTop w:val="0"/>
                                  <w:marBottom w:val="0"/>
                                  <w:divBdr>
                                    <w:top w:val="none" w:sz="0" w:space="0" w:color="auto"/>
                                    <w:left w:val="none" w:sz="0" w:space="0" w:color="auto"/>
                                    <w:bottom w:val="none" w:sz="0" w:space="0" w:color="auto"/>
                                    <w:right w:val="none" w:sz="0" w:space="0" w:color="auto"/>
                                  </w:divBdr>
                                  <w:divsChild>
                                    <w:div w:id="484903714">
                                      <w:marLeft w:val="0"/>
                                      <w:marRight w:val="0"/>
                                      <w:marTop w:val="0"/>
                                      <w:marBottom w:val="0"/>
                                      <w:divBdr>
                                        <w:top w:val="none" w:sz="0" w:space="0" w:color="auto"/>
                                        <w:left w:val="none" w:sz="0" w:space="0" w:color="auto"/>
                                        <w:bottom w:val="none" w:sz="0" w:space="0" w:color="auto"/>
                                        <w:right w:val="none" w:sz="0" w:space="0" w:color="auto"/>
                                      </w:divBdr>
                                      <w:divsChild>
                                        <w:div w:id="1055205469">
                                          <w:marLeft w:val="0"/>
                                          <w:marRight w:val="0"/>
                                          <w:marTop w:val="0"/>
                                          <w:marBottom w:val="0"/>
                                          <w:divBdr>
                                            <w:top w:val="none" w:sz="0" w:space="0" w:color="auto"/>
                                            <w:left w:val="none" w:sz="0" w:space="0" w:color="auto"/>
                                            <w:bottom w:val="none" w:sz="0" w:space="0" w:color="auto"/>
                                            <w:right w:val="none" w:sz="0" w:space="0" w:color="auto"/>
                                          </w:divBdr>
                                          <w:divsChild>
                                            <w:div w:id="109663917">
                                              <w:marLeft w:val="0"/>
                                              <w:marRight w:val="0"/>
                                              <w:marTop w:val="90"/>
                                              <w:marBottom w:val="0"/>
                                              <w:divBdr>
                                                <w:top w:val="none" w:sz="0" w:space="0" w:color="auto"/>
                                                <w:left w:val="none" w:sz="0" w:space="0" w:color="auto"/>
                                                <w:bottom w:val="none" w:sz="0" w:space="0" w:color="auto"/>
                                                <w:right w:val="none" w:sz="0" w:space="0" w:color="auto"/>
                                              </w:divBdr>
                                              <w:divsChild>
                                                <w:div w:id="1164586504">
                                                  <w:marLeft w:val="0"/>
                                                  <w:marRight w:val="0"/>
                                                  <w:marTop w:val="0"/>
                                                  <w:marBottom w:val="0"/>
                                                  <w:divBdr>
                                                    <w:top w:val="none" w:sz="0" w:space="0" w:color="auto"/>
                                                    <w:left w:val="none" w:sz="0" w:space="0" w:color="auto"/>
                                                    <w:bottom w:val="none" w:sz="0" w:space="0" w:color="auto"/>
                                                    <w:right w:val="none" w:sz="0" w:space="0" w:color="auto"/>
                                                  </w:divBdr>
                                                  <w:divsChild>
                                                    <w:div w:id="242641856">
                                                      <w:marLeft w:val="0"/>
                                                      <w:marRight w:val="0"/>
                                                      <w:marTop w:val="0"/>
                                                      <w:marBottom w:val="0"/>
                                                      <w:divBdr>
                                                        <w:top w:val="none" w:sz="0" w:space="0" w:color="auto"/>
                                                        <w:left w:val="none" w:sz="0" w:space="0" w:color="auto"/>
                                                        <w:bottom w:val="none" w:sz="0" w:space="0" w:color="auto"/>
                                                        <w:right w:val="none" w:sz="0" w:space="0" w:color="auto"/>
                                                      </w:divBdr>
                                                      <w:divsChild>
                                                        <w:div w:id="1440904504">
                                                          <w:marLeft w:val="0"/>
                                                          <w:marRight w:val="0"/>
                                                          <w:marTop w:val="0"/>
                                                          <w:marBottom w:val="390"/>
                                                          <w:divBdr>
                                                            <w:top w:val="none" w:sz="0" w:space="0" w:color="auto"/>
                                                            <w:left w:val="none" w:sz="0" w:space="0" w:color="auto"/>
                                                            <w:bottom w:val="none" w:sz="0" w:space="0" w:color="auto"/>
                                                            <w:right w:val="none" w:sz="0" w:space="0" w:color="auto"/>
                                                          </w:divBdr>
                                                          <w:divsChild>
                                                            <w:div w:id="1440832500">
                                                              <w:marLeft w:val="0"/>
                                                              <w:marRight w:val="0"/>
                                                              <w:marTop w:val="0"/>
                                                              <w:marBottom w:val="0"/>
                                                              <w:divBdr>
                                                                <w:top w:val="none" w:sz="0" w:space="0" w:color="auto"/>
                                                                <w:left w:val="none" w:sz="0" w:space="0" w:color="auto"/>
                                                                <w:bottom w:val="none" w:sz="0" w:space="0" w:color="auto"/>
                                                                <w:right w:val="none" w:sz="0" w:space="0" w:color="auto"/>
                                                              </w:divBdr>
                                                              <w:divsChild>
                                                                <w:div w:id="1277524749">
                                                                  <w:marLeft w:val="0"/>
                                                                  <w:marRight w:val="0"/>
                                                                  <w:marTop w:val="0"/>
                                                                  <w:marBottom w:val="0"/>
                                                                  <w:divBdr>
                                                                    <w:top w:val="none" w:sz="0" w:space="0" w:color="auto"/>
                                                                    <w:left w:val="none" w:sz="0" w:space="0" w:color="auto"/>
                                                                    <w:bottom w:val="none" w:sz="0" w:space="0" w:color="auto"/>
                                                                    <w:right w:val="none" w:sz="0" w:space="0" w:color="auto"/>
                                                                  </w:divBdr>
                                                                  <w:divsChild>
                                                                    <w:div w:id="283925169">
                                                                      <w:marLeft w:val="0"/>
                                                                      <w:marRight w:val="0"/>
                                                                      <w:marTop w:val="0"/>
                                                                      <w:marBottom w:val="0"/>
                                                                      <w:divBdr>
                                                                        <w:top w:val="none" w:sz="0" w:space="0" w:color="auto"/>
                                                                        <w:left w:val="none" w:sz="0" w:space="0" w:color="auto"/>
                                                                        <w:bottom w:val="none" w:sz="0" w:space="0" w:color="auto"/>
                                                                        <w:right w:val="none" w:sz="0" w:space="0" w:color="auto"/>
                                                                      </w:divBdr>
                                                                      <w:divsChild>
                                                                        <w:div w:id="1010837300">
                                                                          <w:marLeft w:val="0"/>
                                                                          <w:marRight w:val="0"/>
                                                                          <w:marTop w:val="0"/>
                                                                          <w:marBottom w:val="0"/>
                                                                          <w:divBdr>
                                                                            <w:top w:val="none" w:sz="0" w:space="0" w:color="auto"/>
                                                                            <w:left w:val="none" w:sz="0" w:space="0" w:color="auto"/>
                                                                            <w:bottom w:val="none" w:sz="0" w:space="0" w:color="auto"/>
                                                                            <w:right w:val="none" w:sz="0" w:space="0" w:color="auto"/>
                                                                          </w:divBdr>
                                                                          <w:divsChild>
                                                                            <w:div w:id="759251143">
                                                                              <w:marLeft w:val="0"/>
                                                                              <w:marRight w:val="0"/>
                                                                              <w:marTop w:val="0"/>
                                                                              <w:marBottom w:val="0"/>
                                                                              <w:divBdr>
                                                                                <w:top w:val="none" w:sz="0" w:space="0" w:color="auto"/>
                                                                                <w:left w:val="none" w:sz="0" w:space="0" w:color="auto"/>
                                                                                <w:bottom w:val="none" w:sz="0" w:space="0" w:color="auto"/>
                                                                                <w:right w:val="none" w:sz="0" w:space="0" w:color="auto"/>
                                                                              </w:divBdr>
                                                                              <w:divsChild>
                                                                                <w:div w:id="1104887436">
                                                                                  <w:marLeft w:val="0"/>
                                                                                  <w:marRight w:val="0"/>
                                                                                  <w:marTop w:val="0"/>
                                                                                  <w:marBottom w:val="0"/>
                                                                                  <w:divBdr>
                                                                                    <w:top w:val="none" w:sz="0" w:space="0" w:color="auto"/>
                                                                                    <w:left w:val="none" w:sz="0" w:space="0" w:color="auto"/>
                                                                                    <w:bottom w:val="none" w:sz="0" w:space="0" w:color="auto"/>
                                                                                    <w:right w:val="none" w:sz="0" w:space="0" w:color="auto"/>
                                                                                  </w:divBdr>
                                                                                  <w:divsChild>
                                                                                    <w:div w:id="257830360">
                                                                                      <w:marLeft w:val="0"/>
                                                                                      <w:marRight w:val="0"/>
                                                                                      <w:marTop w:val="0"/>
                                                                                      <w:marBottom w:val="0"/>
                                                                                      <w:divBdr>
                                                                                        <w:top w:val="none" w:sz="0" w:space="0" w:color="auto"/>
                                                                                        <w:left w:val="none" w:sz="0" w:space="0" w:color="auto"/>
                                                                                        <w:bottom w:val="none" w:sz="0" w:space="0" w:color="auto"/>
                                                                                        <w:right w:val="none" w:sz="0" w:space="0" w:color="auto"/>
                                                                                      </w:divBdr>
                                                                                      <w:divsChild>
                                                                                        <w:div w:id="1656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933147">
      <w:bodyDiv w:val="1"/>
      <w:marLeft w:val="0"/>
      <w:marRight w:val="0"/>
      <w:marTop w:val="0"/>
      <w:marBottom w:val="0"/>
      <w:divBdr>
        <w:top w:val="none" w:sz="0" w:space="0" w:color="auto"/>
        <w:left w:val="none" w:sz="0" w:space="0" w:color="auto"/>
        <w:bottom w:val="none" w:sz="0" w:space="0" w:color="auto"/>
        <w:right w:val="none" w:sz="0" w:space="0" w:color="auto"/>
      </w:divBdr>
      <w:divsChild>
        <w:div w:id="190265811">
          <w:marLeft w:val="0"/>
          <w:marRight w:val="0"/>
          <w:marTop w:val="0"/>
          <w:marBottom w:val="0"/>
          <w:divBdr>
            <w:top w:val="none" w:sz="0" w:space="0" w:color="auto"/>
            <w:left w:val="none" w:sz="0" w:space="0" w:color="auto"/>
            <w:bottom w:val="none" w:sz="0" w:space="0" w:color="auto"/>
            <w:right w:val="none" w:sz="0" w:space="0" w:color="auto"/>
          </w:divBdr>
          <w:divsChild>
            <w:div w:id="706834223">
              <w:marLeft w:val="0"/>
              <w:marRight w:val="0"/>
              <w:marTop w:val="0"/>
              <w:marBottom w:val="0"/>
              <w:divBdr>
                <w:top w:val="none" w:sz="0" w:space="0" w:color="auto"/>
                <w:left w:val="none" w:sz="0" w:space="0" w:color="auto"/>
                <w:bottom w:val="none" w:sz="0" w:space="0" w:color="auto"/>
                <w:right w:val="none" w:sz="0" w:space="0" w:color="auto"/>
              </w:divBdr>
              <w:divsChild>
                <w:div w:id="421491067">
                  <w:marLeft w:val="0"/>
                  <w:marRight w:val="0"/>
                  <w:marTop w:val="0"/>
                  <w:marBottom w:val="0"/>
                  <w:divBdr>
                    <w:top w:val="none" w:sz="0" w:space="0" w:color="auto"/>
                    <w:left w:val="none" w:sz="0" w:space="0" w:color="auto"/>
                    <w:bottom w:val="none" w:sz="0" w:space="0" w:color="auto"/>
                    <w:right w:val="none" w:sz="0" w:space="0" w:color="auto"/>
                  </w:divBdr>
                  <w:divsChild>
                    <w:div w:id="105849282">
                      <w:marLeft w:val="0"/>
                      <w:marRight w:val="0"/>
                      <w:marTop w:val="0"/>
                      <w:marBottom w:val="0"/>
                      <w:divBdr>
                        <w:top w:val="none" w:sz="0" w:space="0" w:color="auto"/>
                        <w:left w:val="none" w:sz="0" w:space="0" w:color="auto"/>
                        <w:bottom w:val="none" w:sz="0" w:space="0" w:color="auto"/>
                        <w:right w:val="none" w:sz="0" w:space="0" w:color="auto"/>
                      </w:divBdr>
                      <w:divsChild>
                        <w:div w:id="1680505371">
                          <w:marLeft w:val="0"/>
                          <w:marRight w:val="0"/>
                          <w:marTop w:val="0"/>
                          <w:marBottom w:val="0"/>
                          <w:divBdr>
                            <w:top w:val="none" w:sz="0" w:space="0" w:color="auto"/>
                            <w:left w:val="none" w:sz="0" w:space="0" w:color="auto"/>
                            <w:bottom w:val="none" w:sz="0" w:space="0" w:color="auto"/>
                            <w:right w:val="none" w:sz="0" w:space="0" w:color="auto"/>
                          </w:divBdr>
                          <w:divsChild>
                            <w:div w:id="841819668">
                              <w:marLeft w:val="0"/>
                              <w:marRight w:val="0"/>
                              <w:marTop w:val="0"/>
                              <w:marBottom w:val="0"/>
                              <w:divBdr>
                                <w:top w:val="none" w:sz="0" w:space="0" w:color="auto"/>
                                <w:left w:val="none" w:sz="0" w:space="0" w:color="auto"/>
                                <w:bottom w:val="none" w:sz="0" w:space="0" w:color="auto"/>
                                <w:right w:val="none" w:sz="0" w:space="0" w:color="auto"/>
                              </w:divBdr>
                              <w:divsChild>
                                <w:div w:id="1317538501">
                                  <w:marLeft w:val="0"/>
                                  <w:marRight w:val="0"/>
                                  <w:marTop w:val="0"/>
                                  <w:marBottom w:val="0"/>
                                  <w:divBdr>
                                    <w:top w:val="none" w:sz="0" w:space="0" w:color="auto"/>
                                    <w:left w:val="none" w:sz="0" w:space="0" w:color="auto"/>
                                    <w:bottom w:val="none" w:sz="0" w:space="0" w:color="auto"/>
                                    <w:right w:val="none" w:sz="0" w:space="0" w:color="auto"/>
                                  </w:divBdr>
                                  <w:divsChild>
                                    <w:div w:id="781612529">
                                      <w:marLeft w:val="0"/>
                                      <w:marRight w:val="0"/>
                                      <w:marTop w:val="0"/>
                                      <w:marBottom w:val="0"/>
                                      <w:divBdr>
                                        <w:top w:val="none" w:sz="0" w:space="0" w:color="auto"/>
                                        <w:left w:val="none" w:sz="0" w:space="0" w:color="auto"/>
                                        <w:bottom w:val="none" w:sz="0" w:space="0" w:color="auto"/>
                                        <w:right w:val="none" w:sz="0" w:space="0" w:color="auto"/>
                                      </w:divBdr>
                                      <w:divsChild>
                                        <w:div w:id="1101296152">
                                          <w:marLeft w:val="1"/>
                                          <w:marRight w:val="1"/>
                                          <w:marTop w:val="0"/>
                                          <w:marBottom w:val="600"/>
                                          <w:divBdr>
                                            <w:top w:val="none" w:sz="0" w:space="0" w:color="auto"/>
                                            <w:left w:val="none" w:sz="0" w:space="0" w:color="auto"/>
                                            <w:bottom w:val="none" w:sz="0" w:space="0" w:color="auto"/>
                                            <w:right w:val="none" w:sz="0" w:space="0" w:color="auto"/>
                                          </w:divBdr>
                                          <w:divsChild>
                                            <w:div w:id="2000428503">
                                              <w:marLeft w:val="0"/>
                                              <w:marRight w:val="0"/>
                                              <w:marTop w:val="0"/>
                                              <w:marBottom w:val="0"/>
                                              <w:divBdr>
                                                <w:top w:val="none" w:sz="0" w:space="0" w:color="auto"/>
                                                <w:left w:val="none" w:sz="0" w:space="0" w:color="auto"/>
                                                <w:bottom w:val="none" w:sz="0" w:space="0" w:color="auto"/>
                                                <w:right w:val="none" w:sz="0" w:space="0" w:color="auto"/>
                                              </w:divBdr>
                                              <w:divsChild>
                                                <w:div w:id="127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387212">
      <w:bodyDiv w:val="1"/>
      <w:marLeft w:val="0"/>
      <w:marRight w:val="0"/>
      <w:marTop w:val="0"/>
      <w:marBottom w:val="0"/>
      <w:divBdr>
        <w:top w:val="none" w:sz="0" w:space="0" w:color="auto"/>
        <w:left w:val="none" w:sz="0" w:space="0" w:color="auto"/>
        <w:bottom w:val="none" w:sz="0" w:space="0" w:color="auto"/>
        <w:right w:val="none" w:sz="0" w:space="0" w:color="auto"/>
      </w:divBdr>
      <w:divsChild>
        <w:div w:id="267124745">
          <w:marLeft w:val="0"/>
          <w:marRight w:val="0"/>
          <w:marTop w:val="0"/>
          <w:marBottom w:val="0"/>
          <w:divBdr>
            <w:top w:val="single" w:sz="6" w:space="0" w:color="EBEBEB"/>
            <w:left w:val="none" w:sz="0" w:space="0" w:color="auto"/>
            <w:bottom w:val="none" w:sz="0" w:space="0" w:color="auto"/>
            <w:right w:val="none" w:sz="0" w:space="0" w:color="auto"/>
          </w:divBdr>
          <w:divsChild>
            <w:div w:id="1167356589">
              <w:marLeft w:val="0"/>
              <w:marRight w:val="0"/>
              <w:marTop w:val="0"/>
              <w:marBottom w:val="0"/>
              <w:divBdr>
                <w:top w:val="none" w:sz="0" w:space="0" w:color="auto"/>
                <w:left w:val="none" w:sz="0" w:space="0" w:color="auto"/>
                <w:bottom w:val="none" w:sz="0" w:space="0" w:color="auto"/>
                <w:right w:val="none" w:sz="0" w:space="0" w:color="auto"/>
              </w:divBdr>
              <w:divsChild>
                <w:div w:id="138965188">
                  <w:marLeft w:val="0"/>
                  <w:marRight w:val="0"/>
                  <w:marTop w:val="0"/>
                  <w:marBottom w:val="0"/>
                  <w:divBdr>
                    <w:top w:val="none" w:sz="0" w:space="0" w:color="auto"/>
                    <w:left w:val="none" w:sz="0" w:space="0" w:color="auto"/>
                    <w:bottom w:val="none" w:sz="0" w:space="0" w:color="auto"/>
                    <w:right w:val="none" w:sz="0" w:space="0" w:color="auto"/>
                  </w:divBdr>
                  <w:divsChild>
                    <w:div w:id="384187056">
                      <w:marLeft w:val="0"/>
                      <w:marRight w:val="0"/>
                      <w:marTop w:val="630"/>
                      <w:marBottom w:val="0"/>
                      <w:divBdr>
                        <w:top w:val="single" w:sz="12" w:space="0" w:color="auto"/>
                        <w:left w:val="none" w:sz="0" w:space="0" w:color="auto"/>
                        <w:bottom w:val="none" w:sz="0" w:space="0" w:color="auto"/>
                        <w:right w:val="none" w:sz="0" w:space="0" w:color="auto"/>
                      </w:divBdr>
                      <w:divsChild>
                        <w:div w:id="741411825">
                          <w:marLeft w:val="0"/>
                          <w:marRight w:val="0"/>
                          <w:marTop w:val="0"/>
                          <w:marBottom w:val="0"/>
                          <w:divBdr>
                            <w:top w:val="none" w:sz="0" w:space="0" w:color="auto"/>
                            <w:left w:val="none" w:sz="0" w:space="0" w:color="auto"/>
                            <w:bottom w:val="none" w:sz="0" w:space="0" w:color="auto"/>
                            <w:right w:val="none" w:sz="0" w:space="0" w:color="auto"/>
                          </w:divBdr>
                          <w:divsChild>
                            <w:div w:id="1009672954">
                              <w:marLeft w:val="0"/>
                              <w:marRight w:val="150"/>
                              <w:marTop w:val="0"/>
                              <w:marBottom w:val="90"/>
                              <w:divBdr>
                                <w:top w:val="none" w:sz="0" w:space="0" w:color="auto"/>
                                <w:left w:val="none" w:sz="0" w:space="0" w:color="auto"/>
                                <w:bottom w:val="none" w:sz="0" w:space="0" w:color="auto"/>
                                <w:right w:val="none" w:sz="0" w:space="0" w:color="auto"/>
                              </w:divBdr>
                              <w:divsChild>
                                <w:div w:id="9071126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545916">
      <w:bodyDiv w:val="1"/>
      <w:marLeft w:val="0"/>
      <w:marRight w:val="0"/>
      <w:marTop w:val="1305"/>
      <w:marBottom w:val="0"/>
      <w:divBdr>
        <w:top w:val="none" w:sz="0" w:space="0" w:color="auto"/>
        <w:left w:val="none" w:sz="0" w:space="0" w:color="auto"/>
        <w:bottom w:val="none" w:sz="0" w:space="0" w:color="auto"/>
        <w:right w:val="none" w:sz="0" w:space="0" w:color="auto"/>
      </w:divBdr>
      <w:divsChild>
        <w:div w:id="1922711042">
          <w:marLeft w:val="0"/>
          <w:marRight w:val="0"/>
          <w:marTop w:val="0"/>
          <w:marBottom w:val="0"/>
          <w:divBdr>
            <w:top w:val="none" w:sz="0" w:space="0" w:color="auto"/>
            <w:left w:val="none" w:sz="0" w:space="0" w:color="auto"/>
            <w:bottom w:val="none" w:sz="0" w:space="0" w:color="auto"/>
            <w:right w:val="none" w:sz="0" w:space="0" w:color="auto"/>
          </w:divBdr>
          <w:divsChild>
            <w:div w:id="642009259">
              <w:marLeft w:val="0"/>
              <w:marRight w:val="0"/>
              <w:marTop w:val="0"/>
              <w:marBottom w:val="0"/>
              <w:divBdr>
                <w:top w:val="none" w:sz="0" w:space="0" w:color="auto"/>
                <w:left w:val="none" w:sz="0" w:space="0" w:color="auto"/>
                <w:bottom w:val="none" w:sz="0" w:space="0" w:color="auto"/>
                <w:right w:val="none" w:sz="0" w:space="0" w:color="auto"/>
              </w:divBdr>
              <w:divsChild>
                <w:div w:id="1747265566">
                  <w:marLeft w:val="0"/>
                  <w:marRight w:val="0"/>
                  <w:marTop w:val="0"/>
                  <w:marBottom w:val="0"/>
                  <w:divBdr>
                    <w:top w:val="none" w:sz="0" w:space="0" w:color="auto"/>
                    <w:left w:val="none" w:sz="0" w:space="0" w:color="auto"/>
                    <w:bottom w:val="none" w:sz="0" w:space="0" w:color="auto"/>
                    <w:right w:val="none" w:sz="0" w:space="0" w:color="auto"/>
                  </w:divBdr>
                  <w:divsChild>
                    <w:div w:id="657732804">
                      <w:marLeft w:val="0"/>
                      <w:marRight w:val="0"/>
                      <w:marTop w:val="0"/>
                      <w:marBottom w:val="0"/>
                      <w:divBdr>
                        <w:top w:val="none" w:sz="0" w:space="0" w:color="auto"/>
                        <w:left w:val="none" w:sz="0" w:space="0" w:color="auto"/>
                        <w:bottom w:val="none" w:sz="0" w:space="0" w:color="auto"/>
                        <w:right w:val="none" w:sz="0" w:space="0" w:color="auto"/>
                      </w:divBdr>
                      <w:divsChild>
                        <w:div w:id="8266525">
                          <w:marLeft w:val="0"/>
                          <w:marRight w:val="0"/>
                          <w:marTop w:val="0"/>
                          <w:marBottom w:val="0"/>
                          <w:divBdr>
                            <w:top w:val="none" w:sz="0" w:space="0" w:color="auto"/>
                            <w:left w:val="none" w:sz="0" w:space="0" w:color="auto"/>
                            <w:bottom w:val="none" w:sz="0" w:space="0" w:color="auto"/>
                            <w:right w:val="none" w:sz="0" w:space="0" w:color="auto"/>
                          </w:divBdr>
                          <w:divsChild>
                            <w:div w:id="1811438839">
                              <w:marLeft w:val="0"/>
                              <w:marRight w:val="0"/>
                              <w:marTop w:val="0"/>
                              <w:marBottom w:val="0"/>
                              <w:divBdr>
                                <w:top w:val="none" w:sz="0" w:space="0" w:color="auto"/>
                                <w:left w:val="none" w:sz="0" w:space="0" w:color="auto"/>
                                <w:bottom w:val="none" w:sz="0" w:space="0" w:color="auto"/>
                                <w:right w:val="none" w:sz="0" w:space="0" w:color="auto"/>
                              </w:divBdr>
                              <w:divsChild>
                                <w:div w:id="2783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ltalex.com/documents/praticamente/2015/09/03/il-problema-del-concorso-nel-reato-presupposto" TargetMode="External"/><Relationship Id="rId1" Type="http://schemas.openxmlformats.org/officeDocument/2006/relationships/hyperlink" Target="http://www.altalex.com/documents/praticamente/2015/09/03/il-problema-del-concorso-nel-reato-presuppos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5FDF-96EF-4013-9CDB-79EEFDBD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8434</Words>
  <Characters>48075</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Stufano</dc:creator>
  <cp:keywords/>
  <dc:description/>
  <cp:lastModifiedBy>Marco Stufano</cp:lastModifiedBy>
  <cp:revision>5</cp:revision>
  <dcterms:created xsi:type="dcterms:W3CDTF">2017-10-13T16:44:00Z</dcterms:created>
  <dcterms:modified xsi:type="dcterms:W3CDTF">2017-10-13T18:02:00Z</dcterms:modified>
</cp:coreProperties>
</file>